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B7284" w14:textId="2D207665" w:rsidR="00DD6E8A" w:rsidRPr="00043334" w:rsidRDefault="00B8055A" w:rsidP="00DD6E8A">
      <w:pPr>
        <w:jc w:val="center"/>
        <w:rPr>
          <w:b/>
          <w:bCs/>
          <w:color w:val="auto"/>
          <w:lang w:val="en-AU"/>
        </w:rPr>
      </w:pPr>
      <w:r w:rsidRPr="00043334">
        <w:rPr>
          <w:b/>
          <w:bCs/>
          <w:color w:val="auto"/>
          <w:lang w:val="en-AU"/>
        </w:rPr>
        <w:t>S</w:t>
      </w:r>
      <w:r w:rsidR="00DD6E8A" w:rsidRPr="00043334">
        <w:rPr>
          <w:b/>
          <w:bCs/>
          <w:color w:val="auto"/>
          <w:lang w:val="en-AU"/>
        </w:rPr>
        <w:t>upplementary Materials</w:t>
      </w:r>
    </w:p>
    <w:p w14:paraId="0F54E49C" w14:textId="6ECE3E28" w:rsidR="00DD6E8A" w:rsidRPr="00043334" w:rsidRDefault="00DD6E8A" w:rsidP="00DD6E8A">
      <w:pPr>
        <w:rPr>
          <w:b/>
          <w:bCs/>
          <w:color w:val="auto"/>
          <w:lang w:val="en-AU"/>
        </w:rPr>
      </w:pPr>
      <w:r w:rsidRPr="00043334">
        <w:rPr>
          <w:b/>
          <w:bCs/>
          <w:color w:val="auto"/>
          <w:lang w:val="en-AU"/>
        </w:rPr>
        <w:t>Supplementa</w:t>
      </w:r>
      <w:r w:rsidR="003C7B9F" w:rsidRPr="00043334">
        <w:rPr>
          <w:b/>
          <w:bCs/>
          <w:color w:val="auto"/>
          <w:lang w:val="en-AU"/>
        </w:rPr>
        <w:t xml:space="preserve">ry </w:t>
      </w:r>
      <w:r w:rsidRPr="00043334">
        <w:rPr>
          <w:b/>
          <w:bCs/>
          <w:color w:val="auto"/>
          <w:lang w:val="en-AU"/>
        </w:rPr>
        <w:t>Methods</w:t>
      </w:r>
    </w:p>
    <w:p w14:paraId="46D2E00E" w14:textId="77777777" w:rsidR="00DD6E8A" w:rsidRPr="00043334" w:rsidRDefault="00DD6E8A" w:rsidP="00DD6E8A">
      <w:pPr>
        <w:spacing w:after="0" w:line="360" w:lineRule="auto"/>
        <w:rPr>
          <w:b/>
          <w:bCs/>
          <w:i/>
          <w:iCs/>
          <w:color w:val="auto"/>
          <w:lang w:val="en-AU"/>
        </w:rPr>
      </w:pPr>
      <w:r w:rsidRPr="00043334">
        <w:rPr>
          <w:b/>
          <w:bCs/>
          <w:i/>
          <w:iCs/>
          <w:color w:val="auto"/>
          <w:lang w:val="en-AU"/>
        </w:rPr>
        <w:t>Inclusion and Exclusion Criteria</w:t>
      </w:r>
    </w:p>
    <w:p w14:paraId="22EA5972" w14:textId="77777777" w:rsidR="00DD6E8A" w:rsidRPr="00043334" w:rsidRDefault="00DD6E8A" w:rsidP="00DD6E8A">
      <w:pPr>
        <w:spacing w:after="0" w:line="360" w:lineRule="auto"/>
        <w:jc w:val="both"/>
        <w:rPr>
          <w:color w:val="auto"/>
          <w:lang w:val="en-AU"/>
        </w:rPr>
      </w:pPr>
      <w:r w:rsidRPr="00043334">
        <w:rPr>
          <w:color w:val="auto"/>
          <w:lang w:val="en-AU"/>
        </w:rPr>
        <w:t xml:space="preserve">The inclusion criteria for the healthy control (HC) participants were as follows: </w:t>
      </w:r>
    </w:p>
    <w:p w14:paraId="13763485" w14:textId="77777777" w:rsidR="00DD6E8A" w:rsidRPr="00043334" w:rsidRDefault="00DD6E8A" w:rsidP="00DD6E8A">
      <w:pPr>
        <w:pStyle w:val="ListParagraph"/>
        <w:numPr>
          <w:ilvl w:val="0"/>
          <w:numId w:val="2"/>
        </w:numPr>
        <w:spacing w:after="0" w:line="360" w:lineRule="auto"/>
        <w:jc w:val="both"/>
        <w:rPr>
          <w:color w:val="auto"/>
          <w:lang w:val="en-AU"/>
        </w:rPr>
      </w:pPr>
      <w:r w:rsidRPr="00043334">
        <w:rPr>
          <w:color w:val="auto"/>
        </w:rPr>
        <w:t>All genders, races, and ethnic origins.</w:t>
      </w:r>
    </w:p>
    <w:p w14:paraId="38C99E72" w14:textId="77777777" w:rsidR="00DD6E8A" w:rsidRPr="00043334" w:rsidRDefault="00DD6E8A" w:rsidP="00DD6E8A">
      <w:pPr>
        <w:pStyle w:val="ListParagraph"/>
        <w:numPr>
          <w:ilvl w:val="0"/>
          <w:numId w:val="2"/>
        </w:numPr>
        <w:spacing w:after="0" w:line="360" w:lineRule="auto"/>
        <w:jc w:val="both"/>
        <w:rPr>
          <w:color w:val="auto"/>
          <w:lang w:val="en-AU"/>
        </w:rPr>
      </w:pPr>
      <w:r w:rsidRPr="00043334">
        <w:rPr>
          <w:color w:val="auto"/>
        </w:rPr>
        <w:t>Aged between 18 and 70 years.</w:t>
      </w:r>
    </w:p>
    <w:p w14:paraId="29D043DF" w14:textId="77777777" w:rsidR="00DD6E8A" w:rsidRPr="00043334" w:rsidRDefault="00DD6E8A" w:rsidP="00DD6E8A">
      <w:pPr>
        <w:pStyle w:val="ListParagraph"/>
        <w:numPr>
          <w:ilvl w:val="0"/>
          <w:numId w:val="2"/>
        </w:numPr>
        <w:spacing w:after="0" w:line="360" w:lineRule="auto"/>
        <w:jc w:val="both"/>
        <w:rPr>
          <w:color w:val="auto"/>
          <w:lang w:val="en-AU"/>
        </w:rPr>
      </w:pPr>
      <w:r w:rsidRPr="00043334">
        <w:rPr>
          <w:color w:val="auto"/>
        </w:rPr>
        <w:t>Absence of medical, neurological, and psychiatric illness (including alcohol and substance abuse), as assessed by subject history and the Mini International Neuropsychiatric Inventory (MINI) interview.</w:t>
      </w:r>
    </w:p>
    <w:p w14:paraId="35C88E4A" w14:textId="77777777" w:rsidR="00DD6E8A" w:rsidRPr="00043334" w:rsidRDefault="00DD6E8A" w:rsidP="00DD6E8A">
      <w:pPr>
        <w:pStyle w:val="ListParagraph"/>
        <w:numPr>
          <w:ilvl w:val="0"/>
          <w:numId w:val="2"/>
        </w:numPr>
        <w:spacing w:after="0" w:line="360" w:lineRule="auto"/>
        <w:jc w:val="both"/>
        <w:rPr>
          <w:color w:val="auto"/>
          <w:lang w:val="en-AU"/>
        </w:rPr>
      </w:pPr>
      <w:r w:rsidRPr="00043334">
        <w:rPr>
          <w:color w:val="auto"/>
        </w:rPr>
        <w:t>A baseline Quick Inventory of Depression Scale (QIDS) score less than or equal to 5.</w:t>
      </w:r>
    </w:p>
    <w:p w14:paraId="6A078346" w14:textId="77777777" w:rsidR="00DD6E8A" w:rsidRPr="00043334" w:rsidRDefault="00DD6E8A" w:rsidP="00DD6E8A">
      <w:pPr>
        <w:pStyle w:val="ListParagraph"/>
        <w:numPr>
          <w:ilvl w:val="0"/>
          <w:numId w:val="2"/>
        </w:numPr>
        <w:spacing w:after="0" w:line="360" w:lineRule="auto"/>
        <w:jc w:val="both"/>
        <w:rPr>
          <w:color w:val="auto"/>
          <w:lang w:val="en-AU"/>
        </w:rPr>
      </w:pPr>
      <w:r w:rsidRPr="00043334">
        <w:rPr>
          <w:color w:val="auto"/>
        </w:rPr>
        <w:t>A baseline Hamilton Depression Rating Scale (HAMD) score less than or equal to 7.</w:t>
      </w:r>
    </w:p>
    <w:p w14:paraId="3D43FED4" w14:textId="77777777" w:rsidR="00DD6E8A" w:rsidRPr="00043334" w:rsidRDefault="00DD6E8A" w:rsidP="00DD6E8A">
      <w:pPr>
        <w:pStyle w:val="ListParagraph"/>
        <w:numPr>
          <w:ilvl w:val="0"/>
          <w:numId w:val="2"/>
        </w:numPr>
        <w:spacing w:after="0" w:line="360" w:lineRule="auto"/>
        <w:jc w:val="both"/>
        <w:rPr>
          <w:color w:val="auto"/>
          <w:lang w:val="en-AU"/>
        </w:rPr>
      </w:pPr>
      <w:r w:rsidRPr="00043334">
        <w:rPr>
          <w:color w:val="auto"/>
        </w:rPr>
        <w:t>Capable of providing written informed consent and fluent in English.</w:t>
      </w:r>
    </w:p>
    <w:p w14:paraId="7493E228" w14:textId="77777777" w:rsidR="00DD6E8A" w:rsidRPr="00043334" w:rsidRDefault="00DD6E8A" w:rsidP="00DD6E8A">
      <w:pPr>
        <w:pStyle w:val="ListParagraph"/>
        <w:numPr>
          <w:ilvl w:val="0"/>
          <w:numId w:val="2"/>
        </w:numPr>
        <w:spacing w:after="0" w:line="360" w:lineRule="auto"/>
        <w:jc w:val="both"/>
        <w:rPr>
          <w:color w:val="auto"/>
          <w:lang w:val="en-AU"/>
        </w:rPr>
      </w:pPr>
      <w:r w:rsidRPr="00043334">
        <w:rPr>
          <w:color w:val="auto"/>
        </w:rPr>
        <w:t>No first-degree relative with mood or psychotic disorder.</w:t>
      </w:r>
    </w:p>
    <w:p w14:paraId="6857FBE2" w14:textId="77777777" w:rsidR="00DD6E8A" w:rsidRPr="00043334" w:rsidRDefault="00DD6E8A" w:rsidP="00DD6E8A">
      <w:pPr>
        <w:spacing w:after="0" w:line="360" w:lineRule="auto"/>
        <w:jc w:val="both"/>
        <w:rPr>
          <w:color w:val="auto"/>
          <w:lang w:val="en-AU"/>
        </w:rPr>
      </w:pPr>
    </w:p>
    <w:p w14:paraId="126707EA" w14:textId="77777777" w:rsidR="00DD6E8A" w:rsidRPr="00043334" w:rsidRDefault="00DD6E8A" w:rsidP="00DD6E8A">
      <w:pPr>
        <w:spacing w:after="0" w:line="360" w:lineRule="auto"/>
        <w:jc w:val="both"/>
        <w:rPr>
          <w:color w:val="auto"/>
          <w:lang w:val="en-AU"/>
        </w:rPr>
      </w:pPr>
      <w:r w:rsidRPr="00043334">
        <w:rPr>
          <w:color w:val="auto"/>
          <w:lang w:val="en-AU"/>
        </w:rPr>
        <w:t>The inclusion criteria for the participants with treatment resistant depression (TRD) were as follows:</w:t>
      </w:r>
    </w:p>
    <w:p w14:paraId="15A74452" w14:textId="77777777" w:rsidR="00DD6E8A" w:rsidRPr="00043334" w:rsidRDefault="00DD6E8A" w:rsidP="00DD6E8A">
      <w:pPr>
        <w:pStyle w:val="ListParagraph"/>
        <w:numPr>
          <w:ilvl w:val="0"/>
          <w:numId w:val="3"/>
        </w:numPr>
        <w:spacing w:after="0" w:line="360" w:lineRule="auto"/>
        <w:jc w:val="both"/>
        <w:rPr>
          <w:color w:val="auto"/>
          <w:lang w:val="en-AU"/>
        </w:rPr>
      </w:pPr>
      <w:r w:rsidRPr="00043334">
        <w:rPr>
          <w:color w:val="auto"/>
        </w:rPr>
        <w:t>All genders, races, and ethnic origins.</w:t>
      </w:r>
    </w:p>
    <w:p w14:paraId="4CF4CCFD" w14:textId="77777777" w:rsidR="00DD6E8A" w:rsidRPr="00043334" w:rsidRDefault="00DD6E8A" w:rsidP="00DD6E8A">
      <w:pPr>
        <w:pStyle w:val="ListParagraph"/>
        <w:numPr>
          <w:ilvl w:val="0"/>
          <w:numId w:val="3"/>
        </w:numPr>
        <w:spacing w:after="0" w:line="360" w:lineRule="auto"/>
        <w:jc w:val="both"/>
        <w:rPr>
          <w:color w:val="auto"/>
          <w:lang w:val="en-AU"/>
        </w:rPr>
      </w:pPr>
      <w:r w:rsidRPr="00043334">
        <w:rPr>
          <w:color w:val="auto"/>
        </w:rPr>
        <w:t xml:space="preserve">Aged between 18 and 70 years. </w:t>
      </w:r>
    </w:p>
    <w:p w14:paraId="6668DF86" w14:textId="77777777" w:rsidR="00DD6E8A" w:rsidRPr="00043334" w:rsidRDefault="00DD6E8A" w:rsidP="00DD6E8A">
      <w:pPr>
        <w:pStyle w:val="ListParagraph"/>
        <w:numPr>
          <w:ilvl w:val="0"/>
          <w:numId w:val="3"/>
        </w:numPr>
        <w:spacing w:after="0" w:line="360" w:lineRule="auto"/>
        <w:jc w:val="both"/>
        <w:rPr>
          <w:color w:val="auto"/>
          <w:lang w:val="en-AU"/>
        </w:rPr>
      </w:pPr>
      <w:r w:rsidRPr="00043334">
        <w:rPr>
          <w:color w:val="auto"/>
        </w:rPr>
        <w:t xml:space="preserve">Currently meet DSM-5 diagnostic criteria for Major Depressive Disorder (MDD) as assessed via the MINI. </w:t>
      </w:r>
    </w:p>
    <w:p w14:paraId="6053FACF" w14:textId="77777777" w:rsidR="00DD6E8A" w:rsidRPr="00043334" w:rsidRDefault="00DD6E8A" w:rsidP="00DD6E8A">
      <w:pPr>
        <w:pStyle w:val="ListParagraph"/>
        <w:numPr>
          <w:ilvl w:val="0"/>
          <w:numId w:val="3"/>
        </w:numPr>
        <w:spacing w:after="0" w:line="360" w:lineRule="auto"/>
        <w:jc w:val="both"/>
        <w:rPr>
          <w:color w:val="auto"/>
          <w:lang w:val="en-AU"/>
        </w:rPr>
      </w:pPr>
      <w:r w:rsidRPr="00043334">
        <w:rPr>
          <w:color w:val="auto"/>
        </w:rPr>
        <w:t xml:space="preserve">A baseline HAMD (17-item version) score greater than 16, or a QIDS score greater than 12 and a Beck Depression Inventory - II score greater than 14. </w:t>
      </w:r>
    </w:p>
    <w:p w14:paraId="10C9BCF4" w14:textId="77777777" w:rsidR="00DD6E8A" w:rsidRPr="00043334" w:rsidRDefault="00DD6E8A" w:rsidP="00DD6E8A">
      <w:pPr>
        <w:pStyle w:val="ListParagraph"/>
        <w:numPr>
          <w:ilvl w:val="0"/>
          <w:numId w:val="3"/>
        </w:numPr>
        <w:spacing w:after="0" w:line="360" w:lineRule="auto"/>
        <w:jc w:val="both"/>
        <w:rPr>
          <w:color w:val="auto"/>
          <w:lang w:val="en-AU"/>
        </w:rPr>
      </w:pPr>
      <w:r w:rsidRPr="00043334">
        <w:rPr>
          <w:color w:val="auto"/>
        </w:rPr>
        <w:t xml:space="preserve">Capable of providing written informed consent, and fluent in English. </w:t>
      </w:r>
    </w:p>
    <w:p w14:paraId="2662A9BE" w14:textId="77777777" w:rsidR="00DD6E8A" w:rsidRPr="00043334" w:rsidRDefault="00DD6E8A" w:rsidP="00DD6E8A">
      <w:pPr>
        <w:pStyle w:val="ListParagraph"/>
        <w:numPr>
          <w:ilvl w:val="0"/>
          <w:numId w:val="3"/>
        </w:numPr>
        <w:spacing w:after="0" w:line="360" w:lineRule="auto"/>
        <w:jc w:val="both"/>
        <w:rPr>
          <w:color w:val="auto"/>
          <w:lang w:val="en-AU"/>
        </w:rPr>
      </w:pPr>
      <w:r w:rsidRPr="00043334">
        <w:rPr>
          <w:color w:val="auto"/>
        </w:rPr>
        <w:t>Treatment Resistant as assessed via the Massachusetts General Hospital Antidepressant Response Questionnaire.</w:t>
      </w:r>
    </w:p>
    <w:p w14:paraId="3216B458" w14:textId="77777777" w:rsidR="00DD6E8A" w:rsidRPr="00043334" w:rsidRDefault="00DD6E8A" w:rsidP="00DD6E8A">
      <w:pPr>
        <w:pStyle w:val="ListParagraph"/>
        <w:numPr>
          <w:ilvl w:val="0"/>
          <w:numId w:val="3"/>
        </w:numPr>
        <w:spacing w:after="0" w:line="360" w:lineRule="auto"/>
        <w:jc w:val="both"/>
        <w:rPr>
          <w:color w:val="auto"/>
          <w:lang w:val="en-AU"/>
        </w:rPr>
      </w:pPr>
      <w:r w:rsidRPr="00043334">
        <w:rPr>
          <w:color w:val="auto"/>
        </w:rPr>
        <w:t>Have already decided to receive ketamine treatment as part of their standard clinical care.</w:t>
      </w:r>
    </w:p>
    <w:p w14:paraId="2C115109" w14:textId="77777777" w:rsidR="00DD6E8A" w:rsidRPr="00043334" w:rsidRDefault="00DD6E8A" w:rsidP="00DD6E8A">
      <w:pPr>
        <w:spacing w:after="0" w:line="360" w:lineRule="auto"/>
        <w:jc w:val="both"/>
        <w:rPr>
          <w:color w:val="auto"/>
          <w:lang w:val="en-AU"/>
        </w:rPr>
      </w:pPr>
    </w:p>
    <w:p w14:paraId="2F5EA189" w14:textId="77777777" w:rsidR="00DD6E8A" w:rsidRPr="00043334" w:rsidRDefault="00DD6E8A" w:rsidP="00DD6E8A">
      <w:pPr>
        <w:spacing w:after="0" w:line="360" w:lineRule="auto"/>
        <w:jc w:val="both"/>
        <w:rPr>
          <w:color w:val="auto"/>
          <w:lang w:val="en-AU"/>
        </w:rPr>
      </w:pPr>
      <w:r w:rsidRPr="00043334">
        <w:rPr>
          <w:color w:val="auto"/>
          <w:lang w:val="en-AU"/>
        </w:rPr>
        <w:t>Finally, the following exclusion criteria applied to all participants regardless of their group designation:</w:t>
      </w:r>
    </w:p>
    <w:p w14:paraId="5C67C163" w14:textId="77777777" w:rsidR="00DD6E8A" w:rsidRPr="00043334" w:rsidRDefault="00DD6E8A" w:rsidP="00DD6E8A">
      <w:pPr>
        <w:pStyle w:val="ListParagraph"/>
        <w:widowControl w:val="0"/>
        <w:numPr>
          <w:ilvl w:val="0"/>
          <w:numId w:val="1"/>
        </w:numPr>
        <w:spacing w:after="0" w:line="360" w:lineRule="auto"/>
        <w:jc w:val="both"/>
        <w:rPr>
          <w:color w:val="auto"/>
          <w:lang w:val="en-AU"/>
        </w:rPr>
      </w:pPr>
      <w:r w:rsidRPr="00043334">
        <w:rPr>
          <w:color w:val="auto"/>
          <w:lang w:val="en-AU"/>
        </w:rPr>
        <w:t>Any serious or unstable medical illness, including cardiovascular, hepatic, renal, respiratory, endocrine, neurologic or hematologic disease.</w:t>
      </w:r>
    </w:p>
    <w:p w14:paraId="1372CAC9" w14:textId="77777777" w:rsidR="00DD6E8A" w:rsidRPr="00043334" w:rsidRDefault="00DD6E8A" w:rsidP="00DD6E8A">
      <w:pPr>
        <w:pStyle w:val="ListParagraph"/>
        <w:numPr>
          <w:ilvl w:val="0"/>
          <w:numId w:val="1"/>
        </w:numPr>
        <w:spacing w:after="0" w:line="360" w:lineRule="auto"/>
        <w:jc w:val="both"/>
        <w:rPr>
          <w:color w:val="auto"/>
          <w:lang w:val="en-AU"/>
        </w:rPr>
      </w:pPr>
      <w:r w:rsidRPr="00043334">
        <w:rPr>
          <w:color w:val="auto"/>
          <w:lang w:val="en-AU"/>
        </w:rPr>
        <w:t>History of seizure disorder.</w:t>
      </w:r>
    </w:p>
    <w:p w14:paraId="35DA3000" w14:textId="77777777" w:rsidR="00DD6E8A" w:rsidRPr="00043334" w:rsidRDefault="00DD6E8A" w:rsidP="00DD6E8A">
      <w:pPr>
        <w:pStyle w:val="ListParagraph"/>
        <w:numPr>
          <w:ilvl w:val="0"/>
          <w:numId w:val="1"/>
        </w:numPr>
        <w:spacing w:after="0" w:line="360" w:lineRule="auto"/>
        <w:jc w:val="both"/>
        <w:rPr>
          <w:color w:val="auto"/>
          <w:lang w:val="en-AU"/>
        </w:rPr>
      </w:pPr>
      <w:r w:rsidRPr="00043334">
        <w:rPr>
          <w:color w:val="auto"/>
          <w:lang w:val="en-AU"/>
        </w:rPr>
        <w:lastRenderedPageBreak/>
        <w:t>History or current diagnosis of any of the following DSM-5 psychiatric illnesses: schizophrenia, schizoaffective disorder, delusional disorder, psychotic disorders not otherwise specified.</w:t>
      </w:r>
    </w:p>
    <w:p w14:paraId="0E704592" w14:textId="77777777" w:rsidR="00DD6E8A" w:rsidRPr="00043334" w:rsidRDefault="00DD6E8A" w:rsidP="00DD6E8A">
      <w:pPr>
        <w:pStyle w:val="ListParagraph"/>
        <w:numPr>
          <w:ilvl w:val="0"/>
          <w:numId w:val="1"/>
        </w:numPr>
        <w:spacing w:after="0" w:line="360" w:lineRule="auto"/>
        <w:jc w:val="both"/>
        <w:rPr>
          <w:color w:val="auto"/>
          <w:lang w:val="en-AU"/>
        </w:rPr>
      </w:pPr>
      <w:r w:rsidRPr="00043334">
        <w:rPr>
          <w:color w:val="auto"/>
          <w:lang w:val="en-AU"/>
        </w:rPr>
        <w:t>Current diagnosis of substance use disorder.</w:t>
      </w:r>
    </w:p>
    <w:p w14:paraId="0429B627" w14:textId="77777777" w:rsidR="00DD6E8A" w:rsidRPr="00043334" w:rsidRDefault="00DD6E8A" w:rsidP="00DD6E8A">
      <w:pPr>
        <w:pStyle w:val="ListParagraph"/>
        <w:numPr>
          <w:ilvl w:val="0"/>
          <w:numId w:val="1"/>
        </w:numPr>
        <w:spacing w:after="0" w:line="360" w:lineRule="auto"/>
        <w:jc w:val="both"/>
        <w:rPr>
          <w:color w:val="auto"/>
          <w:lang w:val="en-AU"/>
        </w:rPr>
      </w:pPr>
      <w:r w:rsidRPr="00043334">
        <w:rPr>
          <w:color w:val="auto"/>
          <w:lang w:val="en-AU"/>
        </w:rPr>
        <w:t>Clinical or laboratory evidence of hypothyroidism, hyperthyroidism, or other thyroid disorder that is not controlled by medication.</w:t>
      </w:r>
    </w:p>
    <w:p w14:paraId="4F3DADEA" w14:textId="77777777" w:rsidR="00DD6E8A" w:rsidRPr="00043334" w:rsidRDefault="00DD6E8A" w:rsidP="00DD6E8A">
      <w:pPr>
        <w:pStyle w:val="ListParagraph"/>
        <w:numPr>
          <w:ilvl w:val="0"/>
          <w:numId w:val="1"/>
        </w:numPr>
        <w:spacing w:after="0" w:line="360" w:lineRule="auto"/>
        <w:jc w:val="both"/>
        <w:rPr>
          <w:color w:val="auto"/>
          <w:lang w:val="en-AU"/>
        </w:rPr>
      </w:pPr>
      <w:r w:rsidRPr="00043334">
        <w:rPr>
          <w:color w:val="auto"/>
          <w:lang w:val="en-AU"/>
        </w:rPr>
        <w:t>Substance use assessed by physician as dangerous for ketamine treatment.</w:t>
      </w:r>
    </w:p>
    <w:p w14:paraId="0C45C93F" w14:textId="77777777" w:rsidR="00DD6E8A" w:rsidRPr="00043334" w:rsidRDefault="00DD6E8A" w:rsidP="00DD6E8A">
      <w:pPr>
        <w:pStyle w:val="ListParagraph"/>
        <w:numPr>
          <w:ilvl w:val="0"/>
          <w:numId w:val="1"/>
        </w:numPr>
        <w:spacing w:after="0" w:line="360" w:lineRule="auto"/>
        <w:jc w:val="both"/>
        <w:rPr>
          <w:color w:val="auto"/>
          <w:lang w:val="en-AU"/>
        </w:rPr>
      </w:pPr>
      <w:r w:rsidRPr="00043334">
        <w:rPr>
          <w:color w:val="auto"/>
          <w:lang w:val="en-AU"/>
        </w:rPr>
        <w:t>Untreated glaucoma.</w:t>
      </w:r>
    </w:p>
    <w:p w14:paraId="6C462431" w14:textId="77777777" w:rsidR="00DD6E8A" w:rsidRPr="00043334" w:rsidRDefault="00DD6E8A" w:rsidP="00DD6E8A">
      <w:pPr>
        <w:pStyle w:val="ListParagraph"/>
        <w:numPr>
          <w:ilvl w:val="0"/>
          <w:numId w:val="1"/>
        </w:numPr>
        <w:spacing w:after="0" w:line="360" w:lineRule="auto"/>
        <w:jc w:val="both"/>
        <w:rPr>
          <w:color w:val="auto"/>
          <w:lang w:val="en-AU"/>
        </w:rPr>
      </w:pPr>
      <w:r w:rsidRPr="00043334">
        <w:rPr>
          <w:color w:val="auto"/>
          <w:lang w:val="en-AU"/>
        </w:rPr>
        <w:t>Complex PTSD with dissociation.</w:t>
      </w:r>
    </w:p>
    <w:p w14:paraId="59E74F61" w14:textId="77777777" w:rsidR="00DD6E8A" w:rsidRPr="00043334" w:rsidRDefault="00DD6E8A" w:rsidP="00DD6E8A">
      <w:pPr>
        <w:pStyle w:val="ListParagraph"/>
        <w:numPr>
          <w:ilvl w:val="0"/>
          <w:numId w:val="1"/>
        </w:numPr>
        <w:spacing w:after="0" w:line="360" w:lineRule="auto"/>
        <w:jc w:val="both"/>
        <w:rPr>
          <w:color w:val="auto"/>
          <w:lang w:val="en-AU"/>
        </w:rPr>
      </w:pPr>
      <w:r w:rsidRPr="00043334">
        <w:rPr>
          <w:color w:val="auto"/>
          <w:lang w:val="en-AU"/>
        </w:rPr>
        <w:t>Patients treated with electroconvulsive therapy (ECT) in the past 2 weeks.</w:t>
      </w:r>
    </w:p>
    <w:p w14:paraId="19DD2584" w14:textId="77777777" w:rsidR="00DD6E8A" w:rsidRPr="00043334" w:rsidRDefault="00DD6E8A" w:rsidP="00DD6E8A">
      <w:pPr>
        <w:pStyle w:val="ListParagraph"/>
        <w:numPr>
          <w:ilvl w:val="0"/>
          <w:numId w:val="1"/>
        </w:numPr>
        <w:spacing w:after="0" w:line="360" w:lineRule="auto"/>
        <w:jc w:val="both"/>
        <w:rPr>
          <w:color w:val="auto"/>
          <w:lang w:val="en-AU"/>
        </w:rPr>
      </w:pPr>
      <w:r w:rsidRPr="00043334">
        <w:rPr>
          <w:color w:val="auto"/>
          <w:lang w:val="en-AU"/>
        </w:rPr>
        <w:t>Participants with a lifetime history of previous ketamine use.</w:t>
      </w:r>
    </w:p>
    <w:p w14:paraId="53F4F44C" w14:textId="77777777" w:rsidR="00DD6E8A" w:rsidRPr="00043334" w:rsidRDefault="00DD6E8A" w:rsidP="00DD6E8A">
      <w:pPr>
        <w:rPr>
          <w:i/>
          <w:iCs/>
          <w:color w:val="auto"/>
          <w:lang w:val="en-AU"/>
        </w:rPr>
      </w:pPr>
    </w:p>
    <w:p w14:paraId="774CDC0D" w14:textId="77777777" w:rsidR="00DD6E8A" w:rsidRPr="00043334" w:rsidRDefault="00DD6E8A" w:rsidP="00DD6E8A">
      <w:pPr>
        <w:rPr>
          <w:b/>
          <w:bCs/>
          <w:i/>
          <w:iCs/>
          <w:color w:val="auto"/>
          <w:lang w:val="en-AU"/>
        </w:rPr>
      </w:pPr>
      <w:r w:rsidRPr="00043334">
        <w:rPr>
          <w:b/>
          <w:bCs/>
          <w:i/>
          <w:iCs/>
          <w:color w:val="auto"/>
          <w:lang w:val="en-AU"/>
        </w:rPr>
        <w:t>Hamilton Depression Rating Scale (HAMD)</w:t>
      </w:r>
    </w:p>
    <w:p w14:paraId="5AA2D3C2" w14:textId="6F7A169C" w:rsidR="00DD6E8A" w:rsidRPr="00043334" w:rsidRDefault="00DD6E8A" w:rsidP="00DD6E8A">
      <w:pPr>
        <w:spacing w:after="0" w:line="360" w:lineRule="auto"/>
        <w:ind w:firstLine="720"/>
        <w:jc w:val="both"/>
        <w:rPr>
          <w:color w:val="auto"/>
          <w:lang w:val="en-AU"/>
        </w:rPr>
      </w:pPr>
      <w:r w:rsidRPr="00043334">
        <w:rPr>
          <w:color w:val="auto"/>
          <w:lang w:val="en-AU"/>
        </w:rPr>
        <w:t xml:space="preserve">The HAMD </w:t>
      </w:r>
      <w:sdt>
        <w:sdtPr>
          <w:rPr>
            <w:color w:val="auto"/>
            <w:lang w:val="en-AU"/>
          </w:rPr>
          <w:tag w:val="MENDELEY_CITATION_v3_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"/>
          <w:id w:val="765352322"/>
          <w:placeholder>
            <w:docPart w:val="D39897807DF44366B9E53A2977210E95"/>
          </w:placeholder>
        </w:sdtPr>
        <w:sdtEndPr/>
        <w:sdtContent>
          <w:r w:rsidR="005E66C4" w:rsidRPr="00043334">
            <w:rPr>
              <w:color w:val="auto"/>
              <w:lang w:val="en-AU"/>
            </w:rPr>
            <w:t>[1]</w:t>
          </w:r>
        </w:sdtContent>
      </w:sdt>
      <w:r w:rsidRPr="00043334">
        <w:rPr>
          <w:color w:val="auto"/>
          <w:lang w:val="en-AU"/>
        </w:rPr>
        <w:t xml:space="preserve"> used here was the 17-item version assessing the severity of depressive symptoms over the past week. Most items are scored using values ranging from 0 to 4, while a few items use 3 scoring levels from 0 to 2. Overall scores range from 0 to 52 where higher scores indicate greater depression severity.</w:t>
      </w:r>
    </w:p>
    <w:p w14:paraId="33A2AF31" w14:textId="77777777" w:rsidR="00DD6E8A" w:rsidRPr="00043334" w:rsidRDefault="00DD6E8A" w:rsidP="00DD6E8A">
      <w:pPr>
        <w:spacing w:after="0" w:line="360" w:lineRule="auto"/>
        <w:jc w:val="both"/>
        <w:rPr>
          <w:i/>
          <w:iCs/>
          <w:color w:val="auto"/>
          <w:u w:val="single"/>
          <w:lang w:val="en-AU"/>
        </w:rPr>
      </w:pPr>
    </w:p>
    <w:p w14:paraId="0327ABFE" w14:textId="77777777" w:rsidR="00DD6E8A" w:rsidRPr="00043334" w:rsidRDefault="00DD6E8A" w:rsidP="00DD6E8A">
      <w:pPr>
        <w:spacing w:after="0" w:line="360" w:lineRule="auto"/>
        <w:jc w:val="both"/>
        <w:rPr>
          <w:b/>
          <w:bCs/>
          <w:i/>
          <w:iCs/>
          <w:color w:val="auto"/>
          <w:lang w:val="en-AU"/>
        </w:rPr>
      </w:pPr>
      <w:r w:rsidRPr="00043334">
        <w:rPr>
          <w:b/>
          <w:bCs/>
          <w:i/>
          <w:iCs/>
          <w:color w:val="auto"/>
          <w:lang w:val="en-AU"/>
        </w:rPr>
        <w:t>Mood and Anxiety Symptom Questionnaire (MASQ)</w:t>
      </w:r>
    </w:p>
    <w:p w14:paraId="23FDE3CD" w14:textId="39B38690" w:rsidR="00DD6E8A" w:rsidRPr="00043334" w:rsidRDefault="00DD6E8A" w:rsidP="00DD6E8A">
      <w:pPr>
        <w:spacing w:after="0" w:line="360" w:lineRule="auto"/>
        <w:ind w:firstLine="720"/>
        <w:jc w:val="both"/>
        <w:rPr>
          <w:color w:val="auto"/>
          <w:lang w:val="en-AU"/>
        </w:rPr>
      </w:pPr>
      <w:r w:rsidRPr="00043334">
        <w:rPr>
          <w:color w:val="auto"/>
          <w:lang w:val="en-AU"/>
        </w:rPr>
        <w:t xml:space="preserve">The MASQ is a self-report questionnaire designed to assess the tripartite model of anxiety and depression across the last week </w:t>
      </w:r>
      <w:sdt>
        <w:sdtPr>
          <w:rPr>
            <w:color w:val="auto"/>
            <w:lang w:val="en-AU"/>
          </w:rPr>
          <w:tag w:val="MENDELEY_CITATION_v3_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"/>
          <w:id w:val="-2039885875"/>
          <w:placeholder>
            <w:docPart w:val="D39897807DF44366B9E53A2977210E95"/>
          </w:placeholder>
        </w:sdtPr>
        <w:sdtEndPr/>
        <w:sdtContent>
          <w:r w:rsidR="005E66C4" w:rsidRPr="00043334">
            <w:rPr>
              <w:rFonts w:eastAsia="Times New Roman"/>
              <w:color w:val="auto"/>
            </w:rPr>
            <w:t>[2]</w:t>
          </w:r>
        </w:sdtContent>
      </w:sdt>
      <w:r w:rsidRPr="00043334">
        <w:rPr>
          <w:color w:val="auto"/>
          <w:lang w:val="en-AU"/>
        </w:rPr>
        <w:t>. In this study the short-form (62-item) of the MASQ was used. Items are scored using a 1 (</w:t>
      </w:r>
      <w:r w:rsidRPr="00043334">
        <w:rPr>
          <w:i/>
          <w:iCs/>
          <w:color w:val="auto"/>
          <w:lang w:val="en-AU"/>
        </w:rPr>
        <w:t>not at all</w:t>
      </w:r>
      <w:r w:rsidRPr="00043334">
        <w:rPr>
          <w:color w:val="auto"/>
          <w:lang w:val="en-AU"/>
        </w:rPr>
        <w:t>) to 5 (</w:t>
      </w:r>
      <w:r w:rsidRPr="00043334">
        <w:rPr>
          <w:i/>
          <w:iCs/>
          <w:color w:val="auto"/>
          <w:lang w:val="en-AU"/>
        </w:rPr>
        <w:t>extremely</w:t>
      </w:r>
      <w:r w:rsidRPr="00043334">
        <w:rPr>
          <w:color w:val="auto"/>
          <w:lang w:val="en-AU"/>
        </w:rPr>
        <w:t>) rating scale to assess general distress depressive symptoms, general distress anxious symptoms, anxious arousal, and anhedonic depression. Scales are scored such that higher scores indicate greater symptom severity.</w:t>
      </w:r>
    </w:p>
    <w:p w14:paraId="5E18EF9D" w14:textId="77777777" w:rsidR="00DD6E8A" w:rsidRPr="00043334" w:rsidRDefault="00DD6E8A" w:rsidP="00DD6E8A">
      <w:pPr>
        <w:spacing w:after="0" w:line="360" w:lineRule="auto"/>
        <w:jc w:val="both"/>
        <w:rPr>
          <w:color w:val="auto"/>
          <w:lang w:val="en-AU"/>
        </w:rPr>
      </w:pPr>
    </w:p>
    <w:p w14:paraId="7DAD3718" w14:textId="77777777" w:rsidR="00DD6E8A" w:rsidRPr="00043334" w:rsidRDefault="00DD6E8A" w:rsidP="00DD6E8A">
      <w:pPr>
        <w:spacing w:after="0" w:line="360" w:lineRule="auto"/>
        <w:jc w:val="both"/>
        <w:rPr>
          <w:b/>
          <w:bCs/>
          <w:i/>
          <w:iCs/>
          <w:color w:val="auto"/>
          <w:lang w:val="en-AU"/>
        </w:rPr>
      </w:pPr>
      <w:r w:rsidRPr="00043334">
        <w:rPr>
          <w:b/>
          <w:bCs/>
          <w:i/>
          <w:iCs/>
          <w:color w:val="auto"/>
          <w:lang w:val="en-AU"/>
        </w:rPr>
        <w:t xml:space="preserve">Quick Inventory of Depression Scale (QIDS) </w:t>
      </w:r>
    </w:p>
    <w:p w14:paraId="7927847C" w14:textId="4A3837C1" w:rsidR="00DD6E8A" w:rsidRPr="00043334" w:rsidRDefault="00DD6E8A" w:rsidP="00DD6E8A">
      <w:pPr>
        <w:spacing w:after="0" w:line="360" w:lineRule="auto"/>
        <w:ind w:firstLine="720"/>
        <w:jc w:val="both"/>
        <w:rPr>
          <w:color w:val="auto"/>
          <w:lang w:val="en-AU"/>
        </w:rPr>
      </w:pPr>
      <w:bookmarkStart w:id="0" w:name="_Hlk183013761"/>
      <w:r w:rsidRPr="00043334">
        <w:rPr>
          <w:color w:val="auto"/>
          <w:lang w:val="en-AU"/>
        </w:rPr>
        <w:t xml:space="preserve">The QIDS </w:t>
      </w:r>
      <w:sdt>
        <w:sdtPr>
          <w:rPr>
            <w:color w:val="auto"/>
            <w:lang w:val="en-AU"/>
          </w:rPr>
          <w:tag w:val="MENDELEY_CITATION_v3_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"/>
          <w:id w:val="2107458131"/>
          <w:placeholder>
            <w:docPart w:val="D39897807DF44366B9E53A2977210E95"/>
          </w:placeholder>
        </w:sdtPr>
        <w:sdtEndPr/>
        <w:sdtContent>
          <w:r w:rsidR="005E66C4" w:rsidRPr="00043334">
            <w:rPr>
              <w:color w:val="auto"/>
              <w:lang w:val="en-AU"/>
            </w:rPr>
            <w:t>[3]</w:t>
          </w:r>
        </w:sdtContent>
      </w:sdt>
      <w:r w:rsidRPr="00043334">
        <w:rPr>
          <w:color w:val="auto"/>
          <w:lang w:val="en-AU"/>
        </w:rPr>
        <w:t xml:space="preserve"> is a 16-item measure derived from the Inventory of Depressive Symptomatology; the present study used the clinical administered measure. The QIDS evaluates of depressive symptom severity across the 9 DSM-IV symptom criterion domains of depression – including sad mood, concentration, self-criticism, suicidal ideation, interest, energy/fatigue, sleep disturbance, changes in appetite/weight, and psychomotor </w:t>
      </w:r>
      <w:r w:rsidRPr="00043334">
        <w:rPr>
          <w:color w:val="auto"/>
          <w:lang w:val="en-AU"/>
        </w:rPr>
        <w:lastRenderedPageBreak/>
        <w:t xml:space="preserve">agitation/retardation, where items are scored on a 4-point scale from 0 to 3 and total scores range from 0 to 27 with higher scores indicating greater symptom severity. </w:t>
      </w:r>
    </w:p>
    <w:bookmarkEnd w:id="0"/>
    <w:p w14:paraId="7C12711E" w14:textId="77777777" w:rsidR="00DD6E8A" w:rsidRPr="00043334" w:rsidRDefault="00DD6E8A" w:rsidP="00DD6E8A">
      <w:pPr>
        <w:spacing w:after="0" w:line="360" w:lineRule="auto"/>
        <w:jc w:val="both"/>
        <w:rPr>
          <w:color w:val="auto"/>
          <w:lang w:val="en-AU"/>
        </w:rPr>
      </w:pPr>
    </w:p>
    <w:p w14:paraId="6A8A97A3" w14:textId="77777777" w:rsidR="00DD6E8A" w:rsidRPr="00043334" w:rsidRDefault="00DD6E8A" w:rsidP="00DD6E8A">
      <w:pPr>
        <w:spacing w:after="0" w:line="360" w:lineRule="auto"/>
        <w:jc w:val="both"/>
        <w:rPr>
          <w:b/>
          <w:bCs/>
          <w:i/>
          <w:iCs/>
          <w:color w:val="auto"/>
          <w:lang w:val="en-AU"/>
        </w:rPr>
      </w:pPr>
      <w:r w:rsidRPr="00043334">
        <w:rPr>
          <w:b/>
          <w:bCs/>
          <w:i/>
          <w:iCs/>
          <w:color w:val="auto"/>
          <w:lang w:val="en-AU"/>
        </w:rPr>
        <w:t>Snaith-Hamilton Pleasure Scale (SHAPS)</w:t>
      </w:r>
    </w:p>
    <w:p w14:paraId="61E83F46" w14:textId="59A7E9BE" w:rsidR="00DD6E8A" w:rsidRPr="00043334" w:rsidRDefault="00DD6E8A" w:rsidP="00DD6E8A">
      <w:pPr>
        <w:spacing w:after="0" w:line="360" w:lineRule="auto"/>
        <w:ind w:firstLine="720"/>
        <w:jc w:val="both"/>
        <w:rPr>
          <w:color w:val="auto"/>
          <w:lang w:val="en-AU"/>
        </w:rPr>
      </w:pPr>
      <w:r w:rsidRPr="00043334">
        <w:rPr>
          <w:color w:val="auto"/>
          <w:lang w:val="en-AU"/>
        </w:rPr>
        <w:t xml:space="preserve">The SHAPS </w:t>
      </w:r>
      <w:sdt>
        <w:sdtPr>
          <w:rPr>
            <w:color w:val="auto"/>
            <w:lang w:val="en-AU"/>
          </w:rPr>
          <w:tag w:val="MENDELEY_CITATION_v3_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"/>
          <w:id w:val="1738974691"/>
          <w:placeholder>
            <w:docPart w:val="D39897807DF44366B9E53A2977210E95"/>
          </w:placeholder>
        </w:sdtPr>
        <w:sdtEndPr/>
        <w:sdtContent>
          <w:r w:rsidR="005E66C4" w:rsidRPr="00043334">
            <w:rPr>
              <w:color w:val="auto"/>
              <w:lang w:val="en-AU"/>
            </w:rPr>
            <w:t>[4]</w:t>
          </w:r>
        </w:sdtContent>
      </w:sdt>
      <w:r w:rsidRPr="00043334">
        <w:rPr>
          <w:color w:val="auto"/>
          <w:lang w:val="en-AU"/>
        </w:rPr>
        <w:t xml:space="preserve"> is a 14-item self-report scale assesses loss of interest in or pleasure from completing everyday activities. Participants rate each item on a scale from 1 (</w:t>
      </w:r>
      <w:r w:rsidRPr="00043334">
        <w:rPr>
          <w:i/>
          <w:iCs/>
          <w:color w:val="auto"/>
          <w:lang w:val="en-AU"/>
        </w:rPr>
        <w:t>strongly agree</w:t>
      </w:r>
      <w:r w:rsidRPr="00043334">
        <w:rPr>
          <w:color w:val="auto"/>
          <w:lang w:val="en-AU"/>
        </w:rPr>
        <w:t>) to 4 (</w:t>
      </w:r>
      <w:r w:rsidRPr="00043334">
        <w:rPr>
          <w:i/>
          <w:iCs/>
          <w:color w:val="auto"/>
          <w:lang w:val="en-AU"/>
        </w:rPr>
        <w:t>strongly disagree</w:t>
      </w:r>
      <w:r w:rsidRPr="00043334">
        <w:rPr>
          <w:color w:val="auto"/>
          <w:lang w:val="en-AU"/>
        </w:rPr>
        <w:t>) as to how relevant the item was to themselves over the last few days. Overall scores range from 14 to 56 and are scored such that higher scores indicate higher levels of anhedonia.</w:t>
      </w:r>
    </w:p>
    <w:p w14:paraId="25D05253" w14:textId="77777777" w:rsidR="00DD6E8A" w:rsidRPr="00043334" w:rsidRDefault="00DD6E8A" w:rsidP="00DD6E8A">
      <w:pPr>
        <w:spacing w:after="0" w:line="360" w:lineRule="auto"/>
        <w:jc w:val="both"/>
        <w:rPr>
          <w:color w:val="auto"/>
          <w:lang w:val="en-AU"/>
        </w:rPr>
      </w:pPr>
    </w:p>
    <w:p w14:paraId="43F2F13A" w14:textId="77777777" w:rsidR="00DD6E8A" w:rsidRPr="00043334" w:rsidRDefault="00DD6E8A" w:rsidP="00DD6E8A">
      <w:pPr>
        <w:spacing w:after="0" w:line="360" w:lineRule="auto"/>
        <w:jc w:val="both"/>
        <w:rPr>
          <w:b/>
          <w:bCs/>
          <w:i/>
          <w:iCs/>
          <w:color w:val="auto"/>
          <w:lang w:val="en-AU"/>
        </w:rPr>
      </w:pPr>
      <w:r w:rsidRPr="00043334">
        <w:rPr>
          <w:b/>
          <w:bCs/>
          <w:i/>
          <w:iCs/>
          <w:color w:val="auto"/>
          <w:lang w:val="en-AU"/>
        </w:rPr>
        <w:t>Ruminative Response Scale (RRS)</w:t>
      </w:r>
    </w:p>
    <w:p w14:paraId="5A1D04F4" w14:textId="5BE4B7C2" w:rsidR="00DD6E8A" w:rsidRPr="00043334" w:rsidRDefault="00DD6E8A" w:rsidP="00DD6E8A">
      <w:pPr>
        <w:spacing w:after="0" w:line="360" w:lineRule="auto"/>
        <w:ind w:firstLine="720"/>
        <w:jc w:val="both"/>
        <w:rPr>
          <w:color w:val="auto"/>
          <w:lang w:val="en-AU"/>
        </w:rPr>
      </w:pPr>
      <w:r w:rsidRPr="00043334">
        <w:rPr>
          <w:color w:val="auto"/>
          <w:lang w:val="en-AU"/>
        </w:rPr>
        <w:t xml:space="preserve">The RRS </w:t>
      </w:r>
      <w:sdt>
        <w:sdtPr>
          <w:rPr>
            <w:color w:val="auto"/>
            <w:lang w:val="en-AU"/>
          </w:rPr>
          <w:tag w:val="MENDELEY_CITATION_v3_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"/>
          <w:id w:val="2035067491"/>
          <w:placeholder>
            <w:docPart w:val="69A47CBCA2BF4556920AD7BB411C0C75"/>
          </w:placeholder>
        </w:sdtPr>
        <w:sdtEndPr/>
        <w:sdtContent>
          <w:r w:rsidR="005E66C4" w:rsidRPr="00043334">
            <w:rPr>
              <w:rFonts w:eastAsia="Times New Roman"/>
              <w:color w:val="auto"/>
            </w:rPr>
            <w:t>[5]</w:t>
          </w:r>
        </w:sdtContent>
      </w:sdt>
      <w:r w:rsidRPr="00043334">
        <w:rPr>
          <w:color w:val="auto"/>
          <w:lang w:val="en-AU"/>
        </w:rPr>
        <w:t xml:space="preserve"> is a 22-item self-report scale that assesses a participant’s overall ruminative thinking as well as subscales related to reflective thinking, brooding, and depression-related rumination. Participants rate each item on a 1 (</w:t>
      </w:r>
      <w:r w:rsidRPr="00043334">
        <w:rPr>
          <w:i/>
          <w:iCs/>
          <w:color w:val="auto"/>
          <w:lang w:val="en-AU"/>
        </w:rPr>
        <w:t>almost never</w:t>
      </w:r>
      <w:r w:rsidRPr="00043334">
        <w:rPr>
          <w:color w:val="auto"/>
          <w:lang w:val="en-AU"/>
        </w:rPr>
        <w:t>) to 4 (</w:t>
      </w:r>
      <w:r w:rsidRPr="00043334">
        <w:rPr>
          <w:i/>
          <w:iCs/>
          <w:color w:val="auto"/>
          <w:lang w:val="en-AU"/>
        </w:rPr>
        <w:t>almost always</w:t>
      </w:r>
      <w:r w:rsidRPr="00043334">
        <w:rPr>
          <w:color w:val="auto"/>
          <w:lang w:val="en-AU"/>
        </w:rPr>
        <w:t>) scale relevant to their thoughts when they feel down, sad, or depressed. Overall scores range from 22 to 88 and are scored such that higher scores indicate higher levels of rumination.</w:t>
      </w:r>
    </w:p>
    <w:p w14:paraId="2653D80A" w14:textId="77777777" w:rsidR="00DD6E8A" w:rsidRPr="00043334" w:rsidRDefault="00DD6E8A" w:rsidP="00DD6E8A">
      <w:pPr>
        <w:spacing w:after="0" w:line="360" w:lineRule="auto"/>
        <w:jc w:val="both"/>
        <w:rPr>
          <w:color w:val="auto"/>
          <w:lang w:val="en-AU"/>
        </w:rPr>
      </w:pPr>
    </w:p>
    <w:p w14:paraId="7993B179" w14:textId="77777777" w:rsidR="00DD6E8A" w:rsidRPr="00043334" w:rsidRDefault="00DD6E8A" w:rsidP="00DD6E8A">
      <w:pPr>
        <w:spacing w:after="0" w:line="360" w:lineRule="auto"/>
        <w:jc w:val="both"/>
        <w:rPr>
          <w:b/>
          <w:bCs/>
          <w:i/>
          <w:iCs/>
          <w:color w:val="auto"/>
          <w:lang w:val="en-AU"/>
        </w:rPr>
      </w:pPr>
      <w:r w:rsidRPr="00043334">
        <w:rPr>
          <w:b/>
          <w:bCs/>
          <w:i/>
          <w:iCs/>
          <w:color w:val="auto"/>
          <w:lang w:val="en-AU"/>
        </w:rPr>
        <w:t>Lagged Phase Synchronization</w:t>
      </w:r>
    </w:p>
    <w:p w14:paraId="235EBAA4" w14:textId="5AA347E3" w:rsidR="00DD6E8A" w:rsidRPr="00043334" w:rsidRDefault="00DD6E8A" w:rsidP="00513963">
      <w:pPr>
        <w:spacing w:after="0" w:line="360" w:lineRule="auto"/>
        <w:ind w:firstLine="720"/>
        <w:jc w:val="both"/>
        <w:rPr>
          <w:color w:val="auto"/>
          <w:lang w:val="en-AU"/>
        </w:rPr>
      </w:pPr>
      <w:r w:rsidRPr="00043334">
        <w:rPr>
          <w:color w:val="auto"/>
          <w:lang w:val="en-AU"/>
        </w:rPr>
        <w:t xml:space="preserve">Lagged phase synchronization (LPS) is a measure of non-linear intracortical functional connectivity calculated using normalized Fourier transforms </w:t>
      </w:r>
      <w:sdt>
        <w:sdtPr>
          <w:rPr>
            <w:color w:val="auto"/>
            <w:lang w:val="en-AU"/>
          </w:rPr>
          <w:tag w:val="MENDELEY_CITATION_v3_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"/>
          <w:id w:val="648784804"/>
          <w:placeholder>
            <w:docPart w:val="E59F59C016244E23A92AEEDC85E0B30C"/>
          </w:placeholder>
        </w:sdtPr>
        <w:sdtEndPr/>
        <w:sdtContent>
          <w:r w:rsidR="005E66C4" w:rsidRPr="00043334">
            <w:rPr>
              <w:color w:val="auto"/>
              <w:lang w:val="en-AU"/>
            </w:rPr>
            <w:t>[6]</w:t>
          </w:r>
        </w:sdtContent>
      </w:sdt>
      <w:r w:rsidRPr="00043334">
        <w:rPr>
          <w:color w:val="auto"/>
          <w:lang w:val="en-AU"/>
        </w:rPr>
        <w:t>. In its derivation LPS minimizes the effects of volume conduction and associated artifacts by removing the instantaneous (i.e., zero-lag) component from the total phase synchronization parameter and leaving only the non-instantaneous (i.e., lagged) phase synchrony information.</w:t>
      </w:r>
      <w:r w:rsidR="00513963" w:rsidRPr="00043334">
        <w:rPr>
          <w:color w:val="auto"/>
          <w:lang w:val="en-AU"/>
        </w:rPr>
        <w:t xml:space="preserve"> </w:t>
      </w:r>
      <w:r w:rsidRPr="00043334">
        <w:rPr>
          <w:color w:val="auto"/>
          <w:lang w:val="en-AU"/>
        </w:rPr>
        <w:t>Total phase synchronization is computed using the following formula: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0"/>
        <w:gridCol w:w="496"/>
      </w:tblGrid>
      <w:tr w:rsidR="00043334" w:rsidRPr="00043334" w14:paraId="5302752D" w14:textId="77777777" w:rsidTr="00D90A58">
        <w:tc>
          <w:tcPr>
            <w:tcW w:w="8520" w:type="dxa"/>
          </w:tcPr>
          <w:p w14:paraId="042AF442" w14:textId="77777777" w:rsidR="00DD6E8A" w:rsidRPr="00043334" w:rsidRDefault="00043334" w:rsidP="00D90A58">
            <w:pPr>
              <w:spacing w:line="360" w:lineRule="auto"/>
              <w:jc w:val="center"/>
              <w:rPr>
                <w:i/>
                <w:iCs/>
                <w:color w:val="auto"/>
                <w:lang w:val="en-AU"/>
              </w:rPr>
            </w:pPr>
            <m:oMathPara>
              <m:oMath>
                <m:sSubSup>
                  <m:sSubSupPr>
                    <m:ctrlPr>
                      <w:rPr>
                        <w:rFonts w:ascii="Cambria Math" w:hAnsi="Cambria Math"/>
                        <w:i/>
                        <w:iCs/>
                        <w:color w:val="auto"/>
                        <w:lang w:val="en-AU"/>
                      </w:rPr>
                    </m:ctrlPr>
                  </m:sSubSupPr>
                  <m:e>
                    <m:r>
                      <w:rPr>
                        <w:rFonts w:ascii="Cambria Math" w:hAnsi="Cambria Math"/>
                        <w:color w:val="auto"/>
                        <w:lang w:val="en-AU"/>
                      </w:rPr>
                      <m:t>φ</m:t>
                    </m:r>
                  </m:e>
                  <m:sub>
                    <m:r>
                      <w:rPr>
                        <w:rFonts w:ascii="Cambria Math" w:hAnsi="Cambria Math"/>
                        <w:color w:val="auto"/>
                        <w:lang w:val="en-AU"/>
                      </w:rPr>
                      <m:t>x,y</m:t>
                    </m:r>
                  </m:sub>
                  <m:sup>
                    <m:r>
                      <w:rPr>
                        <w:rFonts w:ascii="Cambria Math" w:hAnsi="Cambria Math"/>
                        <w:color w:val="auto"/>
                        <w:lang w:val="en-AU"/>
                      </w:rPr>
                      <m:t>2</m:t>
                    </m:r>
                  </m:sup>
                </m:sSubSup>
                <m:d>
                  <m:dPr>
                    <m:ctrlPr>
                      <w:rPr>
                        <w:rFonts w:ascii="Cambria Math" w:hAnsi="Cambria Math"/>
                        <w:i/>
                        <w:iCs/>
                        <w:color w:val="auto"/>
                        <w:lang w:val="en-AU"/>
                      </w:rPr>
                    </m:ctrlPr>
                  </m:dPr>
                  <m:e>
                    <m:r>
                      <w:rPr>
                        <w:rFonts w:ascii="Cambria Math" w:hAnsi="Cambria Math"/>
                        <w:color w:val="auto"/>
                        <w:lang w:val="en-AU"/>
                      </w:rPr>
                      <m:t>ω</m:t>
                    </m:r>
                  </m:e>
                </m:d>
                <m:r>
                  <w:rPr>
                    <w:rFonts w:ascii="Cambria Math" w:hAnsi="Cambria Math"/>
                    <w:color w:val="auto"/>
                    <w:lang w:val="en-AU"/>
                  </w:rPr>
                  <m:t>=|</m:t>
                </m:r>
                <m:sSub>
                  <m:sSubPr>
                    <m:ctrlPr>
                      <w:rPr>
                        <w:rFonts w:ascii="Cambria Math" w:hAnsi="Cambria Math"/>
                        <w:i/>
                        <w:iCs/>
                        <w:color w:val="auto"/>
                        <w:lang w:val="en-AU"/>
                      </w:rPr>
                    </m:ctrlPr>
                  </m:sSubPr>
                  <m:e>
                    <m:r>
                      <w:rPr>
                        <w:rFonts w:ascii="Cambria Math" w:hAnsi="Cambria Math"/>
                        <w:color w:val="auto"/>
                        <w:lang w:val="en-AU"/>
                      </w:rPr>
                      <m:t>f</m:t>
                    </m:r>
                  </m:e>
                  <m:sub>
                    <m:r>
                      <w:rPr>
                        <w:rFonts w:ascii="Cambria Math" w:hAnsi="Cambria Math"/>
                        <w:color w:val="auto"/>
                        <w:lang w:val="en-AU"/>
                      </w:rPr>
                      <m:t>x,y</m:t>
                    </m:r>
                  </m:sub>
                </m:sSub>
                <m:d>
                  <m:dPr>
                    <m:ctrlPr>
                      <w:rPr>
                        <w:rFonts w:ascii="Cambria Math" w:hAnsi="Cambria Math"/>
                        <w:i/>
                        <w:iCs/>
                        <w:color w:val="auto"/>
                        <w:lang w:val="en-AU"/>
                      </w:rPr>
                    </m:ctrlPr>
                  </m:dPr>
                  <m:e>
                    <m:r>
                      <w:rPr>
                        <w:rFonts w:ascii="Cambria Math" w:hAnsi="Cambria Math"/>
                        <w:color w:val="auto"/>
                        <w:lang w:val="en-AU"/>
                      </w:rPr>
                      <m:t>ω</m:t>
                    </m:r>
                  </m:e>
                </m:d>
                <m:sSup>
                  <m:sSupPr>
                    <m:ctrlPr>
                      <w:rPr>
                        <w:rFonts w:ascii="Cambria Math" w:hAnsi="Cambria Math"/>
                        <w:i/>
                        <w:iCs/>
                        <w:color w:val="auto"/>
                        <w:lang w:val="en-AU"/>
                      </w:rPr>
                    </m:ctrlPr>
                  </m:sSupPr>
                  <m:e>
                    <m:r>
                      <w:rPr>
                        <w:rFonts w:ascii="Cambria Math" w:hAnsi="Cambria Math"/>
                        <w:color w:val="auto"/>
                        <w:lang w:val="en-AU"/>
                      </w:rPr>
                      <m:t>|</m:t>
                    </m:r>
                  </m:e>
                  <m:sup>
                    <m:r>
                      <w:rPr>
                        <w:rFonts w:ascii="Cambria Math" w:hAnsi="Cambria Math"/>
                        <w:color w:val="auto"/>
                        <w:lang w:val="en-AU"/>
                      </w:rPr>
                      <m:t>2</m:t>
                    </m:r>
                  </m:sup>
                </m:sSup>
                <m:r>
                  <w:rPr>
                    <w:rFonts w:ascii="Cambria Math" w:hAnsi="Cambria Math"/>
                    <w:color w:val="auto"/>
                    <w:lang w:val="en-AU"/>
                  </w:rPr>
                  <m:t>=</m:t>
                </m:r>
                <m:sSup>
                  <m:sSupPr>
                    <m:ctrlPr>
                      <w:rPr>
                        <w:rFonts w:ascii="Cambria Math" w:hAnsi="Cambria Math"/>
                        <w:i/>
                        <w:iCs/>
                        <w:color w:val="auto"/>
                        <w:lang w:val="en-AU"/>
                      </w:rPr>
                    </m:ctrlPr>
                  </m:sSupPr>
                  <m:e>
                    <m:d>
                      <m:dPr>
                        <m:begChr m:val="{"/>
                        <m:endChr m:val="}"/>
                        <m:ctrlPr>
                          <w:rPr>
                            <w:rFonts w:ascii="Cambria Math" w:hAnsi="Cambria Math"/>
                            <w:color w:val="auto"/>
                            <w:lang w:val="en-AU"/>
                          </w:rPr>
                        </m:ctrlPr>
                      </m:dPr>
                      <m:e>
                        <m:r>
                          <m:rPr>
                            <m:sty m:val="p"/>
                          </m:rPr>
                          <w:rPr>
                            <w:rFonts w:ascii="Cambria Math" w:hAnsi="Cambria Math"/>
                            <w:color w:val="auto"/>
                            <w:lang w:val="en-AU"/>
                          </w:rPr>
                          <m:t>Re</m:t>
                        </m:r>
                        <m:d>
                          <m:dPr>
                            <m:begChr m:val="["/>
                            <m:endChr m:val="]"/>
                            <m:ctrlPr>
                              <w:rPr>
                                <w:rFonts w:ascii="Cambria Math" w:hAnsi="Cambria Math"/>
                                <w:color w:val="auto"/>
                                <w:lang w:val="en-AU"/>
                              </w:rPr>
                            </m:ctrlPr>
                          </m:dPr>
                          <m:e>
                            <m:sSub>
                              <m:sSubPr>
                                <m:ctrlPr>
                                  <w:rPr>
                                    <w:rFonts w:ascii="Cambria Math" w:hAnsi="Cambria Math"/>
                                    <w:color w:val="auto"/>
                                    <w:lang w:val="en-AU"/>
                                  </w:rPr>
                                </m:ctrlPr>
                              </m:sSubPr>
                              <m:e>
                                <m:r>
                                  <w:rPr>
                                    <w:rFonts w:ascii="Cambria Math" w:hAnsi="Cambria Math"/>
                                    <w:color w:val="auto"/>
                                    <w:lang w:val="en-AU"/>
                                  </w:rPr>
                                  <m:t>f</m:t>
                                </m:r>
                              </m:e>
                              <m:sub>
                                <m:r>
                                  <w:rPr>
                                    <w:rFonts w:ascii="Cambria Math" w:hAnsi="Cambria Math"/>
                                    <w:color w:val="auto"/>
                                    <w:lang w:val="en-AU"/>
                                  </w:rPr>
                                  <m:t>x,y</m:t>
                                </m:r>
                              </m:sub>
                            </m:sSub>
                            <m:d>
                              <m:dPr>
                                <m:ctrlPr>
                                  <w:rPr>
                                    <w:rFonts w:ascii="Cambria Math" w:hAnsi="Cambria Math"/>
                                    <w:i/>
                                    <w:color w:val="auto"/>
                                    <w:lang w:val="en-AU"/>
                                  </w:rPr>
                                </m:ctrlPr>
                              </m:dPr>
                              <m:e>
                                <m:r>
                                  <w:rPr>
                                    <w:rFonts w:ascii="Cambria Math" w:hAnsi="Cambria Math"/>
                                    <w:color w:val="auto"/>
                                    <w:lang w:val="en-AU"/>
                                  </w:rPr>
                                  <m:t>ω</m:t>
                                </m:r>
                              </m:e>
                            </m:d>
                            <m:ctrlPr>
                              <w:rPr>
                                <w:rFonts w:ascii="Cambria Math" w:hAnsi="Cambria Math"/>
                                <w:i/>
                                <w:color w:val="auto"/>
                                <w:lang w:val="en-AU"/>
                              </w:rPr>
                            </m:ctrlPr>
                          </m:e>
                        </m:d>
                        <m:ctrlPr>
                          <w:rPr>
                            <w:rFonts w:ascii="Cambria Math" w:hAnsi="Cambria Math"/>
                            <w:i/>
                            <w:color w:val="auto"/>
                            <w:lang w:val="en-AU"/>
                          </w:rPr>
                        </m:ctrlPr>
                      </m:e>
                    </m:d>
                  </m:e>
                  <m:sup>
                    <m:r>
                      <w:rPr>
                        <w:rFonts w:ascii="Cambria Math" w:hAnsi="Cambria Math"/>
                        <w:color w:val="auto"/>
                        <w:lang w:val="en-AU"/>
                      </w:rPr>
                      <m:t>2</m:t>
                    </m:r>
                  </m:sup>
                </m:sSup>
                <m:r>
                  <w:rPr>
                    <w:rFonts w:ascii="Cambria Math" w:hAnsi="Cambria Math"/>
                    <w:color w:val="auto"/>
                    <w:lang w:val="en-AU"/>
                  </w:rPr>
                  <m:t xml:space="preserve">+ </m:t>
                </m:r>
                <m:sSup>
                  <m:sSupPr>
                    <m:ctrlPr>
                      <w:rPr>
                        <w:rFonts w:ascii="Cambria Math" w:hAnsi="Cambria Math"/>
                        <w:i/>
                        <w:iCs/>
                        <w:color w:val="auto"/>
                        <w:lang w:val="en-AU"/>
                      </w:rPr>
                    </m:ctrlPr>
                  </m:sSupPr>
                  <m:e>
                    <m:r>
                      <w:rPr>
                        <w:rFonts w:ascii="Cambria Math" w:hAnsi="Cambria Math"/>
                        <w:color w:val="auto"/>
                        <w:lang w:val="en-AU"/>
                      </w:rPr>
                      <m:t>{</m:t>
                    </m:r>
                    <m:r>
                      <m:rPr>
                        <m:sty m:val="p"/>
                      </m:rPr>
                      <w:rPr>
                        <w:rFonts w:ascii="Cambria Math" w:hAnsi="Cambria Math"/>
                        <w:color w:val="auto"/>
                        <w:lang w:val="en-AU"/>
                      </w:rPr>
                      <m:t>Im</m:t>
                    </m:r>
                    <m:d>
                      <m:dPr>
                        <m:begChr m:val="["/>
                        <m:endChr m:val="]"/>
                        <m:ctrlPr>
                          <w:rPr>
                            <w:rFonts w:ascii="Cambria Math" w:hAnsi="Cambria Math"/>
                            <w:color w:val="auto"/>
                            <w:lang w:val="en-AU"/>
                          </w:rPr>
                        </m:ctrlPr>
                      </m:dPr>
                      <m:e>
                        <m:sSub>
                          <m:sSubPr>
                            <m:ctrlPr>
                              <w:rPr>
                                <w:rFonts w:ascii="Cambria Math" w:hAnsi="Cambria Math"/>
                                <w:color w:val="auto"/>
                                <w:lang w:val="en-AU"/>
                              </w:rPr>
                            </m:ctrlPr>
                          </m:sSubPr>
                          <m:e>
                            <m:r>
                              <w:rPr>
                                <w:rFonts w:ascii="Cambria Math" w:hAnsi="Cambria Math"/>
                                <w:color w:val="auto"/>
                                <w:lang w:val="en-AU"/>
                              </w:rPr>
                              <m:t>f</m:t>
                            </m:r>
                          </m:e>
                          <m:sub>
                            <m:r>
                              <w:rPr>
                                <w:rFonts w:ascii="Cambria Math" w:hAnsi="Cambria Math"/>
                                <w:color w:val="auto"/>
                                <w:lang w:val="en-AU"/>
                              </w:rPr>
                              <m:t>x,y</m:t>
                            </m:r>
                          </m:sub>
                        </m:sSub>
                        <m:d>
                          <m:dPr>
                            <m:ctrlPr>
                              <w:rPr>
                                <w:rFonts w:ascii="Cambria Math" w:hAnsi="Cambria Math"/>
                                <w:i/>
                                <w:color w:val="auto"/>
                                <w:lang w:val="en-AU"/>
                              </w:rPr>
                            </m:ctrlPr>
                          </m:dPr>
                          <m:e>
                            <m:r>
                              <w:rPr>
                                <w:rFonts w:ascii="Cambria Math" w:hAnsi="Cambria Math"/>
                                <w:color w:val="auto"/>
                                <w:lang w:val="en-AU"/>
                              </w:rPr>
                              <m:t>ω</m:t>
                            </m:r>
                          </m:e>
                        </m:d>
                        <m:ctrlPr>
                          <w:rPr>
                            <w:rFonts w:ascii="Cambria Math" w:hAnsi="Cambria Math"/>
                            <w:i/>
                            <w:color w:val="auto"/>
                            <w:lang w:val="en-AU"/>
                          </w:rPr>
                        </m:ctrlPr>
                      </m:e>
                    </m:d>
                    <m:r>
                      <w:rPr>
                        <w:rFonts w:ascii="Cambria Math" w:hAnsi="Cambria Math"/>
                        <w:color w:val="auto"/>
                        <w:lang w:val="en-AU"/>
                      </w:rPr>
                      <m:t>}</m:t>
                    </m:r>
                  </m:e>
                  <m:sup>
                    <m:r>
                      <w:rPr>
                        <w:rFonts w:ascii="Cambria Math" w:hAnsi="Cambria Math"/>
                        <w:color w:val="auto"/>
                        <w:lang w:val="en-AU"/>
                      </w:rPr>
                      <m:t>2</m:t>
                    </m:r>
                  </m:sup>
                </m:sSup>
              </m:oMath>
            </m:oMathPara>
          </w:p>
        </w:tc>
        <w:tc>
          <w:tcPr>
            <w:tcW w:w="496" w:type="dxa"/>
          </w:tcPr>
          <w:p w14:paraId="7EE930CF" w14:textId="77777777" w:rsidR="00DD6E8A" w:rsidRPr="00043334" w:rsidRDefault="00DD6E8A" w:rsidP="00D90A58">
            <w:pPr>
              <w:spacing w:line="360" w:lineRule="auto"/>
              <w:rPr>
                <w:color w:val="auto"/>
                <w:lang w:val="en-AU"/>
              </w:rPr>
            </w:pPr>
            <w:r w:rsidRPr="00043334">
              <w:rPr>
                <w:color w:val="auto"/>
                <w:lang w:val="en-AU"/>
              </w:rPr>
              <w:t>(1)</w:t>
            </w:r>
          </w:p>
        </w:tc>
      </w:tr>
    </w:tbl>
    <w:p w14:paraId="2056227B" w14:textId="77777777" w:rsidR="00DD6E8A" w:rsidRPr="00043334" w:rsidRDefault="00DD6E8A" w:rsidP="00DD6E8A">
      <w:pPr>
        <w:spacing w:before="240" w:after="0" w:line="360" w:lineRule="auto"/>
        <w:ind w:firstLine="720"/>
        <w:rPr>
          <w:color w:val="auto"/>
          <w:lang w:val="en-AU"/>
        </w:rPr>
      </w:pPr>
      <w:r w:rsidRPr="00043334">
        <w:rPr>
          <w:color w:val="auto"/>
          <w:lang w:val="en-AU"/>
        </w:rP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0"/>
        <w:gridCol w:w="496"/>
      </w:tblGrid>
      <w:tr w:rsidR="00043334" w:rsidRPr="00043334" w14:paraId="571012AE" w14:textId="77777777" w:rsidTr="00D90A58">
        <w:tc>
          <w:tcPr>
            <w:tcW w:w="8520" w:type="dxa"/>
          </w:tcPr>
          <w:p w14:paraId="23758813" w14:textId="77777777" w:rsidR="00DD6E8A" w:rsidRPr="00043334" w:rsidRDefault="00043334" w:rsidP="00D90A58">
            <w:pPr>
              <w:spacing w:line="360" w:lineRule="auto"/>
              <w:jc w:val="center"/>
              <w:rPr>
                <w:i/>
                <w:iCs/>
                <w:color w:val="auto"/>
                <w:lang w:val="en-AU"/>
              </w:rPr>
            </w:pPr>
            <m:oMathPara>
              <m:oMath>
                <m:sSub>
                  <m:sSubPr>
                    <m:ctrlPr>
                      <w:rPr>
                        <w:rFonts w:ascii="Cambria Math" w:hAnsi="Cambria Math"/>
                        <w:i/>
                        <w:iCs/>
                        <w:color w:val="auto"/>
                        <w:lang w:val="en-AU"/>
                      </w:rPr>
                    </m:ctrlPr>
                  </m:sSubPr>
                  <m:e>
                    <m:r>
                      <w:rPr>
                        <w:rFonts w:ascii="Cambria Math" w:hAnsi="Cambria Math"/>
                        <w:color w:val="auto"/>
                        <w:lang w:val="en-AU"/>
                      </w:rPr>
                      <m:t>f</m:t>
                    </m:r>
                  </m:e>
                  <m:sub>
                    <m:r>
                      <w:rPr>
                        <w:rFonts w:ascii="Cambria Math" w:hAnsi="Cambria Math"/>
                        <w:color w:val="auto"/>
                        <w:lang w:val="en-AU"/>
                      </w:rPr>
                      <m:t>x,y</m:t>
                    </m:r>
                  </m:sub>
                </m:sSub>
                <m:d>
                  <m:dPr>
                    <m:ctrlPr>
                      <w:rPr>
                        <w:rFonts w:ascii="Cambria Math" w:hAnsi="Cambria Math"/>
                        <w:i/>
                        <w:iCs/>
                        <w:color w:val="auto"/>
                        <w:lang w:val="en-AU"/>
                      </w:rPr>
                    </m:ctrlPr>
                  </m:dPr>
                  <m:e>
                    <m:r>
                      <w:rPr>
                        <w:rFonts w:ascii="Cambria Math" w:hAnsi="Cambria Math"/>
                        <w:color w:val="auto"/>
                        <w:lang w:val="en-AU"/>
                      </w:rPr>
                      <m:t>ω</m:t>
                    </m:r>
                  </m:e>
                </m:d>
                <m:r>
                  <w:rPr>
                    <w:rFonts w:ascii="Cambria Math" w:hAnsi="Cambria Math"/>
                    <w:color w:val="auto"/>
                    <w:lang w:val="en-AU"/>
                  </w:rPr>
                  <m:t>=</m:t>
                </m:r>
                <m:f>
                  <m:fPr>
                    <m:ctrlPr>
                      <w:rPr>
                        <w:rFonts w:ascii="Cambria Math" w:hAnsi="Cambria Math"/>
                        <w:i/>
                        <w:iCs/>
                        <w:color w:val="auto"/>
                        <w:lang w:val="en-AU"/>
                      </w:rPr>
                    </m:ctrlPr>
                  </m:fPr>
                  <m:num>
                    <m:r>
                      <w:rPr>
                        <w:rFonts w:ascii="Cambria Math" w:hAnsi="Cambria Math"/>
                        <w:color w:val="auto"/>
                        <w:lang w:val="en-AU"/>
                      </w:rPr>
                      <m:t>1</m:t>
                    </m:r>
                  </m:num>
                  <m:den>
                    <m:sSub>
                      <m:sSubPr>
                        <m:ctrlPr>
                          <w:rPr>
                            <w:rFonts w:ascii="Cambria Math" w:hAnsi="Cambria Math"/>
                            <w:i/>
                            <w:iCs/>
                            <w:color w:val="auto"/>
                            <w:lang w:val="en-AU"/>
                          </w:rPr>
                        </m:ctrlPr>
                      </m:sSubPr>
                      <m:e>
                        <m:r>
                          <w:rPr>
                            <w:rFonts w:ascii="Cambria Math" w:hAnsi="Cambria Math"/>
                            <w:color w:val="auto"/>
                            <w:lang w:val="en-AU"/>
                          </w:rPr>
                          <m:t>N</m:t>
                        </m:r>
                      </m:e>
                      <m:sub>
                        <m:r>
                          <w:rPr>
                            <w:rFonts w:ascii="Cambria Math" w:hAnsi="Cambria Math"/>
                            <w:color w:val="auto"/>
                            <w:lang w:val="en-AU"/>
                          </w:rPr>
                          <m:t>R</m:t>
                        </m:r>
                      </m:sub>
                    </m:sSub>
                  </m:den>
                </m:f>
                <m:nary>
                  <m:naryPr>
                    <m:chr m:val="∑"/>
                    <m:limLoc m:val="subSup"/>
                    <m:ctrlPr>
                      <w:rPr>
                        <w:rFonts w:ascii="Cambria Math" w:hAnsi="Cambria Math"/>
                        <w:i/>
                        <w:iCs/>
                        <w:color w:val="auto"/>
                        <w:lang w:val="en-AU"/>
                      </w:rPr>
                    </m:ctrlPr>
                  </m:naryPr>
                  <m:sub>
                    <m:r>
                      <w:rPr>
                        <w:rFonts w:ascii="Cambria Math" w:hAnsi="Cambria Math"/>
                        <w:color w:val="auto"/>
                        <w:lang w:val="en-AU"/>
                      </w:rPr>
                      <m:t>k=1</m:t>
                    </m:r>
                  </m:sub>
                  <m:sup>
                    <m:sSub>
                      <m:sSubPr>
                        <m:ctrlPr>
                          <w:rPr>
                            <w:rFonts w:ascii="Cambria Math" w:hAnsi="Cambria Math"/>
                            <w:i/>
                            <w:iCs/>
                            <w:color w:val="auto"/>
                            <w:lang w:val="en-AU"/>
                          </w:rPr>
                        </m:ctrlPr>
                      </m:sSubPr>
                      <m:e>
                        <m:r>
                          <w:rPr>
                            <w:rFonts w:ascii="Cambria Math" w:hAnsi="Cambria Math"/>
                            <w:color w:val="auto"/>
                            <w:lang w:val="en-AU"/>
                          </w:rPr>
                          <m:t>N</m:t>
                        </m:r>
                      </m:e>
                      <m:sub>
                        <m:r>
                          <w:rPr>
                            <w:rFonts w:ascii="Cambria Math" w:hAnsi="Cambria Math"/>
                            <w:color w:val="auto"/>
                            <w:lang w:val="en-AU"/>
                          </w:rPr>
                          <m:t>R</m:t>
                        </m:r>
                      </m:sub>
                    </m:sSub>
                  </m:sup>
                  <m:e>
                    <m:d>
                      <m:dPr>
                        <m:begChr m:val="⌊"/>
                        <m:endChr m:val="⌋"/>
                        <m:ctrlPr>
                          <w:rPr>
                            <w:rFonts w:ascii="Cambria Math" w:hAnsi="Cambria Math"/>
                            <w:i/>
                            <w:iCs/>
                            <w:color w:val="auto"/>
                            <w:lang w:val="en-AU"/>
                          </w:rPr>
                        </m:ctrlPr>
                      </m:dPr>
                      <m:e>
                        <m:f>
                          <m:fPr>
                            <m:ctrlPr>
                              <w:rPr>
                                <w:rFonts w:ascii="Cambria Math" w:hAnsi="Cambria Math"/>
                                <w:i/>
                                <w:iCs/>
                                <w:color w:val="auto"/>
                                <w:lang w:val="en-AU"/>
                              </w:rPr>
                            </m:ctrlPr>
                          </m:fPr>
                          <m:num>
                            <m:sSub>
                              <m:sSubPr>
                                <m:ctrlPr>
                                  <w:rPr>
                                    <w:rFonts w:ascii="Cambria Math" w:hAnsi="Cambria Math"/>
                                    <w:i/>
                                    <w:iCs/>
                                    <w:color w:val="auto"/>
                                    <w:lang w:val="en-AU"/>
                                  </w:rPr>
                                </m:ctrlPr>
                              </m:sSubPr>
                              <m:e>
                                <m:r>
                                  <w:rPr>
                                    <w:rFonts w:ascii="Cambria Math" w:hAnsi="Cambria Math"/>
                                    <w:color w:val="auto"/>
                                    <w:lang w:val="en-AU"/>
                                  </w:rPr>
                                  <m:t>x</m:t>
                                </m:r>
                              </m:e>
                              <m:sub>
                                <m:r>
                                  <w:rPr>
                                    <w:rFonts w:ascii="Cambria Math" w:hAnsi="Cambria Math"/>
                                    <w:color w:val="auto"/>
                                    <w:lang w:val="en-AU"/>
                                  </w:rPr>
                                  <m:t>k</m:t>
                                </m:r>
                              </m:sub>
                            </m:sSub>
                            <m:r>
                              <w:rPr>
                                <w:rFonts w:ascii="Cambria Math" w:hAnsi="Cambria Math"/>
                                <w:color w:val="auto"/>
                                <w:lang w:val="en-AU"/>
                              </w:rPr>
                              <m:t>(ω)</m:t>
                            </m:r>
                          </m:num>
                          <m:den>
                            <m:d>
                              <m:dPr>
                                <m:begChr m:val="|"/>
                                <m:endChr m:val="|"/>
                                <m:ctrlPr>
                                  <w:rPr>
                                    <w:rFonts w:ascii="Cambria Math" w:hAnsi="Cambria Math"/>
                                    <w:i/>
                                    <w:iCs/>
                                    <w:color w:val="auto"/>
                                    <w:lang w:val="en-AU"/>
                                  </w:rPr>
                                </m:ctrlPr>
                              </m:dPr>
                              <m:e>
                                <m:sSub>
                                  <m:sSubPr>
                                    <m:ctrlPr>
                                      <w:rPr>
                                        <w:rFonts w:ascii="Cambria Math" w:hAnsi="Cambria Math"/>
                                        <w:i/>
                                        <w:iCs/>
                                        <w:color w:val="auto"/>
                                        <w:lang w:val="en-AU"/>
                                      </w:rPr>
                                    </m:ctrlPr>
                                  </m:sSubPr>
                                  <m:e>
                                    <m:r>
                                      <w:rPr>
                                        <w:rFonts w:ascii="Cambria Math" w:hAnsi="Cambria Math"/>
                                        <w:color w:val="auto"/>
                                        <w:lang w:val="en-AU"/>
                                      </w:rPr>
                                      <m:t>x</m:t>
                                    </m:r>
                                  </m:e>
                                  <m:sub>
                                    <m:r>
                                      <w:rPr>
                                        <w:rFonts w:ascii="Cambria Math" w:hAnsi="Cambria Math"/>
                                        <w:color w:val="auto"/>
                                        <w:lang w:val="en-AU"/>
                                      </w:rPr>
                                      <m:t>k</m:t>
                                    </m:r>
                                  </m:sub>
                                </m:sSub>
                                <m:r>
                                  <w:rPr>
                                    <w:rFonts w:ascii="Cambria Math" w:hAnsi="Cambria Math"/>
                                    <w:color w:val="auto"/>
                                    <w:lang w:val="en-AU"/>
                                  </w:rPr>
                                  <m:t>(ω)</m:t>
                                </m:r>
                              </m:e>
                            </m:d>
                          </m:den>
                        </m:f>
                      </m:e>
                    </m:d>
                  </m:e>
                </m:nary>
                <m:d>
                  <m:dPr>
                    <m:begChr m:val="⌊"/>
                    <m:endChr m:val="⌋"/>
                    <m:ctrlPr>
                      <w:rPr>
                        <w:rFonts w:ascii="Cambria Math" w:hAnsi="Cambria Math"/>
                        <w:i/>
                        <w:iCs/>
                        <w:color w:val="auto"/>
                        <w:lang w:val="en-AU"/>
                      </w:rPr>
                    </m:ctrlPr>
                  </m:dPr>
                  <m:e>
                    <m:f>
                      <m:fPr>
                        <m:ctrlPr>
                          <w:rPr>
                            <w:rFonts w:ascii="Cambria Math" w:hAnsi="Cambria Math"/>
                            <w:i/>
                            <w:iCs/>
                            <w:color w:val="auto"/>
                            <w:lang w:val="en-AU"/>
                          </w:rPr>
                        </m:ctrlPr>
                      </m:fPr>
                      <m:num>
                        <m:sSubSup>
                          <m:sSubSupPr>
                            <m:ctrlPr>
                              <w:rPr>
                                <w:rFonts w:ascii="Cambria Math" w:hAnsi="Cambria Math"/>
                                <w:i/>
                                <w:iCs/>
                                <w:color w:val="auto"/>
                                <w:lang w:val="en-AU"/>
                              </w:rPr>
                            </m:ctrlPr>
                          </m:sSubSupPr>
                          <m:e>
                            <m:r>
                              <w:rPr>
                                <w:rFonts w:ascii="Cambria Math" w:hAnsi="Cambria Math"/>
                                <w:color w:val="auto"/>
                                <w:lang w:val="en-AU"/>
                              </w:rPr>
                              <m:t>y</m:t>
                            </m:r>
                          </m:e>
                          <m:sub>
                            <m:r>
                              <w:rPr>
                                <w:rFonts w:ascii="Cambria Math" w:hAnsi="Cambria Math"/>
                                <w:color w:val="auto"/>
                                <w:lang w:val="en-AU"/>
                              </w:rPr>
                              <m:t>k</m:t>
                            </m:r>
                          </m:sub>
                          <m:sup>
                            <m:r>
                              <w:rPr>
                                <w:rFonts w:ascii="Cambria Math" w:hAnsi="Cambria Math"/>
                                <w:color w:val="auto"/>
                                <w:lang w:val="en-AU"/>
                              </w:rPr>
                              <m:t>*</m:t>
                            </m:r>
                          </m:sup>
                        </m:sSubSup>
                        <m:r>
                          <w:rPr>
                            <w:rFonts w:ascii="Cambria Math" w:hAnsi="Cambria Math"/>
                            <w:color w:val="auto"/>
                            <w:lang w:val="en-AU"/>
                          </w:rPr>
                          <m:t>(ω)</m:t>
                        </m:r>
                      </m:num>
                      <m:den>
                        <m:d>
                          <m:dPr>
                            <m:begChr m:val="|"/>
                            <m:endChr m:val="|"/>
                            <m:ctrlPr>
                              <w:rPr>
                                <w:rFonts w:ascii="Cambria Math" w:hAnsi="Cambria Math"/>
                                <w:i/>
                                <w:iCs/>
                                <w:color w:val="auto"/>
                                <w:lang w:val="en-AU"/>
                              </w:rPr>
                            </m:ctrlPr>
                          </m:dPr>
                          <m:e>
                            <m:sSub>
                              <m:sSubPr>
                                <m:ctrlPr>
                                  <w:rPr>
                                    <w:rFonts w:ascii="Cambria Math" w:hAnsi="Cambria Math"/>
                                    <w:i/>
                                    <w:iCs/>
                                    <w:color w:val="auto"/>
                                    <w:lang w:val="en-AU"/>
                                  </w:rPr>
                                </m:ctrlPr>
                              </m:sSubPr>
                              <m:e>
                                <m:r>
                                  <w:rPr>
                                    <w:rFonts w:ascii="Cambria Math" w:hAnsi="Cambria Math"/>
                                    <w:color w:val="auto"/>
                                    <w:lang w:val="en-AU"/>
                                  </w:rPr>
                                  <m:t>y</m:t>
                                </m:r>
                              </m:e>
                              <m:sub>
                                <m:r>
                                  <w:rPr>
                                    <w:rFonts w:ascii="Cambria Math" w:hAnsi="Cambria Math"/>
                                    <w:color w:val="auto"/>
                                    <w:lang w:val="en-AU"/>
                                  </w:rPr>
                                  <m:t>k</m:t>
                                </m:r>
                              </m:sub>
                            </m:sSub>
                            <m:r>
                              <w:rPr>
                                <w:rFonts w:ascii="Cambria Math" w:hAnsi="Cambria Math"/>
                                <w:color w:val="auto"/>
                                <w:lang w:val="en-AU"/>
                              </w:rPr>
                              <m:t>(ω)</m:t>
                            </m:r>
                          </m:e>
                        </m:d>
                      </m:den>
                    </m:f>
                  </m:e>
                </m:d>
              </m:oMath>
            </m:oMathPara>
          </w:p>
        </w:tc>
        <w:tc>
          <w:tcPr>
            <w:tcW w:w="496" w:type="dxa"/>
          </w:tcPr>
          <w:p w14:paraId="6EF20E00" w14:textId="77777777" w:rsidR="00DD6E8A" w:rsidRPr="00043334" w:rsidRDefault="00DD6E8A" w:rsidP="00D90A58">
            <w:pPr>
              <w:spacing w:line="360" w:lineRule="auto"/>
              <w:rPr>
                <w:color w:val="auto"/>
                <w:lang w:val="en-AU"/>
              </w:rPr>
            </w:pPr>
            <w:r w:rsidRPr="00043334">
              <w:rPr>
                <w:color w:val="auto"/>
                <w:lang w:val="en-AU"/>
              </w:rPr>
              <w:t>(2)</w:t>
            </w:r>
          </w:p>
        </w:tc>
      </w:tr>
    </w:tbl>
    <w:p w14:paraId="1EA980A5" w14:textId="4509B1EC" w:rsidR="00DD6E8A" w:rsidRPr="00043334" w:rsidRDefault="00DD6E8A" w:rsidP="00DD6E8A">
      <w:pPr>
        <w:spacing w:before="120" w:after="0" w:line="360" w:lineRule="auto"/>
        <w:ind w:firstLine="720"/>
        <w:jc w:val="both"/>
        <w:rPr>
          <w:color w:val="auto"/>
          <w:lang w:val="en-AU"/>
        </w:rPr>
      </w:pPr>
      <w:r w:rsidRPr="00043334">
        <w:rPr>
          <w:color w:val="auto"/>
          <w:lang w:val="en-AU"/>
        </w:rPr>
        <w:t>In these equations,</w:t>
      </w:r>
      <w:r w:rsidRPr="00043334">
        <w:rPr>
          <w:i/>
          <w:iCs/>
          <w:color w:val="auto"/>
          <w:lang w:val="en-AU"/>
        </w:rPr>
        <w:t xml:space="preserve"> x</w:t>
      </w:r>
      <w:r w:rsidRPr="00043334">
        <w:rPr>
          <w:color w:val="auto"/>
          <w:lang w:val="en-AU"/>
        </w:rPr>
        <w:t xml:space="preserve"> and </w:t>
      </w:r>
      <w:r w:rsidRPr="00043334">
        <w:rPr>
          <w:i/>
          <w:iCs/>
          <w:color w:val="auto"/>
          <w:lang w:val="en-AU"/>
        </w:rPr>
        <w:t>y</w:t>
      </w:r>
      <w:r w:rsidRPr="00043334">
        <w:rPr>
          <w:color w:val="auto"/>
          <w:lang w:val="en-AU"/>
        </w:rPr>
        <w:t xml:space="preserve"> represent the two regions of interest (ROIs) in the connectivity pair (i.e., the EEG sources)</w:t>
      </w:r>
      <w:r w:rsidRPr="00043334">
        <w:rPr>
          <w:i/>
          <w:iCs/>
          <w:color w:val="auto"/>
          <w:lang w:val="en-AU"/>
        </w:rPr>
        <w:t xml:space="preserve"> </w:t>
      </w:r>
      <w:r w:rsidRPr="00043334">
        <w:rPr>
          <w:color w:val="auto"/>
          <w:lang w:val="en-AU"/>
        </w:rPr>
        <w:t xml:space="preserve">evaluated at a given discrete frequency, </w:t>
      </w:r>
      <w:r w:rsidRPr="00043334">
        <w:rPr>
          <w:i/>
          <w:iCs/>
          <w:color w:val="auto"/>
          <w:lang w:val="en-AU"/>
        </w:rPr>
        <w:t>ω</w:t>
      </w:r>
      <w:r w:rsidRPr="00043334">
        <w:rPr>
          <w:color w:val="auto"/>
          <w:lang w:val="en-AU"/>
        </w:rPr>
        <w:t xml:space="preserve">. In equation 1, </w:t>
      </w:r>
      <w:r w:rsidRPr="00043334">
        <w:rPr>
          <w:i/>
          <w:iCs/>
          <w:color w:val="auto"/>
          <w:lang w:val="en-AU"/>
        </w:rPr>
        <w:t>Re</w:t>
      </w:r>
      <w:r w:rsidRPr="00043334">
        <w:rPr>
          <w:color w:val="auto"/>
          <w:lang w:val="en-AU"/>
        </w:rPr>
        <w:t xml:space="preserve"> and </w:t>
      </w:r>
      <w:r w:rsidRPr="00043334">
        <w:rPr>
          <w:i/>
          <w:iCs/>
          <w:color w:val="auto"/>
          <w:lang w:val="en-AU"/>
        </w:rPr>
        <w:t>Im</w:t>
      </w:r>
      <w:r w:rsidRPr="00043334">
        <w:rPr>
          <w:color w:val="auto"/>
          <w:lang w:val="en-AU"/>
        </w:rPr>
        <w:t xml:space="preserve"> are the real and the imaginary parts of a complex element </w:t>
      </w:r>
      <w:r w:rsidRPr="00043334">
        <w:rPr>
          <w:i/>
          <w:iCs/>
          <w:color w:val="auto"/>
          <w:lang w:val="en-AU"/>
        </w:rPr>
        <w:t>C</w:t>
      </w:r>
      <w:r w:rsidRPr="00043334">
        <w:rPr>
          <w:color w:val="auto"/>
          <w:lang w:val="en-AU"/>
        </w:rPr>
        <w:t xml:space="preserve">, respectively; notably, zero-lag connectivity is closed related to </w:t>
      </w:r>
      <w:r w:rsidRPr="00043334">
        <w:rPr>
          <w:i/>
          <w:iCs/>
          <w:color w:val="auto"/>
          <w:lang w:val="en-AU"/>
        </w:rPr>
        <w:t>Re</w:t>
      </w:r>
      <w:r w:rsidRPr="00043334">
        <w:rPr>
          <w:color w:val="auto"/>
          <w:lang w:val="en-AU"/>
        </w:rPr>
        <w:t xml:space="preserve">. Equation 2 explains the cycle of </w:t>
      </w:r>
      <w:r w:rsidRPr="00043334">
        <w:rPr>
          <w:i/>
          <w:iCs/>
          <w:color w:val="auto"/>
          <w:lang w:val="en-AU"/>
        </w:rPr>
        <w:t>C</w:t>
      </w:r>
      <w:r w:rsidRPr="00043334">
        <w:rPr>
          <w:color w:val="auto"/>
          <w:lang w:val="en-AU"/>
        </w:rPr>
        <w:t xml:space="preserve">, where </w:t>
      </w:r>
      <w:r w:rsidRPr="00043334">
        <w:rPr>
          <w:i/>
          <w:iCs/>
          <w:color w:val="auto"/>
          <w:lang w:val="en-AU"/>
        </w:rPr>
        <w:t>x</w:t>
      </w:r>
      <w:r w:rsidRPr="00043334">
        <w:rPr>
          <w:color w:val="auto"/>
          <w:lang w:val="en-AU"/>
        </w:rPr>
        <w:t>(</w:t>
      </w:r>
      <w:r w:rsidRPr="00043334">
        <w:rPr>
          <w:i/>
          <w:iCs/>
          <w:color w:val="auto"/>
          <w:lang w:val="en-AU"/>
        </w:rPr>
        <w:t>ω</w:t>
      </w:r>
      <w:r w:rsidRPr="00043334">
        <w:rPr>
          <w:color w:val="auto"/>
          <w:lang w:val="en-AU"/>
        </w:rPr>
        <w:t xml:space="preserve">) and </w:t>
      </w:r>
      <w:r w:rsidRPr="00043334">
        <w:rPr>
          <w:i/>
          <w:iCs/>
          <w:color w:val="auto"/>
          <w:lang w:val="en-AU"/>
        </w:rPr>
        <w:t>y</w:t>
      </w:r>
      <w:r w:rsidRPr="00043334">
        <w:rPr>
          <w:color w:val="auto"/>
          <w:lang w:val="en-AU"/>
        </w:rPr>
        <w:t>(</w:t>
      </w:r>
      <w:r w:rsidRPr="00043334">
        <w:rPr>
          <w:i/>
          <w:iCs/>
          <w:color w:val="auto"/>
          <w:lang w:val="en-AU"/>
        </w:rPr>
        <w:t>ω</w:t>
      </w:r>
      <w:r w:rsidRPr="00043334">
        <w:rPr>
          <w:color w:val="auto"/>
          <w:lang w:val="en-AU"/>
        </w:rPr>
        <w:t>) denote the discrete Fourier transform of the two signals of interest, and * denotes a complex conjugate (i.e., the inversion of the sign of only the imaginary part of a complex number).</w:t>
      </w:r>
    </w:p>
    <w:p w14:paraId="67B8EED7" w14:textId="77777777" w:rsidR="00DD6E8A" w:rsidRPr="00043334" w:rsidRDefault="00DD6E8A" w:rsidP="00DD6E8A">
      <w:pPr>
        <w:spacing w:after="120" w:line="360" w:lineRule="auto"/>
        <w:ind w:firstLine="720"/>
        <w:jc w:val="both"/>
        <w:rPr>
          <w:color w:val="auto"/>
          <w:lang w:val="en-AU"/>
        </w:rPr>
      </w:pPr>
      <w:r w:rsidRPr="00043334">
        <w:rPr>
          <w:color w:val="auto"/>
          <w:lang w:val="en-AU"/>
        </w:rPr>
        <w:t>From this description of total phase synchronization, LPS (i.e., non-instantaneous phase synchronization), is defined using the following formula: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30"/>
        <w:gridCol w:w="496"/>
      </w:tblGrid>
      <w:tr w:rsidR="00043334" w:rsidRPr="00043334" w14:paraId="48206A8B" w14:textId="77777777" w:rsidTr="00D90A58">
        <w:tc>
          <w:tcPr>
            <w:tcW w:w="8545" w:type="dxa"/>
          </w:tcPr>
          <w:p w14:paraId="3CAF9116" w14:textId="77777777" w:rsidR="00DD6E8A" w:rsidRPr="00043334" w:rsidRDefault="00043334" w:rsidP="00D90A58">
            <w:pPr>
              <w:spacing w:line="360" w:lineRule="auto"/>
              <w:jc w:val="center"/>
              <w:rPr>
                <w:i/>
                <w:iCs/>
                <w:color w:val="auto"/>
                <w:lang w:val="en-AU"/>
              </w:rPr>
            </w:pPr>
            <m:oMathPara>
              <m:oMath>
                <m:sSubSup>
                  <m:sSubSupPr>
                    <m:ctrlPr>
                      <w:rPr>
                        <w:rFonts w:ascii="Cambria Math" w:hAnsi="Cambria Math"/>
                        <w:i/>
                        <w:iCs/>
                        <w:color w:val="auto"/>
                        <w:lang w:val="en-AU"/>
                      </w:rPr>
                    </m:ctrlPr>
                  </m:sSubSupPr>
                  <m:e>
                    <m:r>
                      <w:rPr>
                        <w:rFonts w:ascii="Cambria Math" w:hAnsi="Cambria Math"/>
                        <w:color w:val="auto"/>
                        <w:lang w:val="en-AU"/>
                      </w:rPr>
                      <m:t>φ</m:t>
                    </m:r>
                  </m:e>
                  <m:sub>
                    <m:r>
                      <w:rPr>
                        <w:rFonts w:ascii="Cambria Math" w:hAnsi="Cambria Math"/>
                        <w:color w:val="auto"/>
                        <w:lang w:val="en-AU"/>
                      </w:rPr>
                      <m:t>x,y</m:t>
                    </m:r>
                  </m:sub>
                  <m:sup>
                    <m:r>
                      <w:rPr>
                        <w:rFonts w:ascii="Cambria Math" w:hAnsi="Cambria Math"/>
                        <w:color w:val="auto"/>
                        <w:lang w:val="en-AU"/>
                      </w:rPr>
                      <m:t>2</m:t>
                    </m:r>
                  </m:sup>
                </m:sSubSup>
                <m:d>
                  <m:dPr>
                    <m:ctrlPr>
                      <w:rPr>
                        <w:rFonts w:ascii="Cambria Math" w:hAnsi="Cambria Math"/>
                        <w:i/>
                        <w:iCs/>
                        <w:color w:val="auto"/>
                        <w:lang w:val="en-AU"/>
                      </w:rPr>
                    </m:ctrlPr>
                  </m:dPr>
                  <m:e>
                    <m:r>
                      <w:rPr>
                        <w:rFonts w:ascii="Cambria Math" w:hAnsi="Cambria Math"/>
                        <w:color w:val="auto"/>
                        <w:lang w:val="en-AU"/>
                      </w:rPr>
                      <m:t>ω</m:t>
                    </m:r>
                  </m:e>
                </m:d>
                <m:r>
                  <w:rPr>
                    <w:rFonts w:ascii="Cambria Math" w:hAnsi="Cambria Math"/>
                    <w:color w:val="auto"/>
                    <w:lang w:val="en-AU"/>
                  </w:rPr>
                  <m:t xml:space="preserve">= </m:t>
                </m:r>
                <m:f>
                  <m:fPr>
                    <m:ctrlPr>
                      <w:rPr>
                        <w:rFonts w:ascii="Cambria Math" w:hAnsi="Cambria Math"/>
                        <w:i/>
                        <w:iCs/>
                        <w:color w:val="auto"/>
                        <w:lang w:val="en-AU"/>
                      </w:rPr>
                    </m:ctrlPr>
                  </m:fPr>
                  <m:num>
                    <m:sSup>
                      <m:sSupPr>
                        <m:ctrlPr>
                          <w:rPr>
                            <w:rFonts w:ascii="Cambria Math" w:hAnsi="Cambria Math"/>
                            <w:i/>
                            <w:iCs/>
                            <w:color w:val="auto"/>
                            <w:lang w:val="en-AU"/>
                          </w:rPr>
                        </m:ctrlPr>
                      </m:sSupPr>
                      <m:e>
                        <m:r>
                          <w:rPr>
                            <w:rFonts w:ascii="Cambria Math" w:hAnsi="Cambria Math"/>
                            <w:color w:val="auto"/>
                            <w:lang w:val="en-AU"/>
                          </w:rPr>
                          <m:t>{</m:t>
                        </m:r>
                        <m:r>
                          <m:rPr>
                            <m:sty m:val="p"/>
                          </m:rPr>
                          <w:rPr>
                            <w:rFonts w:ascii="Cambria Math" w:hAnsi="Cambria Math"/>
                            <w:color w:val="auto"/>
                            <w:lang w:val="en-AU"/>
                          </w:rPr>
                          <m:t>Im</m:t>
                        </m:r>
                        <m:d>
                          <m:dPr>
                            <m:begChr m:val="["/>
                            <m:endChr m:val="]"/>
                            <m:ctrlPr>
                              <w:rPr>
                                <w:rFonts w:ascii="Cambria Math" w:hAnsi="Cambria Math"/>
                                <w:i/>
                                <w:iCs/>
                                <w:color w:val="auto"/>
                                <w:lang w:val="en-AU"/>
                              </w:rPr>
                            </m:ctrlPr>
                          </m:dPr>
                          <m:e>
                            <m:sSub>
                              <m:sSubPr>
                                <m:ctrlPr>
                                  <w:rPr>
                                    <w:rFonts w:ascii="Cambria Math" w:hAnsi="Cambria Math"/>
                                    <w:i/>
                                    <w:iCs/>
                                    <w:color w:val="auto"/>
                                    <w:lang w:val="en-AU"/>
                                  </w:rPr>
                                </m:ctrlPr>
                              </m:sSubPr>
                              <m:e>
                                <m:r>
                                  <w:rPr>
                                    <w:rFonts w:ascii="Cambria Math" w:hAnsi="Cambria Math"/>
                                    <w:color w:val="auto"/>
                                    <w:lang w:val="en-AU"/>
                                  </w:rPr>
                                  <m:t>f</m:t>
                                </m:r>
                              </m:e>
                              <m:sub>
                                <m:r>
                                  <w:rPr>
                                    <w:rFonts w:ascii="Cambria Math" w:hAnsi="Cambria Math"/>
                                    <w:color w:val="auto"/>
                                    <w:lang w:val="en-AU"/>
                                  </w:rPr>
                                  <m:t>x,y</m:t>
                                </m:r>
                              </m:sub>
                            </m:sSub>
                            <m:d>
                              <m:dPr>
                                <m:ctrlPr>
                                  <w:rPr>
                                    <w:rFonts w:ascii="Cambria Math" w:hAnsi="Cambria Math"/>
                                    <w:i/>
                                    <w:iCs/>
                                    <w:color w:val="auto"/>
                                    <w:lang w:val="en-AU"/>
                                  </w:rPr>
                                </m:ctrlPr>
                              </m:dPr>
                              <m:e>
                                <m:r>
                                  <w:rPr>
                                    <w:rFonts w:ascii="Cambria Math" w:hAnsi="Cambria Math"/>
                                    <w:color w:val="auto"/>
                                    <w:lang w:val="en-AU"/>
                                  </w:rPr>
                                  <m:t>ω</m:t>
                                </m:r>
                              </m:e>
                            </m:d>
                          </m:e>
                        </m:d>
                        <m:r>
                          <w:rPr>
                            <w:rFonts w:ascii="Cambria Math" w:hAnsi="Cambria Math"/>
                            <w:color w:val="auto"/>
                            <w:lang w:val="en-AU"/>
                          </w:rPr>
                          <m:t>}</m:t>
                        </m:r>
                      </m:e>
                      <m:sup>
                        <m:r>
                          <w:rPr>
                            <w:rFonts w:ascii="Cambria Math" w:hAnsi="Cambria Math"/>
                            <w:color w:val="auto"/>
                            <w:lang w:val="en-AU"/>
                          </w:rPr>
                          <m:t>2</m:t>
                        </m:r>
                      </m:sup>
                    </m:sSup>
                  </m:num>
                  <m:den>
                    <m:r>
                      <w:rPr>
                        <w:rFonts w:ascii="Cambria Math" w:hAnsi="Cambria Math"/>
                        <w:color w:val="auto"/>
                        <w:lang w:val="en-AU"/>
                      </w:rPr>
                      <m:t xml:space="preserve">1- </m:t>
                    </m:r>
                    <m:sSup>
                      <m:sSupPr>
                        <m:ctrlPr>
                          <w:rPr>
                            <w:rFonts w:ascii="Cambria Math" w:hAnsi="Cambria Math"/>
                            <w:i/>
                            <w:iCs/>
                            <w:color w:val="auto"/>
                            <w:lang w:val="en-AU"/>
                          </w:rPr>
                        </m:ctrlPr>
                      </m:sSupPr>
                      <m:e>
                        <m:r>
                          <w:rPr>
                            <w:rFonts w:ascii="Cambria Math" w:hAnsi="Cambria Math"/>
                            <w:color w:val="auto"/>
                            <w:lang w:val="en-AU"/>
                          </w:rPr>
                          <m:t>{</m:t>
                        </m:r>
                        <m:r>
                          <m:rPr>
                            <m:sty m:val="p"/>
                          </m:rPr>
                          <w:rPr>
                            <w:rFonts w:ascii="Cambria Math" w:hAnsi="Cambria Math"/>
                            <w:color w:val="auto"/>
                            <w:lang w:val="en-AU"/>
                          </w:rPr>
                          <m:t>Re</m:t>
                        </m:r>
                        <m:d>
                          <m:dPr>
                            <m:begChr m:val="["/>
                            <m:endChr m:val="]"/>
                            <m:ctrlPr>
                              <w:rPr>
                                <w:rFonts w:ascii="Cambria Math" w:hAnsi="Cambria Math"/>
                                <w:i/>
                                <w:iCs/>
                                <w:color w:val="auto"/>
                                <w:lang w:val="en-AU"/>
                              </w:rPr>
                            </m:ctrlPr>
                          </m:dPr>
                          <m:e>
                            <m:sSub>
                              <m:sSubPr>
                                <m:ctrlPr>
                                  <w:rPr>
                                    <w:rFonts w:ascii="Cambria Math" w:hAnsi="Cambria Math"/>
                                    <w:i/>
                                    <w:iCs/>
                                    <w:color w:val="auto"/>
                                    <w:lang w:val="en-AU"/>
                                  </w:rPr>
                                </m:ctrlPr>
                              </m:sSubPr>
                              <m:e>
                                <m:r>
                                  <w:rPr>
                                    <w:rFonts w:ascii="Cambria Math" w:hAnsi="Cambria Math"/>
                                    <w:color w:val="auto"/>
                                    <w:lang w:val="en-AU"/>
                                  </w:rPr>
                                  <m:t>f</m:t>
                                </m:r>
                              </m:e>
                              <m:sub>
                                <m:r>
                                  <w:rPr>
                                    <w:rFonts w:ascii="Cambria Math" w:hAnsi="Cambria Math"/>
                                    <w:color w:val="auto"/>
                                    <w:lang w:val="en-AU"/>
                                  </w:rPr>
                                  <m:t>x,y</m:t>
                                </m:r>
                              </m:sub>
                            </m:sSub>
                            <m:d>
                              <m:dPr>
                                <m:ctrlPr>
                                  <w:rPr>
                                    <w:rFonts w:ascii="Cambria Math" w:hAnsi="Cambria Math"/>
                                    <w:i/>
                                    <w:iCs/>
                                    <w:color w:val="auto"/>
                                    <w:lang w:val="en-AU"/>
                                  </w:rPr>
                                </m:ctrlPr>
                              </m:dPr>
                              <m:e>
                                <m:r>
                                  <w:rPr>
                                    <w:rFonts w:ascii="Cambria Math" w:hAnsi="Cambria Math"/>
                                    <w:color w:val="auto"/>
                                    <w:lang w:val="en-AU"/>
                                  </w:rPr>
                                  <m:t>ω</m:t>
                                </m:r>
                              </m:e>
                            </m:d>
                          </m:e>
                        </m:d>
                        <m:r>
                          <w:rPr>
                            <w:rFonts w:ascii="Cambria Math" w:hAnsi="Cambria Math"/>
                            <w:color w:val="auto"/>
                            <w:lang w:val="en-AU"/>
                          </w:rPr>
                          <m:t>}</m:t>
                        </m:r>
                      </m:e>
                      <m:sup>
                        <m:r>
                          <w:rPr>
                            <w:rFonts w:ascii="Cambria Math" w:hAnsi="Cambria Math"/>
                            <w:color w:val="auto"/>
                            <w:lang w:val="en-AU"/>
                          </w:rPr>
                          <m:t>2</m:t>
                        </m:r>
                      </m:sup>
                    </m:sSup>
                  </m:den>
                </m:f>
              </m:oMath>
            </m:oMathPara>
          </w:p>
        </w:tc>
        <w:tc>
          <w:tcPr>
            <w:tcW w:w="471" w:type="dxa"/>
          </w:tcPr>
          <w:p w14:paraId="365DD0CF" w14:textId="77777777" w:rsidR="00DD6E8A" w:rsidRPr="00043334" w:rsidRDefault="00DD6E8A" w:rsidP="00D90A58">
            <w:pPr>
              <w:spacing w:line="360" w:lineRule="auto"/>
              <w:rPr>
                <w:color w:val="auto"/>
                <w:lang w:val="en-AU"/>
              </w:rPr>
            </w:pPr>
            <w:r w:rsidRPr="00043334">
              <w:rPr>
                <w:color w:val="auto"/>
                <w:lang w:val="en-AU"/>
              </w:rPr>
              <w:t>(3)</w:t>
            </w:r>
          </w:p>
        </w:tc>
      </w:tr>
    </w:tbl>
    <w:p w14:paraId="1EA42C11" w14:textId="77777777" w:rsidR="00DD6E8A" w:rsidRPr="00043334" w:rsidRDefault="00DD6E8A" w:rsidP="00DD6E8A">
      <w:pPr>
        <w:widowControl w:val="0"/>
        <w:spacing w:after="0" w:line="360" w:lineRule="auto"/>
        <w:ind w:firstLine="720"/>
        <w:jc w:val="both"/>
        <w:rPr>
          <w:color w:val="auto"/>
          <w:lang w:val="en-AU"/>
        </w:rPr>
      </w:pPr>
      <w:r w:rsidRPr="00043334">
        <w:rPr>
          <w:color w:val="auto"/>
          <w:lang w:val="en-AU"/>
        </w:rPr>
        <w:t>and measures the similarity of the phases of two time-series and is thought to contain only physiological connectivity information. Interpretatively, a value of 0 indicates no synchronization and a value of 1 indicates perfect synchronization.</w:t>
      </w:r>
    </w:p>
    <w:p w14:paraId="1B3B4C4A" w14:textId="77777777" w:rsidR="00DD6E8A" w:rsidRPr="00043334" w:rsidRDefault="00DD6E8A" w:rsidP="00DD6E8A">
      <w:pPr>
        <w:widowControl w:val="0"/>
        <w:spacing w:after="0" w:line="360" w:lineRule="auto"/>
        <w:ind w:firstLine="720"/>
        <w:jc w:val="both"/>
        <w:rPr>
          <w:color w:val="auto"/>
          <w:lang w:val="en-AU"/>
        </w:rPr>
      </w:pPr>
      <w:r w:rsidRPr="00043334">
        <w:rPr>
          <w:color w:val="auto"/>
          <w:lang w:val="en-AU"/>
        </w:rPr>
        <w:br w:type="page"/>
      </w:r>
    </w:p>
    <w:p w14:paraId="4CEA6AA1" w14:textId="1864B539" w:rsidR="00DD6E8A" w:rsidRPr="00043334" w:rsidRDefault="00DD6E8A" w:rsidP="00DD6E8A">
      <w:pPr>
        <w:pStyle w:val="Caption"/>
        <w:keepNext/>
        <w:spacing w:after="0" w:line="360" w:lineRule="auto"/>
        <w:jc w:val="both"/>
        <w:rPr>
          <w:b/>
          <w:bCs/>
          <w:i w:val="0"/>
          <w:iCs w:val="0"/>
          <w:color w:val="auto"/>
          <w:sz w:val="24"/>
          <w:szCs w:val="24"/>
          <w:lang w:val="en-AU"/>
        </w:rPr>
      </w:pPr>
      <w:r w:rsidRPr="00043334">
        <w:rPr>
          <w:b/>
          <w:bCs/>
          <w:i w:val="0"/>
          <w:iCs w:val="0"/>
          <w:color w:val="auto"/>
          <w:sz w:val="24"/>
          <w:szCs w:val="24"/>
          <w:lang w:val="en-AU"/>
        </w:rPr>
        <w:t xml:space="preserve">Supplemental Table </w:t>
      </w:r>
      <w:r w:rsidRPr="00043334">
        <w:rPr>
          <w:b/>
          <w:bCs/>
          <w:i w:val="0"/>
          <w:iCs w:val="0"/>
          <w:color w:val="auto"/>
          <w:sz w:val="24"/>
          <w:szCs w:val="24"/>
          <w:lang w:val="en-AU"/>
        </w:rPr>
        <w:fldChar w:fldCharType="begin"/>
      </w:r>
      <w:r w:rsidRPr="00043334">
        <w:rPr>
          <w:b/>
          <w:bCs/>
          <w:i w:val="0"/>
          <w:iCs w:val="0"/>
          <w:color w:val="auto"/>
          <w:sz w:val="24"/>
          <w:szCs w:val="24"/>
          <w:lang w:val="en-AU"/>
        </w:rPr>
        <w:instrText xml:space="preserve"> SEQ Table \* ARABIC </w:instrText>
      </w:r>
      <w:r w:rsidRPr="00043334">
        <w:rPr>
          <w:b/>
          <w:bCs/>
          <w:i w:val="0"/>
          <w:iCs w:val="0"/>
          <w:color w:val="auto"/>
          <w:sz w:val="24"/>
          <w:szCs w:val="24"/>
          <w:lang w:val="en-AU"/>
        </w:rPr>
        <w:fldChar w:fldCharType="separate"/>
      </w:r>
      <w:r w:rsidRPr="00043334">
        <w:rPr>
          <w:b/>
          <w:bCs/>
          <w:i w:val="0"/>
          <w:iCs w:val="0"/>
          <w:noProof/>
          <w:color w:val="auto"/>
          <w:sz w:val="24"/>
          <w:szCs w:val="24"/>
          <w:lang w:val="en-AU"/>
        </w:rPr>
        <w:t>1</w:t>
      </w:r>
      <w:r w:rsidRPr="00043334">
        <w:rPr>
          <w:b/>
          <w:bCs/>
          <w:i w:val="0"/>
          <w:iCs w:val="0"/>
          <w:color w:val="auto"/>
          <w:sz w:val="24"/>
          <w:szCs w:val="24"/>
          <w:lang w:val="en-AU"/>
        </w:rPr>
        <w:fldChar w:fldCharType="end"/>
      </w:r>
      <w:r w:rsidRPr="00043334">
        <w:rPr>
          <w:b/>
          <w:bCs/>
          <w:i w:val="0"/>
          <w:iCs w:val="0"/>
          <w:color w:val="auto"/>
          <w:sz w:val="24"/>
          <w:szCs w:val="24"/>
          <w:lang w:val="en-AU"/>
        </w:rPr>
        <w:t xml:space="preserve"> – Demographic and clinical characteristics at </w:t>
      </w:r>
      <w:r w:rsidR="00565A9A" w:rsidRPr="00043334">
        <w:rPr>
          <w:b/>
          <w:bCs/>
          <w:i w:val="0"/>
          <w:iCs w:val="0"/>
          <w:color w:val="auto"/>
          <w:sz w:val="24"/>
          <w:szCs w:val="24"/>
          <w:lang w:val="en-AU"/>
        </w:rPr>
        <w:t xml:space="preserve">initial study </w:t>
      </w:r>
      <w:r w:rsidRPr="00043334">
        <w:rPr>
          <w:b/>
          <w:bCs/>
          <w:i w:val="0"/>
          <w:iCs w:val="0"/>
          <w:color w:val="auto"/>
          <w:sz w:val="24"/>
          <w:szCs w:val="24"/>
          <w:lang w:val="en-AU"/>
        </w:rPr>
        <w:t>screening of both healthy controls and TRD participants.</w:t>
      </w:r>
    </w:p>
    <w:tbl>
      <w:tblPr>
        <w:tblStyle w:val="TableGrid"/>
        <w:tblW w:w="9214" w:type="dxa"/>
        <w:tblLayout w:type="fixed"/>
        <w:tblLook w:val="04A0" w:firstRow="1" w:lastRow="0" w:firstColumn="1" w:lastColumn="0" w:noHBand="0" w:noVBand="1"/>
      </w:tblPr>
      <w:tblGrid>
        <w:gridCol w:w="3420"/>
        <w:gridCol w:w="1530"/>
        <w:gridCol w:w="1530"/>
        <w:gridCol w:w="900"/>
        <w:gridCol w:w="810"/>
        <w:gridCol w:w="1024"/>
      </w:tblGrid>
      <w:tr w:rsidR="00043334" w:rsidRPr="00043334" w14:paraId="54A97958" w14:textId="77777777" w:rsidTr="00384991">
        <w:tc>
          <w:tcPr>
            <w:tcW w:w="3420" w:type="dxa"/>
            <w:tcBorders>
              <w:left w:val="nil"/>
              <w:bottom w:val="single" w:sz="4" w:space="0" w:color="auto"/>
              <w:right w:val="nil"/>
            </w:tcBorders>
          </w:tcPr>
          <w:p w14:paraId="580981B9" w14:textId="77777777" w:rsidR="00DD6E8A" w:rsidRPr="00043334" w:rsidRDefault="00DD6E8A" w:rsidP="00D90A58">
            <w:pPr>
              <w:spacing w:line="276" w:lineRule="auto"/>
              <w:rPr>
                <w:b/>
                <w:bCs/>
                <w:color w:val="auto"/>
                <w:lang w:val="en-AU"/>
              </w:rPr>
            </w:pPr>
          </w:p>
        </w:tc>
        <w:tc>
          <w:tcPr>
            <w:tcW w:w="1530" w:type="dxa"/>
            <w:tcBorders>
              <w:left w:val="nil"/>
              <w:bottom w:val="single" w:sz="4" w:space="0" w:color="auto"/>
              <w:right w:val="nil"/>
            </w:tcBorders>
            <w:vAlign w:val="center"/>
          </w:tcPr>
          <w:p w14:paraId="7FC26ADF" w14:textId="77777777" w:rsidR="00DD6E8A" w:rsidRPr="00043334" w:rsidRDefault="00DD6E8A" w:rsidP="00D90A58">
            <w:pPr>
              <w:spacing w:line="276" w:lineRule="auto"/>
              <w:jc w:val="center"/>
              <w:rPr>
                <w:b/>
                <w:bCs/>
                <w:color w:val="auto"/>
                <w:lang w:val="en-AU"/>
              </w:rPr>
            </w:pPr>
            <w:r w:rsidRPr="00043334">
              <w:rPr>
                <w:b/>
                <w:bCs/>
                <w:color w:val="auto"/>
                <w:lang w:val="en-AU"/>
              </w:rPr>
              <w:t xml:space="preserve">HC </w:t>
            </w:r>
          </w:p>
          <w:p w14:paraId="608AF6F4" w14:textId="77777777" w:rsidR="00DD6E8A" w:rsidRPr="00043334" w:rsidRDefault="00DD6E8A" w:rsidP="00D90A58">
            <w:pPr>
              <w:spacing w:line="276" w:lineRule="auto"/>
              <w:jc w:val="center"/>
              <w:rPr>
                <w:b/>
                <w:bCs/>
                <w:color w:val="auto"/>
                <w:lang w:val="en-AU"/>
              </w:rPr>
            </w:pPr>
            <w:r w:rsidRPr="00043334">
              <w:rPr>
                <w:b/>
                <w:bCs/>
                <w:color w:val="auto"/>
                <w:lang w:val="en-AU"/>
              </w:rPr>
              <w:t>(n = 34)</w:t>
            </w:r>
          </w:p>
        </w:tc>
        <w:tc>
          <w:tcPr>
            <w:tcW w:w="1530" w:type="dxa"/>
            <w:tcBorders>
              <w:left w:val="nil"/>
              <w:bottom w:val="single" w:sz="4" w:space="0" w:color="auto"/>
              <w:right w:val="nil"/>
            </w:tcBorders>
            <w:vAlign w:val="center"/>
          </w:tcPr>
          <w:p w14:paraId="4E30D7EA" w14:textId="77777777" w:rsidR="00DD6E8A" w:rsidRPr="00043334" w:rsidRDefault="00DD6E8A" w:rsidP="00D90A58">
            <w:pPr>
              <w:spacing w:line="276" w:lineRule="auto"/>
              <w:jc w:val="center"/>
              <w:rPr>
                <w:b/>
                <w:bCs/>
                <w:color w:val="auto"/>
                <w:lang w:val="en-AU"/>
              </w:rPr>
            </w:pPr>
            <w:r w:rsidRPr="00043334">
              <w:rPr>
                <w:b/>
                <w:bCs/>
                <w:color w:val="auto"/>
                <w:lang w:val="en-AU"/>
              </w:rPr>
              <w:t>TRD</w:t>
            </w:r>
          </w:p>
          <w:p w14:paraId="42D80DB7" w14:textId="77777777" w:rsidR="00DD6E8A" w:rsidRPr="00043334" w:rsidRDefault="00DD6E8A" w:rsidP="00D90A58">
            <w:pPr>
              <w:spacing w:line="276" w:lineRule="auto"/>
              <w:jc w:val="center"/>
              <w:rPr>
                <w:b/>
                <w:bCs/>
                <w:color w:val="auto"/>
                <w:lang w:val="en-AU"/>
              </w:rPr>
            </w:pPr>
            <w:r w:rsidRPr="00043334">
              <w:rPr>
                <w:b/>
                <w:bCs/>
                <w:color w:val="auto"/>
                <w:lang w:val="en-AU"/>
              </w:rPr>
              <w:t>(n = 24)</w:t>
            </w:r>
          </w:p>
        </w:tc>
        <w:tc>
          <w:tcPr>
            <w:tcW w:w="900" w:type="dxa"/>
            <w:tcBorders>
              <w:left w:val="nil"/>
              <w:bottom w:val="single" w:sz="4" w:space="0" w:color="auto"/>
              <w:right w:val="nil"/>
            </w:tcBorders>
            <w:vAlign w:val="center"/>
          </w:tcPr>
          <w:p w14:paraId="7592F9EC" w14:textId="77777777" w:rsidR="00DD6E8A" w:rsidRPr="00043334" w:rsidRDefault="00DD6E8A" w:rsidP="00D90A58">
            <w:pPr>
              <w:spacing w:line="276" w:lineRule="auto"/>
              <w:jc w:val="center"/>
              <w:rPr>
                <w:b/>
                <w:bCs/>
                <w:color w:val="auto"/>
                <w:lang w:val="en-AU"/>
              </w:rPr>
            </w:pPr>
            <w:r w:rsidRPr="00043334">
              <w:rPr>
                <w:b/>
                <w:bCs/>
                <w:color w:val="auto"/>
                <w:lang w:val="en-AU"/>
              </w:rPr>
              <w:t>t / χ</w:t>
            </w:r>
            <w:r w:rsidRPr="00043334">
              <w:rPr>
                <w:b/>
                <w:bCs/>
                <w:color w:val="auto"/>
                <w:vertAlign w:val="superscript"/>
                <w:lang w:val="en-AU"/>
              </w:rPr>
              <w:t>2</w:t>
            </w:r>
          </w:p>
        </w:tc>
        <w:tc>
          <w:tcPr>
            <w:tcW w:w="810" w:type="dxa"/>
            <w:tcBorders>
              <w:left w:val="nil"/>
              <w:bottom w:val="single" w:sz="4" w:space="0" w:color="auto"/>
              <w:right w:val="nil"/>
            </w:tcBorders>
            <w:vAlign w:val="center"/>
          </w:tcPr>
          <w:p w14:paraId="228AC7C6" w14:textId="77777777" w:rsidR="00DD6E8A" w:rsidRPr="00043334" w:rsidRDefault="00DD6E8A" w:rsidP="00D90A58">
            <w:pPr>
              <w:spacing w:line="276" w:lineRule="auto"/>
              <w:jc w:val="center"/>
              <w:rPr>
                <w:b/>
                <w:bCs/>
                <w:i/>
                <w:iCs/>
                <w:color w:val="auto"/>
                <w:lang w:val="en-AU"/>
              </w:rPr>
            </w:pPr>
            <w:r w:rsidRPr="00043334">
              <w:rPr>
                <w:b/>
                <w:bCs/>
                <w:i/>
                <w:iCs/>
                <w:color w:val="auto"/>
                <w:lang w:val="en-AU"/>
              </w:rPr>
              <w:t>df</w:t>
            </w:r>
          </w:p>
        </w:tc>
        <w:tc>
          <w:tcPr>
            <w:tcW w:w="1024" w:type="dxa"/>
            <w:tcBorders>
              <w:left w:val="nil"/>
              <w:bottom w:val="single" w:sz="4" w:space="0" w:color="auto"/>
              <w:right w:val="nil"/>
            </w:tcBorders>
            <w:vAlign w:val="center"/>
          </w:tcPr>
          <w:p w14:paraId="411EC647" w14:textId="77777777" w:rsidR="00DD6E8A" w:rsidRPr="00043334" w:rsidRDefault="00DD6E8A" w:rsidP="00D90A58">
            <w:pPr>
              <w:spacing w:line="276" w:lineRule="auto"/>
              <w:jc w:val="center"/>
              <w:rPr>
                <w:b/>
                <w:bCs/>
                <w:i/>
                <w:iCs/>
                <w:color w:val="auto"/>
                <w:lang w:val="en-AU"/>
              </w:rPr>
            </w:pPr>
            <w:r w:rsidRPr="00043334">
              <w:rPr>
                <w:b/>
                <w:bCs/>
                <w:i/>
                <w:iCs/>
                <w:color w:val="auto"/>
                <w:lang w:val="en-AU"/>
              </w:rPr>
              <w:t>p</w:t>
            </w:r>
          </w:p>
        </w:tc>
      </w:tr>
      <w:tr w:rsidR="00043334" w:rsidRPr="00043334" w14:paraId="2F845B10" w14:textId="77777777" w:rsidTr="00D90A58">
        <w:tc>
          <w:tcPr>
            <w:tcW w:w="9214" w:type="dxa"/>
            <w:gridSpan w:val="6"/>
            <w:tcBorders>
              <w:left w:val="nil"/>
              <w:bottom w:val="nil"/>
              <w:right w:val="nil"/>
            </w:tcBorders>
          </w:tcPr>
          <w:p w14:paraId="04A0FFDC" w14:textId="77777777" w:rsidR="00DD6E8A" w:rsidRPr="00043334" w:rsidRDefault="00DD6E8A" w:rsidP="00D90A58">
            <w:pPr>
              <w:spacing w:line="276" w:lineRule="auto"/>
              <w:rPr>
                <w:color w:val="auto"/>
                <w:lang w:val="en-AU"/>
              </w:rPr>
            </w:pPr>
            <w:r w:rsidRPr="00043334">
              <w:rPr>
                <w:color w:val="auto"/>
                <w:lang w:val="en-AU"/>
              </w:rPr>
              <w:t>Demographics</w:t>
            </w:r>
          </w:p>
        </w:tc>
      </w:tr>
      <w:tr w:rsidR="00043334" w:rsidRPr="00043334" w14:paraId="2A553DEE" w14:textId="77777777" w:rsidTr="00384991">
        <w:tc>
          <w:tcPr>
            <w:tcW w:w="3420" w:type="dxa"/>
            <w:tcBorders>
              <w:top w:val="nil"/>
              <w:left w:val="nil"/>
              <w:bottom w:val="nil"/>
              <w:right w:val="nil"/>
            </w:tcBorders>
          </w:tcPr>
          <w:p w14:paraId="03A63AE0" w14:textId="77777777" w:rsidR="00DD6E8A" w:rsidRPr="00043334" w:rsidRDefault="00DD6E8A" w:rsidP="00D90A58">
            <w:pPr>
              <w:spacing w:line="360" w:lineRule="auto"/>
              <w:ind w:left="158"/>
              <w:rPr>
                <w:color w:val="auto"/>
                <w:lang w:val="en-AU"/>
              </w:rPr>
            </w:pPr>
            <w:r w:rsidRPr="00043334">
              <w:rPr>
                <w:color w:val="auto"/>
                <w:lang w:val="en-AU"/>
              </w:rPr>
              <w:t>Female, n (%)</w:t>
            </w:r>
          </w:p>
        </w:tc>
        <w:tc>
          <w:tcPr>
            <w:tcW w:w="1530" w:type="dxa"/>
            <w:tcBorders>
              <w:top w:val="nil"/>
              <w:left w:val="nil"/>
              <w:bottom w:val="nil"/>
              <w:right w:val="nil"/>
            </w:tcBorders>
          </w:tcPr>
          <w:p w14:paraId="1B2D507C" w14:textId="77777777" w:rsidR="00DD6E8A" w:rsidRPr="00043334" w:rsidRDefault="00DD6E8A" w:rsidP="00D90A58">
            <w:pPr>
              <w:spacing w:line="360" w:lineRule="auto"/>
              <w:jc w:val="center"/>
              <w:rPr>
                <w:color w:val="auto"/>
                <w:lang w:val="en-AU"/>
              </w:rPr>
            </w:pPr>
            <w:r w:rsidRPr="00043334">
              <w:rPr>
                <w:color w:val="auto"/>
                <w:lang w:val="en-AU"/>
              </w:rPr>
              <w:t>25 (73.53)</w:t>
            </w:r>
          </w:p>
        </w:tc>
        <w:tc>
          <w:tcPr>
            <w:tcW w:w="1530" w:type="dxa"/>
            <w:tcBorders>
              <w:top w:val="nil"/>
              <w:left w:val="nil"/>
              <w:bottom w:val="nil"/>
              <w:right w:val="nil"/>
            </w:tcBorders>
          </w:tcPr>
          <w:p w14:paraId="347565DC" w14:textId="77777777" w:rsidR="00DD6E8A" w:rsidRPr="00043334" w:rsidRDefault="00DD6E8A" w:rsidP="00D90A58">
            <w:pPr>
              <w:spacing w:line="360" w:lineRule="auto"/>
              <w:jc w:val="center"/>
              <w:rPr>
                <w:color w:val="auto"/>
                <w:lang w:val="en-AU"/>
              </w:rPr>
            </w:pPr>
            <w:r w:rsidRPr="00043334">
              <w:rPr>
                <w:color w:val="auto"/>
                <w:lang w:val="en-AU"/>
              </w:rPr>
              <w:t>16 (66.67)</w:t>
            </w:r>
          </w:p>
        </w:tc>
        <w:tc>
          <w:tcPr>
            <w:tcW w:w="900" w:type="dxa"/>
            <w:tcBorders>
              <w:top w:val="nil"/>
              <w:left w:val="nil"/>
              <w:bottom w:val="nil"/>
              <w:right w:val="nil"/>
            </w:tcBorders>
          </w:tcPr>
          <w:p w14:paraId="16D18756" w14:textId="77777777" w:rsidR="00DD6E8A" w:rsidRPr="00043334" w:rsidRDefault="00DD6E8A" w:rsidP="00D90A58">
            <w:pPr>
              <w:spacing w:line="360" w:lineRule="auto"/>
              <w:jc w:val="center"/>
              <w:rPr>
                <w:color w:val="auto"/>
                <w:lang w:val="en-AU"/>
              </w:rPr>
            </w:pPr>
            <w:r w:rsidRPr="00043334">
              <w:rPr>
                <w:color w:val="auto"/>
                <w:lang w:val="en-AU"/>
              </w:rPr>
              <w:t>0.07</w:t>
            </w:r>
          </w:p>
        </w:tc>
        <w:tc>
          <w:tcPr>
            <w:tcW w:w="810" w:type="dxa"/>
            <w:tcBorders>
              <w:top w:val="nil"/>
              <w:left w:val="nil"/>
              <w:bottom w:val="nil"/>
              <w:right w:val="nil"/>
            </w:tcBorders>
          </w:tcPr>
          <w:p w14:paraId="7F419C9F" w14:textId="77777777" w:rsidR="00DD6E8A" w:rsidRPr="00043334" w:rsidRDefault="00DD6E8A" w:rsidP="00D90A58">
            <w:pPr>
              <w:spacing w:line="360" w:lineRule="auto"/>
              <w:jc w:val="center"/>
              <w:rPr>
                <w:color w:val="auto"/>
                <w:lang w:val="en-AU"/>
              </w:rPr>
            </w:pPr>
            <w:r w:rsidRPr="00043334">
              <w:rPr>
                <w:color w:val="auto"/>
                <w:lang w:val="en-AU"/>
              </w:rPr>
              <w:t>1</w:t>
            </w:r>
          </w:p>
        </w:tc>
        <w:tc>
          <w:tcPr>
            <w:tcW w:w="1024" w:type="dxa"/>
            <w:tcBorders>
              <w:top w:val="nil"/>
              <w:left w:val="nil"/>
              <w:bottom w:val="nil"/>
              <w:right w:val="nil"/>
            </w:tcBorders>
          </w:tcPr>
          <w:p w14:paraId="13226A50" w14:textId="77777777" w:rsidR="00DD6E8A" w:rsidRPr="00043334" w:rsidRDefault="00DD6E8A" w:rsidP="00D90A58">
            <w:pPr>
              <w:spacing w:line="360" w:lineRule="auto"/>
              <w:jc w:val="center"/>
              <w:rPr>
                <w:color w:val="auto"/>
                <w:lang w:val="en-AU"/>
              </w:rPr>
            </w:pPr>
            <w:r w:rsidRPr="00043334">
              <w:rPr>
                <w:color w:val="auto"/>
                <w:lang w:val="en-AU"/>
              </w:rPr>
              <w:t>.785</w:t>
            </w:r>
          </w:p>
        </w:tc>
      </w:tr>
      <w:tr w:rsidR="00043334" w:rsidRPr="00043334" w14:paraId="0DDA54DC" w14:textId="77777777" w:rsidTr="00384991">
        <w:tc>
          <w:tcPr>
            <w:tcW w:w="3420" w:type="dxa"/>
            <w:tcBorders>
              <w:top w:val="nil"/>
              <w:left w:val="nil"/>
              <w:bottom w:val="nil"/>
              <w:right w:val="nil"/>
            </w:tcBorders>
          </w:tcPr>
          <w:p w14:paraId="23359626" w14:textId="77777777" w:rsidR="00DD6E8A" w:rsidRPr="00043334" w:rsidRDefault="00DD6E8A" w:rsidP="00D90A58">
            <w:pPr>
              <w:spacing w:line="360" w:lineRule="auto"/>
              <w:ind w:left="158"/>
              <w:rPr>
                <w:color w:val="auto"/>
                <w:lang w:val="en-AU"/>
              </w:rPr>
            </w:pPr>
            <w:r w:rsidRPr="00043334">
              <w:rPr>
                <w:color w:val="auto"/>
                <w:lang w:val="en-AU"/>
              </w:rPr>
              <w:t>Age, years, mean (SD)</w:t>
            </w:r>
          </w:p>
        </w:tc>
        <w:tc>
          <w:tcPr>
            <w:tcW w:w="1530" w:type="dxa"/>
            <w:tcBorders>
              <w:top w:val="nil"/>
              <w:left w:val="nil"/>
              <w:bottom w:val="nil"/>
              <w:right w:val="nil"/>
            </w:tcBorders>
          </w:tcPr>
          <w:p w14:paraId="59CDFC9B" w14:textId="77777777" w:rsidR="00DD6E8A" w:rsidRPr="00043334" w:rsidRDefault="00DD6E8A" w:rsidP="00D90A58">
            <w:pPr>
              <w:spacing w:line="360" w:lineRule="auto"/>
              <w:jc w:val="center"/>
              <w:rPr>
                <w:color w:val="auto"/>
                <w:lang w:val="en-AU"/>
              </w:rPr>
            </w:pPr>
            <w:r w:rsidRPr="00043334">
              <w:rPr>
                <w:color w:val="auto"/>
                <w:lang w:val="en-AU"/>
              </w:rPr>
              <w:t>32.49 (14.07)</w:t>
            </w:r>
          </w:p>
        </w:tc>
        <w:tc>
          <w:tcPr>
            <w:tcW w:w="1530" w:type="dxa"/>
            <w:tcBorders>
              <w:top w:val="nil"/>
              <w:left w:val="nil"/>
              <w:bottom w:val="nil"/>
              <w:right w:val="nil"/>
            </w:tcBorders>
          </w:tcPr>
          <w:p w14:paraId="4E60A71E" w14:textId="77777777" w:rsidR="00DD6E8A" w:rsidRPr="00043334" w:rsidRDefault="00DD6E8A" w:rsidP="00D90A58">
            <w:pPr>
              <w:spacing w:line="360" w:lineRule="auto"/>
              <w:jc w:val="center"/>
              <w:rPr>
                <w:color w:val="auto"/>
                <w:lang w:val="en-AU"/>
              </w:rPr>
            </w:pPr>
            <w:r w:rsidRPr="00043334">
              <w:rPr>
                <w:color w:val="auto"/>
                <w:lang w:val="en-AU"/>
              </w:rPr>
              <w:t>44.35 (15.86)</w:t>
            </w:r>
          </w:p>
        </w:tc>
        <w:tc>
          <w:tcPr>
            <w:tcW w:w="900" w:type="dxa"/>
            <w:tcBorders>
              <w:top w:val="nil"/>
              <w:left w:val="nil"/>
              <w:bottom w:val="nil"/>
              <w:right w:val="nil"/>
            </w:tcBorders>
          </w:tcPr>
          <w:p w14:paraId="6CF7F772" w14:textId="77777777" w:rsidR="00DD6E8A" w:rsidRPr="00043334" w:rsidRDefault="00DD6E8A" w:rsidP="00D90A58">
            <w:pPr>
              <w:spacing w:line="360" w:lineRule="auto"/>
              <w:jc w:val="center"/>
              <w:rPr>
                <w:color w:val="auto"/>
                <w:lang w:val="en-AU"/>
              </w:rPr>
            </w:pPr>
            <w:r w:rsidRPr="00043334">
              <w:rPr>
                <w:color w:val="auto"/>
                <w:lang w:val="en-AU"/>
              </w:rPr>
              <w:t>-2.94</w:t>
            </w:r>
          </w:p>
        </w:tc>
        <w:tc>
          <w:tcPr>
            <w:tcW w:w="810" w:type="dxa"/>
            <w:tcBorders>
              <w:top w:val="nil"/>
              <w:left w:val="nil"/>
              <w:bottom w:val="nil"/>
              <w:right w:val="nil"/>
            </w:tcBorders>
          </w:tcPr>
          <w:p w14:paraId="7FDCD08A" w14:textId="77777777" w:rsidR="00DD6E8A" w:rsidRPr="00043334" w:rsidRDefault="00DD6E8A" w:rsidP="00D90A58">
            <w:pPr>
              <w:spacing w:line="360" w:lineRule="auto"/>
              <w:jc w:val="center"/>
              <w:rPr>
                <w:color w:val="auto"/>
                <w:lang w:val="en-AU"/>
              </w:rPr>
            </w:pPr>
            <w:r w:rsidRPr="00043334">
              <w:rPr>
                <w:color w:val="auto"/>
                <w:lang w:val="en-AU"/>
              </w:rPr>
              <w:t>45.79</w:t>
            </w:r>
          </w:p>
        </w:tc>
        <w:tc>
          <w:tcPr>
            <w:tcW w:w="1024" w:type="dxa"/>
            <w:tcBorders>
              <w:top w:val="nil"/>
              <w:left w:val="nil"/>
              <w:bottom w:val="nil"/>
              <w:right w:val="nil"/>
            </w:tcBorders>
          </w:tcPr>
          <w:p w14:paraId="55392F59" w14:textId="472F3F07" w:rsidR="00DD6E8A" w:rsidRPr="00043334" w:rsidRDefault="00DD6E8A" w:rsidP="00D90A58">
            <w:pPr>
              <w:spacing w:line="360" w:lineRule="auto"/>
              <w:jc w:val="center"/>
              <w:rPr>
                <w:color w:val="auto"/>
                <w:lang w:val="en-AU"/>
              </w:rPr>
            </w:pPr>
            <w:r w:rsidRPr="00043334">
              <w:rPr>
                <w:color w:val="auto"/>
                <w:lang w:val="en-AU"/>
              </w:rPr>
              <w:t>.005</w:t>
            </w:r>
            <w:r w:rsidR="00384991" w:rsidRPr="00043334">
              <w:rPr>
                <w:color w:val="auto"/>
                <w:lang w:val="en-AU"/>
              </w:rPr>
              <w:t>*</w:t>
            </w:r>
          </w:p>
        </w:tc>
      </w:tr>
      <w:tr w:rsidR="00043334" w:rsidRPr="00043334" w14:paraId="2C0B6D9C" w14:textId="77777777" w:rsidTr="00384991">
        <w:tc>
          <w:tcPr>
            <w:tcW w:w="3420" w:type="dxa"/>
            <w:tcBorders>
              <w:top w:val="nil"/>
              <w:left w:val="nil"/>
              <w:bottom w:val="nil"/>
              <w:right w:val="nil"/>
            </w:tcBorders>
          </w:tcPr>
          <w:p w14:paraId="0BF62224" w14:textId="77777777" w:rsidR="00DD6E8A" w:rsidRPr="00043334" w:rsidRDefault="00DD6E8A" w:rsidP="00D90A58">
            <w:pPr>
              <w:spacing w:line="360" w:lineRule="auto"/>
              <w:ind w:left="158"/>
              <w:rPr>
                <w:color w:val="auto"/>
                <w:lang w:val="en-AU"/>
              </w:rPr>
            </w:pPr>
            <w:r w:rsidRPr="00043334">
              <w:rPr>
                <w:color w:val="auto"/>
                <w:lang w:val="en-AU"/>
              </w:rPr>
              <w:t>Education, years, mean (SD)</w:t>
            </w:r>
          </w:p>
        </w:tc>
        <w:tc>
          <w:tcPr>
            <w:tcW w:w="1530" w:type="dxa"/>
            <w:tcBorders>
              <w:top w:val="nil"/>
              <w:left w:val="nil"/>
              <w:bottom w:val="nil"/>
              <w:right w:val="nil"/>
            </w:tcBorders>
          </w:tcPr>
          <w:p w14:paraId="7C88649D" w14:textId="77777777" w:rsidR="00DD6E8A" w:rsidRPr="00043334" w:rsidRDefault="00DD6E8A" w:rsidP="00D90A58">
            <w:pPr>
              <w:spacing w:line="360" w:lineRule="auto"/>
              <w:jc w:val="center"/>
              <w:rPr>
                <w:color w:val="auto"/>
                <w:lang w:val="en-AU"/>
              </w:rPr>
            </w:pPr>
            <w:r w:rsidRPr="00043334">
              <w:rPr>
                <w:color w:val="auto"/>
                <w:lang w:val="en-AU"/>
              </w:rPr>
              <w:t>16.00 (3.98)</w:t>
            </w:r>
          </w:p>
        </w:tc>
        <w:tc>
          <w:tcPr>
            <w:tcW w:w="1530" w:type="dxa"/>
            <w:tcBorders>
              <w:top w:val="nil"/>
              <w:left w:val="nil"/>
              <w:bottom w:val="nil"/>
              <w:right w:val="nil"/>
            </w:tcBorders>
          </w:tcPr>
          <w:p w14:paraId="1788DB51" w14:textId="77777777" w:rsidR="00DD6E8A" w:rsidRPr="00043334" w:rsidRDefault="00DD6E8A" w:rsidP="00D90A58">
            <w:pPr>
              <w:spacing w:line="360" w:lineRule="auto"/>
              <w:jc w:val="center"/>
              <w:rPr>
                <w:color w:val="auto"/>
                <w:lang w:val="en-AU"/>
              </w:rPr>
            </w:pPr>
            <w:r w:rsidRPr="00043334">
              <w:rPr>
                <w:color w:val="auto"/>
                <w:lang w:val="en-AU"/>
              </w:rPr>
              <w:t>16.42 (4.15)</w:t>
            </w:r>
          </w:p>
        </w:tc>
        <w:tc>
          <w:tcPr>
            <w:tcW w:w="900" w:type="dxa"/>
            <w:tcBorders>
              <w:top w:val="nil"/>
              <w:left w:val="nil"/>
              <w:bottom w:val="nil"/>
              <w:right w:val="nil"/>
            </w:tcBorders>
          </w:tcPr>
          <w:p w14:paraId="785264B3" w14:textId="77777777" w:rsidR="00DD6E8A" w:rsidRPr="00043334" w:rsidRDefault="00DD6E8A" w:rsidP="00D90A58">
            <w:pPr>
              <w:spacing w:line="360" w:lineRule="auto"/>
              <w:jc w:val="center"/>
              <w:rPr>
                <w:color w:val="auto"/>
                <w:lang w:val="en-AU"/>
              </w:rPr>
            </w:pPr>
            <w:r w:rsidRPr="00043334">
              <w:rPr>
                <w:color w:val="auto"/>
                <w:lang w:val="en-AU"/>
              </w:rPr>
              <w:t>-0.38</w:t>
            </w:r>
          </w:p>
        </w:tc>
        <w:tc>
          <w:tcPr>
            <w:tcW w:w="810" w:type="dxa"/>
            <w:tcBorders>
              <w:top w:val="nil"/>
              <w:left w:val="nil"/>
              <w:bottom w:val="nil"/>
              <w:right w:val="nil"/>
            </w:tcBorders>
          </w:tcPr>
          <w:p w14:paraId="0BEE22AA" w14:textId="77777777" w:rsidR="00DD6E8A" w:rsidRPr="00043334" w:rsidRDefault="00DD6E8A" w:rsidP="00D90A58">
            <w:pPr>
              <w:spacing w:line="360" w:lineRule="auto"/>
              <w:jc w:val="center"/>
              <w:rPr>
                <w:color w:val="auto"/>
                <w:lang w:val="en-AU"/>
              </w:rPr>
            </w:pPr>
            <w:r w:rsidRPr="00043334">
              <w:rPr>
                <w:color w:val="auto"/>
                <w:lang w:val="en-AU"/>
              </w:rPr>
              <w:t>48.41</w:t>
            </w:r>
          </w:p>
        </w:tc>
        <w:tc>
          <w:tcPr>
            <w:tcW w:w="1024" w:type="dxa"/>
            <w:tcBorders>
              <w:top w:val="nil"/>
              <w:left w:val="nil"/>
              <w:bottom w:val="nil"/>
              <w:right w:val="nil"/>
            </w:tcBorders>
          </w:tcPr>
          <w:p w14:paraId="49B47C25" w14:textId="440D3B9D" w:rsidR="00DD6E8A" w:rsidRPr="00043334" w:rsidRDefault="00DD6E8A" w:rsidP="00D90A58">
            <w:pPr>
              <w:spacing w:line="360" w:lineRule="auto"/>
              <w:jc w:val="center"/>
              <w:rPr>
                <w:color w:val="auto"/>
                <w:lang w:val="en-AU"/>
              </w:rPr>
            </w:pPr>
            <w:r w:rsidRPr="00043334">
              <w:rPr>
                <w:color w:val="auto"/>
                <w:lang w:val="en-AU"/>
              </w:rPr>
              <w:t>.704</w:t>
            </w:r>
          </w:p>
        </w:tc>
      </w:tr>
      <w:tr w:rsidR="00043334" w:rsidRPr="00043334" w14:paraId="4CD87706" w14:textId="77777777" w:rsidTr="00384991">
        <w:tc>
          <w:tcPr>
            <w:tcW w:w="3420" w:type="dxa"/>
            <w:tcBorders>
              <w:top w:val="nil"/>
              <w:left w:val="nil"/>
              <w:bottom w:val="nil"/>
              <w:right w:val="nil"/>
            </w:tcBorders>
          </w:tcPr>
          <w:p w14:paraId="4D78CF2A" w14:textId="77777777" w:rsidR="00DD6E8A" w:rsidRPr="00043334" w:rsidRDefault="00DD6E8A" w:rsidP="00D90A58">
            <w:pPr>
              <w:spacing w:line="360" w:lineRule="auto"/>
              <w:ind w:left="158"/>
              <w:rPr>
                <w:color w:val="auto"/>
                <w:lang w:val="en-AU"/>
              </w:rPr>
            </w:pPr>
            <w:r w:rsidRPr="00043334">
              <w:rPr>
                <w:color w:val="auto"/>
                <w:lang w:val="en-AU"/>
              </w:rPr>
              <w:t>White, n (%)</w:t>
            </w:r>
          </w:p>
        </w:tc>
        <w:tc>
          <w:tcPr>
            <w:tcW w:w="1530" w:type="dxa"/>
            <w:tcBorders>
              <w:top w:val="nil"/>
              <w:left w:val="nil"/>
              <w:bottom w:val="nil"/>
              <w:right w:val="nil"/>
            </w:tcBorders>
          </w:tcPr>
          <w:p w14:paraId="2EB061C4" w14:textId="77777777" w:rsidR="00DD6E8A" w:rsidRPr="00043334" w:rsidRDefault="00DD6E8A" w:rsidP="00D90A58">
            <w:pPr>
              <w:spacing w:line="360" w:lineRule="auto"/>
              <w:jc w:val="center"/>
              <w:rPr>
                <w:color w:val="auto"/>
                <w:lang w:val="en-AU"/>
              </w:rPr>
            </w:pPr>
            <w:r w:rsidRPr="00043334">
              <w:rPr>
                <w:color w:val="auto"/>
                <w:lang w:val="en-AU"/>
              </w:rPr>
              <w:t>22 (64.71)</w:t>
            </w:r>
          </w:p>
        </w:tc>
        <w:tc>
          <w:tcPr>
            <w:tcW w:w="1530" w:type="dxa"/>
            <w:tcBorders>
              <w:top w:val="nil"/>
              <w:left w:val="nil"/>
              <w:bottom w:val="nil"/>
              <w:right w:val="nil"/>
            </w:tcBorders>
          </w:tcPr>
          <w:p w14:paraId="3FA35812" w14:textId="77777777" w:rsidR="00DD6E8A" w:rsidRPr="00043334" w:rsidRDefault="00DD6E8A" w:rsidP="00D90A58">
            <w:pPr>
              <w:spacing w:line="360" w:lineRule="auto"/>
              <w:jc w:val="center"/>
              <w:rPr>
                <w:color w:val="auto"/>
                <w:lang w:val="en-AU"/>
              </w:rPr>
            </w:pPr>
            <w:r w:rsidRPr="00043334">
              <w:rPr>
                <w:color w:val="auto"/>
                <w:lang w:val="en-AU"/>
              </w:rPr>
              <w:t>24 (100)</w:t>
            </w:r>
          </w:p>
        </w:tc>
        <w:tc>
          <w:tcPr>
            <w:tcW w:w="900" w:type="dxa"/>
            <w:vMerge w:val="restart"/>
            <w:tcBorders>
              <w:top w:val="nil"/>
              <w:left w:val="nil"/>
              <w:right w:val="nil"/>
            </w:tcBorders>
            <w:vAlign w:val="center"/>
          </w:tcPr>
          <w:p w14:paraId="78768965" w14:textId="77777777" w:rsidR="00DD6E8A" w:rsidRPr="00043334" w:rsidRDefault="00DD6E8A" w:rsidP="00D90A58">
            <w:pPr>
              <w:spacing w:line="360" w:lineRule="auto"/>
              <w:jc w:val="center"/>
              <w:rPr>
                <w:color w:val="auto"/>
                <w:lang w:val="en-AU"/>
              </w:rPr>
            </w:pPr>
            <w:r w:rsidRPr="00043334">
              <w:rPr>
                <w:color w:val="auto"/>
                <w:lang w:val="en-AU"/>
              </w:rPr>
              <w:t>12.17</w:t>
            </w:r>
          </w:p>
        </w:tc>
        <w:tc>
          <w:tcPr>
            <w:tcW w:w="810" w:type="dxa"/>
            <w:vMerge w:val="restart"/>
            <w:tcBorders>
              <w:top w:val="nil"/>
              <w:left w:val="nil"/>
              <w:right w:val="nil"/>
            </w:tcBorders>
            <w:vAlign w:val="center"/>
          </w:tcPr>
          <w:p w14:paraId="7681E63E" w14:textId="77777777" w:rsidR="00DD6E8A" w:rsidRPr="00043334" w:rsidRDefault="00DD6E8A" w:rsidP="00D90A58">
            <w:pPr>
              <w:spacing w:line="360" w:lineRule="auto"/>
              <w:jc w:val="center"/>
              <w:rPr>
                <w:color w:val="auto"/>
                <w:lang w:val="en-AU"/>
              </w:rPr>
            </w:pPr>
            <w:r w:rsidRPr="00043334">
              <w:rPr>
                <w:color w:val="auto"/>
                <w:lang w:val="en-AU"/>
              </w:rPr>
              <w:t>2</w:t>
            </w:r>
          </w:p>
        </w:tc>
        <w:tc>
          <w:tcPr>
            <w:tcW w:w="1024" w:type="dxa"/>
            <w:vMerge w:val="restart"/>
            <w:tcBorders>
              <w:top w:val="nil"/>
              <w:left w:val="nil"/>
              <w:right w:val="nil"/>
            </w:tcBorders>
            <w:vAlign w:val="center"/>
          </w:tcPr>
          <w:p w14:paraId="706AD0C8" w14:textId="0F3BBFB7" w:rsidR="00DD6E8A" w:rsidRPr="00043334" w:rsidRDefault="00DD6E8A" w:rsidP="00D90A58">
            <w:pPr>
              <w:spacing w:line="360" w:lineRule="auto"/>
              <w:jc w:val="center"/>
              <w:rPr>
                <w:color w:val="auto"/>
                <w:lang w:val="en-AU"/>
              </w:rPr>
            </w:pPr>
            <w:r w:rsidRPr="00043334">
              <w:rPr>
                <w:color w:val="auto"/>
                <w:lang w:val="en-AU"/>
              </w:rPr>
              <w:t>.002</w:t>
            </w:r>
            <w:r w:rsidR="00384991" w:rsidRPr="00043334">
              <w:rPr>
                <w:color w:val="auto"/>
                <w:lang w:val="en-AU"/>
              </w:rPr>
              <w:t>*</w:t>
            </w:r>
          </w:p>
        </w:tc>
      </w:tr>
      <w:tr w:rsidR="00043334" w:rsidRPr="00043334" w14:paraId="4806E1DF" w14:textId="77777777" w:rsidTr="00384991">
        <w:tc>
          <w:tcPr>
            <w:tcW w:w="3420" w:type="dxa"/>
            <w:tcBorders>
              <w:top w:val="nil"/>
              <w:left w:val="nil"/>
              <w:bottom w:val="nil"/>
              <w:right w:val="nil"/>
            </w:tcBorders>
          </w:tcPr>
          <w:p w14:paraId="275B1073" w14:textId="77777777" w:rsidR="00DD6E8A" w:rsidRPr="00043334" w:rsidRDefault="00DD6E8A" w:rsidP="00D90A58">
            <w:pPr>
              <w:spacing w:line="360" w:lineRule="auto"/>
              <w:ind w:left="158"/>
              <w:rPr>
                <w:color w:val="auto"/>
                <w:lang w:val="en-AU"/>
              </w:rPr>
            </w:pPr>
            <w:r w:rsidRPr="00043334">
              <w:rPr>
                <w:color w:val="auto"/>
                <w:lang w:val="en-AU"/>
              </w:rPr>
              <w:t>Black/African American, n (%)</w:t>
            </w:r>
          </w:p>
        </w:tc>
        <w:tc>
          <w:tcPr>
            <w:tcW w:w="1530" w:type="dxa"/>
            <w:tcBorders>
              <w:top w:val="nil"/>
              <w:left w:val="nil"/>
              <w:bottom w:val="nil"/>
              <w:right w:val="nil"/>
            </w:tcBorders>
          </w:tcPr>
          <w:p w14:paraId="6B92DB80" w14:textId="77777777" w:rsidR="00DD6E8A" w:rsidRPr="00043334" w:rsidRDefault="00DD6E8A" w:rsidP="00D90A58">
            <w:pPr>
              <w:spacing w:line="360" w:lineRule="auto"/>
              <w:jc w:val="center"/>
              <w:rPr>
                <w:color w:val="auto"/>
                <w:lang w:val="en-AU"/>
              </w:rPr>
            </w:pPr>
            <w:r w:rsidRPr="00043334">
              <w:rPr>
                <w:color w:val="auto"/>
                <w:lang w:val="en-AU"/>
              </w:rPr>
              <w:t>1 (2.94)</w:t>
            </w:r>
          </w:p>
        </w:tc>
        <w:tc>
          <w:tcPr>
            <w:tcW w:w="1530" w:type="dxa"/>
            <w:tcBorders>
              <w:top w:val="nil"/>
              <w:left w:val="nil"/>
              <w:bottom w:val="nil"/>
              <w:right w:val="nil"/>
            </w:tcBorders>
          </w:tcPr>
          <w:p w14:paraId="7BFBA187" w14:textId="77777777" w:rsidR="00DD6E8A" w:rsidRPr="00043334" w:rsidRDefault="00DD6E8A" w:rsidP="00D90A58">
            <w:pPr>
              <w:spacing w:line="360" w:lineRule="auto"/>
              <w:jc w:val="center"/>
              <w:rPr>
                <w:color w:val="auto"/>
                <w:lang w:val="en-AU"/>
              </w:rPr>
            </w:pPr>
            <w:r w:rsidRPr="00043334">
              <w:rPr>
                <w:color w:val="auto"/>
                <w:lang w:val="en-AU"/>
              </w:rPr>
              <w:t>0 (0)</w:t>
            </w:r>
          </w:p>
        </w:tc>
        <w:tc>
          <w:tcPr>
            <w:tcW w:w="900" w:type="dxa"/>
            <w:vMerge/>
            <w:tcBorders>
              <w:left w:val="nil"/>
              <w:right w:val="nil"/>
            </w:tcBorders>
          </w:tcPr>
          <w:p w14:paraId="7F70A4C3" w14:textId="77777777" w:rsidR="00DD6E8A" w:rsidRPr="00043334" w:rsidRDefault="00DD6E8A" w:rsidP="00D90A58">
            <w:pPr>
              <w:spacing w:line="360" w:lineRule="auto"/>
              <w:jc w:val="center"/>
              <w:rPr>
                <w:color w:val="auto"/>
                <w:lang w:val="en-AU"/>
              </w:rPr>
            </w:pPr>
          </w:p>
        </w:tc>
        <w:tc>
          <w:tcPr>
            <w:tcW w:w="810" w:type="dxa"/>
            <w:vMerge/>
            <w:tcBorders>
              <w:left w:val="nil"/>
              <w:right w:val="nil"/>
            </w:tcBorders>
          </w:tcPr>
          <w:p w14:paraId="1F6DBC43" w14:textId="77777777" w:rsidR="00DD6E8A" w:rsidRPr="00043334" w:rsidRDefault="00DD6E8A" w:rsidP="00D90A58">
            <w:pPr>
              <w:spacing w:line="360" w:lineRule="auto"/>
              <w:jc w:val="center"/>
              <w:rPr>
                <w:color w:val="auto"/>
                <w:lang w:val="en-AU"/>
              </w:rPr>
            </w:pPr>
          </w:p>
        </w:tc>
        <w:tc>
          <w:tcPr>
            <w:tcW w:w="1024" w:type="dxa"/>
            <w:vMerge/>
            <w:tcBorders>
              <w:left w:val="nil"/>
              <w:right w:val="nil"/>
            </w:tcBorders>
            <w:vAlign w:val="center"/>
          </w:tcPr>
          <w:p w14:paraId="4FDC0DB6" w14:textId="77777777" w:rsidR="00DD6E8A" w:rsidRPr="00043334" w:rsidRDefault="00DD6E8A" w:rsidP="00D90A58">
            <w:pPr>
              <w:spacing w:line="360" w:lineRule="auto"/>
              <w:jc w:val="center"/>
              <w:rPr>
                <w:color w:val="auto"/>
                <w:lang w:val="en-AU"/>
              </w:rPr>
            </w:pPr>
          </w:p>
        </w:tc>
      </w:tr>
      <w:tr w:rsidR="00043334" w:rsidRPr="00043334" w14:paraId="57C9CA22" w14:textId="77777777" w:rsidTr="00384991">
        <w:tc>
          <w:tcPr>
            <w:tcW w:w="3420" w:type="dxa"/>
            <w:tcBorders>
              <w:top w:val="nil"/>
              <w:left w:val="nil"/>
              <w:bottom w:val="nil"/>
              <w:right w:val="nil"/>
            </w:tcBorders>
          </w:tcPr>
          <w:p w14:paraId="4B141149" w14:textId="77777777" w:rsidR="00DD6E8A" w:rsidRPr="00043334" w:rsidRDefault="00DD6E8A" w:rsidP="00D90A58">
            <w:pPr>
              <w:spacing w:line="360" w:lineRule="auto"/>
              <w:ind w:left="158"/>
              <w:rPr>
                <w:color w:val="auto"/>
                <w:lang w:val="en-AU"/>
              </w:rPr>
            </w:pPr>
            <w:r w:rsidRPr="00043334">
              <w:rPr>
                <w:color w:val="auto"/>
                <w:lang w:val="en-AU"/>
              </w:rPr>
              <w:t>Asian, n (%)</w:t>
            </w:r>
          </w:p>
        </w:tc>
        <w:tc>
          <w:tcPr>
            <w:tcW w:w="1530" w:type="dxa"/>
            <w:tcBorders>
              <w:top w:val="nil"/>
              <w:left w:val="nil"/>
              <w:bottom w:val="nil"/>
              <w:right w:val="nil"/>
            </w:tcBorders>
          </w:tcPr>
          <w:p w14:paraId="5BE7FF3A" w14:textId="77777777" w:rsidR="00DD6E8A" w:rsidRPr="00043334" w:rsidRDefault="00DD6E8A" w:rsidP="00D90A58">
            <w:pPr>
              <w:spacing w:line="360" w:lineRule="auto"/>
              <w:jc w:val="center"/>
              <w:rPr>
                <w:color w:val="auto"/>
                <w:lang w:val="en-AU"/>
              </w:rPr>
            </w:pPr>
            <w:r w:rsidRPr="00043334">
              <w:rPr>
                <w:color w:val="auto"/>
                <w:lang w:val="en-AU"/>
              </w:rPr>
              <w:t>11 (32.35)</w:t>
            </w:r>
          </w:p>
        </w:tc>
        <w:tc>
          <w:tcPr>
            <w:tcW w:w="1530" w:type="dxa"/>
            <w:tcBorders>
              <w:top w:val="nil"/>
              <w:left w:val="nil"/>
              <w:bottom w:val="nil"/>
              <w:right w:val="nil"/>
            </w:tcBorders>
          </w:tcPr>
          <w:p w14:paraId="6E372883" w14:textId="13F3E8EE" w:rsidR="00DD6E8A" w:rsidRPr="00043334" w:rsidRDefault="00DD6E8A" w:rsidP="00D90A58">
            <w:pPr>
              <w:spacing w:line="360" w:lineRule="auto"/>
              <w:jc w:val="center"/>
              <w:rPr>
                <w:color w:val="auto"/>
                <w:lang w:val="en-AU"/>
              </w:rPr>
            </w:pPr>
            <w:r w:rsidRPr="00043334">
              <w:rPr>
                <w:color w:val="auto"/>
                <w:lang w:val="en-AU"/>
              </w:rPr>
              <w:t>0 (0)</w:t>
            </w:r>
          </w:p>
        </w:tc>
        <w:tc>
          <w:tcPr>
            <w:tcW w:w="900" w:type="dxa"/>
            <w:vMerge/>
            <w:tcBorders>
              <w:left w:val="nil"/>
              <w:bottom w:val="nil"/>
              <w:right w:val="nil"/>
            </w:tcBorders>
          </w:tcPr>
          <w:p w14:paraId="551A1EA0" w14:textId="77777777" w:rsidR="00DD6E8A" w:rsidRPr="00043334" w:rsidRDefault="00DD6E8A" w:rsidP="00D90A58">
            <w:pPr>
              <w:spacing w:line="360" w:lineRule="auto"/>
              <w:jc w:val="center"/>
              <w:rPr>
                <w:color w:val="auto"/>
                <w:lang w:val="en-AU"/>
              </w:rPr>
            </w:pPr>
          </w:p>
        </w:tc>
        <w:tc>
          <w:tcPr>
            <w:tcW w:w="810" w:type="dxa"/>
            <w:vMerge/>
            <w:tcBorders>
              <w:left w:val="nil"/>
              <w:bottom w:val="nil"/>
              <w:right w:val="nil"/>
            </w:tcBorders>
          </w:tcPr>
          <w:p w14:paraId="6615D5D6" w14:textId="77777777" w:rsidR="00DD6E8A" w:rsidRPr="00043334" w:rsidRDefault="00DD6E8A" w:rsidP="00D90A58">
            <w:pPr>
              <w:spacing w:line="360" w:lineRule="auto"/>
              <w:jc w:val="center"/>
              <w:rPr>
                <w:color w:val="auto"/>
                <w:lang w:val="en-AU"/>
              </w:rPr>
            </w:pPr>
          </w:p>
        </w:tc>
        <w:tc>
          <w:tcPr>
            <w:tcW w:w="1024" w:type="dxa"/>
            <w:vMerge/>
            <w:tcBorders>
              <w:left w:val="nil"/>
              <w:bottom w:val="nil"/>
              <w:right w:val="nil"/>
            </w:tcBorders>
            <w:vAlign w:val="center"/>
          </w:tcPr>
          <w:p w14:paraId="6EB95A4A" w14:textId="77777777" w:rsidR="00DD6E8A" w:rsidRPr="00043334" w:rsidRDefault="00DD6E8A" w:rsidP="00D90A58">
            <w:pPr>
              <w:spacing w:line="360" w:lineRule="auto"/>
              <w:jc w:val="center"/>
              <w:rPr>
                <w:color w:val="auto"/>
                <w:lang w:val="en-AU"/>
              </w:rPr>
            </w:pPr>
          </w:p>
        </w:tc>
      </w:tr>
      <w:tr w:rsidR="00043334" w:rsidRPr="00043334" w14:paraId="39FF577D" w14:textId="77777777" w:rsidTr="00D90A58">
        <w:tc>
          <w:tcPr>
            <w:tcW w:w="9214" w:type="dxa"/>
            <w:gridSpan w:val="6"/>
            <w:tcBorders>
              <w:top w:val="nil"/>
              <w:left w:val="nil"/>
              <w:bottom w:val="nil"/>
              <w:right w:val="nil"/>
            </w:tcBorders>
          </w:tcPr>
          <w:p w14:paraId="735C60ED" w14:textId="77777777" w:rsidR="00DD6E8A" w:rsidRPr="00043334" w:rsidRDefault="00DD6E8A" w:rsidP="00A544F8">
            <w:pPr>
              <w:spacing w:line="360" w:lineRule="auto"/>
              <w:rPr>
                <w:color w:val="auto"/>
                <w:lang w:val="en-AU"/>
              </w:rPr>
            </w:pPr>
            <w:r w:rsidRPr="00043334">
              <w:rPr>
                <w:color w:val="auto"/>
                <w:lang w:val="en-AU"/>
              </w:rPr>
              <w:t>Clinical Characteristics</w:t>
            </w:r>
          </w:p>
        </w:tc>
      </w:tr>
      <w:tr w:rsidR="00043334" w:rsidRPr="00043334" w14:paraId="43DEA906" w14:textId="77777777" w:rsidTr="00384991">
        <w:tc>
          <w:tcPr>
            <w:tcW w:w="3420" w:type="dxa"/>
            <w:tcBorders>
              <w:top w:val="nil"/>
              <w:left w:val="nil"/>
              <w:bottom w:val="nil"/>
              <w:right w:val="nil"/>
            </w:tcBorders>
          </w:tcPr>
          <w:p w14:paraId="13CC25C3" w14:textId="77777777" w:rsidR="00DD6E8A" w:rsidRPr="00043334" w:rsidRDefault="00DD6E8A" w:rsidP="00A544F8">
            <w:pPr>
              <w:spacing w:line="360" w:lineRule="auto"/>
              <w:ind w:left="158"/>
              <w:rPr>
                <w:color w:val="auto"/>
                <w:lang w:val="en-AU"/>
              </w:rPr>
            </w:pPr>
            <w:r w:rsidRPr="00043334">
              <w:rPr>
                <w:color w:val="auto"/>
                <w:lang w:val="en-AU"/>
              </w:rPr>
              <w:t>Number of MDEs, mean (SD)</w:t>
            </w:r>
          </w:p>
        </w:tc>
        <w:tc>
          <w:tcPr>
            <w:tcW w:w="1530" w:type="dxa"/>
            <w:tcBorders>
              <w:top w:val="nil"/>
              <w:left w:val="nil"/>
              <w:bottom w:val="nil"/>
              <w:right w:val="nil"/>
            </w:tcBorders>
          </w:tcPr>
          <w:p w14:paraId="19D16B08" w14:textId="77777777" w:rsidR="00DD6E8A" w:rsidRPr="00043334" w:rsidRDefault="00DD6E8A" w:rsidP="00A544F8">
            <w:pPr>
              <w:spacing w:line="360" w:lineRule="auto"/>
              <w:jc w:val="center"/>
              <w:rPr>
                <w:color w:val="auto"/>
                <w:lang w:val="en-AU"/>
              </w:rPr>
            </w:pPr>
            <w:r w:rsidRPr="00043334">
              <w:rPr>
                <w:color w:val="auto"/>
                <w:lang w:val="en-AU"/>
              </w:rPr>
              <w:t>–</w:t>
            </w:r>
          </w:p>
        </w:tc>
        <w:tc>
          <w:tcPr>
            <w:tcW w:w="1530" w:type="dxa"/>
            <w:tcBorders>
              <w:top w:val="nil"/>
              <w:left w:val="nil"/>
              <w:bottom w:val="nil"/>
              <w:right w:val="nil"/>
            </w:tcBorders>
          </w:tcPr>
          <w:p w14:paraId="1203C66F" w14:textId="77777777" w:rsidR="00DD6E8A" w:rsidRPr="00043334" w:rsidRDefault="00DD6E8A" w:rsidP="00A544F8">
            <w:pPr>
              <w:spacing w:line="360" w:lineRule="auto"/>
              <w:jc w:val="center"/>
              <w:rPr>
                <w:color w:val="auto"/>
                <w:lang w:val="en-AU"/>
              </w:rPr>
            </w:pPr>
            <w:r w:rsidRPr="00043334">
              <w:rPr>
                <w:color w:val="auto"/>
                <w:lang w:val="en-AU"/>
              </w:rPr>
              <w:t>5.00 (6.40)</w:t>
            </w:r>
          </w:p>
        </w:tc>
        <w:tc>
          <w:tcPr>
            <w:tcW w:w="900" w:type="dxa"/>
            <w:tcBorders>
              <w:top w:val="nil"/>
              <w:left w:val="nil"/>
              <w:bottom w:val="nil"/>
              <w:right w:val="nil"/>
            </w:tcBorders>
          </w:tcPr>
          <w:p w14:paraId="35E05077" w14:textId="77777777" w:rsidR="00DD6E8A" w:rsidRPr="00043334" w:rsidRDefault="00DD6E8A" w:rsidP="00A544F8">
            <w:pPr>
              <w:spacing w:line="360" w:lineRule="auto"/>
              <w:jc w:val="center"/>
              <w:rPr>
                <w:color w:val="auto"/>
                <w:lang w:val="en-AU"/>
              </w:rPr>
            </w:pPr>
            <w:r w:rsidRPr="00043334">
              <w:rPr>
                <w:color w:val="auto"/>
                <w:lang w:val="en-AU"/>
              </w:rPr>
              <w:t>–</w:t>
            </w:r>
          </w:p>
        </w:tc>
        <w:tc>
          <w:tcPr>
            <w:tcW w:w="810" w:type="dxa"/>
            <w:tcBorders>
              <w:top w:val="nil"/>
              <w:left w:val="nil"/>
              <w:bottom w:val="nil"/>
              <w:right w:val="nil"/>
            </w:tcBorders>
          </w:tcPr>
          <w:p w14:paraId="797BAB49" w14:textId="77777777" w:rsidR="00DD6E8A" w:rsidRPr="00043334" w:rsidRDefault="00DD6E8A" w:rsidP="00A544F8">
            <w:pPr>
              <w:spacing w:line="360" w:lineRule="auto"/>
              <w:jc w:val="center"/>
              <w:rPr>
                <w:color w:val="auto"/>
                <w:lang w:val="en-AU"/>
              </w:rPr>
            </w:pPr>
            <w:r w:rsidRPr="00043334">
              <w:rPr>
                <w:color w:val="auto"/>
                <w:lang w:val="en-AU"/>
              </w:rPr>
              <w:t>–</w:t>
            </w:r>
          </w:p>
        </w:tc>
        <w:tc>
          <w:tcPr>
            <w:tcW w:w="1024" w:type="dxa"/>
            <w:tcBorders>
              <w:top w:val="nil"/>
              <w:left w:val="nil"/>
              <w:bottom w:val="nil"/>
              <w:right w:val="nil"/>
            </w:tcBorders>
          </w:tcPr>
          <w:p w14:paraId="1867095B" w14:textId="77777777" w:rsidR="00DD6E8A" w:rsidRPr="00043334" w:rsidRDefault="00DD6E8A" w:rsidP="00A544F8">
            <w:pPr>
              <w:spacing w:line="360" w:lineRule="auto"/>
              <w:jc w:val="center"/>
              <w:rPr>
                <w:color w:val="auto"/>
                <w:lang w:val="en-AU"/>
              </w:rPr>
            </w:pPr>
            <w:r w:rsidRPr="00043334">
              <w:rPr>
                <w:color w:val="auto"/>
                <w:lang w:val="en-AU"/>
              </w:rPr>
              <w:t>–</w:t>
            </w:r>
          </w:p>
        </w:tc>
      </w:tr>
      <w:tr w:rsidR="00043334" w:rsidRPr="00043334" w14:paraId="1D2A451A" w14:textId="77777777" w:rsidTr="00384991">
        <w:tc>
          <w:tcPr>
            <w:tcW w:w="3420" w:type="dxa"/>
            <w:tcBorders>
              <w:top w:val="nil"/>
              <w:left w:val="nil"/>
              <w:bottom w:val="nil"/>
              <w:right w:val="nil"/>
            </w:tcBorders>
          </w:tcPr>
          <w:p w14:paraId="50071129" w14:textId="77777777" w:rsidR="00DD6E8A" w:rsidRPr="00043334" w:rsidRDefault="00DD6E8A" w:rsidP="00A544F8">
            <w:pPr>
              <w:spacing w:line="360" w:lineRule="auto"/>
              <w:ind w:left="158"/>
              <w:rPr>
                <w:color w:val="auto"/>
                <w:lang w:val="en-AU"/>
              </w:rPr>
            </w:pPr>
            <w:r w:rsidRPr="00043334">
              <w:rPr>
                <w:color w:val="auto"/>
                <w:lang w:val="en-AU"/>
              </w:rPr>
              <w:t>Age at first MDE, mean (SD)</w:t>
            </w:r>
          </w:p>
        </w:tc>
        <w:tc>
          <w:tcPr>
            <w:tcW w:w="1530" w:type="dxa"/>
            <w:tcBorders>
              <w:top w:val="nil"/>
              <w:left w:val="nil"/>
              <w:bottom w:val="nil"/>
              <w:right w:val="nil"/>
            </w:tcBorders>
          </w:tcPr>
          <w:p w14:paraId="3A2A44C3" w14:textId="77777777" w:rsidR="00DD6E8A" w:rsidRPr="00043334" w:rsidRDefault="00DD6E8A" w:rsidP="00A544F8">
            <w:pPr>
              <w:spacing w:line="360" w:lineRule="auto"/>
              <w:jc w:val="center"/>
              <w:rPr>
                <w:color w:val="auto"/>
                <w:lang w:val="en-AU"/>
              </w:rPr>
            </w:pPr>
            <w:r w:rsidRPr="00043334">
              <w:rPr>
                <w:color w:val="auto"/>
                <w:lang w:val="en-AU"/>
              </w:rPr>
              <w:t>–</w:t>
            </w:r>
          </w:p>
        </w:tc>
        <w:tc>
          <w:tcPr>
            <w:tcW w:w="1530" w:type="dxa"/>
            <w:tcBorders>
              <w:top w:val="nil"/>
              <w:left w:val="nil"/>
              <w:bottom w:val="nil"/>
              <w:right w:val="nil"/>
            </w:tcBorders>
            <w:vAlign w:val="center"/>
          </w:tcPr>
          <w:p w14:paraId="029CB1C7" w14:textId="77777777" w:rsidR="00DD6E8A" w:rsidRPr="00043334" w:rsidRDefault="00DD6E8A" w:rsidP="00A544F8">
            <w:pPr>
              <w:spacing w:line="360" w:lineRule="auto"/>
              <w:jc w:val="center"/>
              <w:rPr>
                <w:color w:val="auto"/>
                <w:lang w:val="en-AU"/>
              </w:rPr>
            </w:pPr>
            <w:r w:rsidRPr="00043334">
              <w:rPr>
                <w:color w:val="auto"/>
                <w:lang w:val="en-AU"/>
              </w:rPr>
              <w:t>16.61 (4.69)</w:t>
            </w:r>
          </w:p>
        </w:tc>
        <w:tc>
          <w:tcPr>
            <w:tcW w:w="900" w:type="dxa"/>
            <w:tcBorders>
              <w:top w:val="nil"/>
              <w:left w:val="nil"/>
              <w:bottom w:val="nil"/>
              <w:right w:val="nil"/>
            </w:tcBorders>
          </w:tcPr>
          <w:p w14:paraId="505CD6F7" w14:textId="77777777" w:rsidR="00DD6E8A" w:rsidRPr="00043334" w:rsidRDefault="00DD6E8A" w:rsidP="00A544F8">
            <w:pPr>
              <w:spacing w:line="360" w:lineRule="auto"/>
              <w:jc w:val="center"/>
              <w:rPr>
                <w:color w:val="auto"/>
                <w:lang w:val="en-AU"/>
              </w:rPr>
            </w:pPr>
            <w:r w:rsidRPr="00043334">
              <w:rPr>
                <w:color w:val="auto"/>
                <w:lang w:val="en-AU"/>
              </w:rPr>
              <w:t>–</w:t>
            </w:r>
          </w:p>
        </w:tc>
        <w:tc>
          <w:tcPr>
            <w:tcW w:w="810" w:type="dxa"/>
            <w:tcBorders>
              <w:top w:val="nil"/>
              <w:left w:val="nil"/>
              <w:bottom w:val="nil"/>
              <w:right w:val="nil"/>
            </w:tcBorders>
          </w:tcPr>
          <w:p w14:paraId="14AF9A00" w14:textId="77777777" w:rsidR="00DD6E8A" w:rsidRPr="00043334" w:rsidRDefault="00DD6E8A" w:rsidP="00A544F8">
            <w:pPr>
              <w:spacing w:line="360" w:lineRule="auto"/>
              <w:jc w:val="center"/>
              <w:rPr>
                <w:color w:val="auto"/>
                <w:lang w:val="en-AU"/>
              </w:rPr>
            </w:pPr>
            <w:r w:rsidRPr="00043334">
              <w:rPr>
                <w:color w:val="auto"/>
                <w:lang w:val="en-AU"/>
              </w:rPr>
              <w:t>–</w:t>
            </w:r>
          </w:p>
        </w:tc>
        <w:tc>
          <w:tcPr>
            <w:tcW w:w="1024" w:type="dxa"/>
            <w:tcBorders>
              <w:top w:val="nil"/>
              <w:left w:val="nil"/>
              <w:bottom w:val="nil"/>
              <w:right w:val="nil"/>
            </w:tcBorders>
          </w:tcPr>
          <w:p w14:paraId="2FB3BB6E" w14:textId="77777777" w:rsidR="00DD6E8A" w:rsidRPr="00043334" w:rsidRDefault="00DD6E8A" w:rsidP="00A544F8">
            <w:pPr>
              <w:spacing w:line="360" w:lineRule="auto"/>
              <w:jc w:val="center"/>
              <w:rPr>
                <w:color w:val="auto"/>
                <w:lang w:val="en-AU"/>
              </w:rPr>
            </w:pPr>
            <w:r w:rsidRPr="00043334">
              <w:rPr>
                <w:color w:val="auto"/>
                <w:lang w:val="en-AU"/>
              </w:rPr>
              <w:t>–</w:t>
            </w:r>
          </w:p>
        </w:tc>
      </w:tr>
      <w:tr w:rsidR="00043334" w:rsidRPr="00043334" w14:paraId="3B4EF07D" w14:textId="77777777" w:rsidTr="00384991">
        <w:tc>
          <w:tcPr>
            <w:tcW w:w="3420" w:type="dxa"/>
            <w:tcBorders>
              <w:top w:val="nil"/>
              <w:left w:val="nil"/>
              <w:bottom w:val="nil"/>
              <w:right w:val="nil"/>
            </w:tcBorders>
          </w:tcPr>
          <w:p w14:paraId="79A9BDA0" w14:textId="77777777" w:rsidR="00DD6E8A" w:rsidRPr="00043334" w:rsidRDefault="00DD6E8A" w:rsidP="00A544F8">
            <w:pPr>
              <w:spacing w:line="360" w:lineRule="auto"/>
              <w:ind w:left="158"/>
              <w:rPr>
                <w:color w:val="auto"/>
                <w:lang w:val="en-AU"/>
              </w:rPr>
            </w:pPr>
            <w:r w:rsidRPr="00043334">
              <w:rPr>
                <w:color w:val="auto"/>
                <w:lang w:val="en-AU"/>
              </w:rPr>
              <w:t>Episodes per year since first MDE, mean (SD)</w:t>
            </w:r>
          </w:p>
        </w:tc>
        <w:tc>
          <w:tcPr>
            <w:tcW w:w="1530" w:type="dxa"/>
            <w:tcBorders>
              <w:top w:val="nil"/>
              <w:left w:val="nil"/>
              <w:bottom w:val="nil"/>
              <w:right w:val="nil"/>
            </w:tcBorders>
          </w:tcPr>
          <w:p w14:paraId="7FDC9264" w14:textId="77777777" w:rsidR="00DD6E8A" w:rsidRPr="00043334" w:rsidRDefault="00DD6E8A" w:rsidP="00A544F8">
            <w:pPr>
              <w:spacing w:line="360" w:lineRule="auto"/>
              <w:jc w:val="center"/>
              <w:rPr>
                <w:color w:val="auto"/>
                <w:lang w:val="en-AU"/>
              </w:rPr>
            </w:pPr>
            <w:r w:rsidRPr="00043334">
              <w:rPr>
                <w:color w:val="auto"/>
                <w:lang w:val="en-AU"/>
              </w:rPr>
              <w:t>–</w:t>
            </w:r>
          </w:p>
        </w:tc>
        <w:tc>
          <w:tcPr>
            <w:tcW w:w="1530" w:type="dxa"/>
            <w:tcBorders>
              <w:top w:val="nil"/>
              <w:left w:val="nil"/>
              <w:bottom w:val="nil"/>
              <w:right w:val="nil"/>
            </w:tcBorders>
            <w:vAlign w:val="center"/>
          </w:tcPr>
          <w:p w14:paraId="4BE8FC7D" w14:textId="77777777" w:rsidR="00DD6E8A" w:rsidRPr="00043334" w:rsidRDefault="00DD6E8A" w:rsidP="00A544F8">
            <w:pPr>
              <w:spacing w:line="360" w:lineRule="auto"/>
              <w:jc w:val="center"/>
              <w:rPr>
                <w:color w:val="auto"/>
                <w:lang w:val="en-AU"/>
              </w:rPr>
            </w:pPr>
            <w:r w:rsidRPr="00043334">
              <w:rPr>
                <w:color w:val="auto"/>
                <w:lang w:val="en-AU"/>
              </w:rPr>
              <w:t>0.25 (0.33)</w:t>
            </w:r>
          </w:p>
        </w:tc>
        <w:tc>
          <w:tcPr>
            <w:tcW w:w="900" w:type="dxa"/>
            <w:tcBorders>
              <w:top w:val="nil"/>
              <w:left w:val="nil"/>
              <w:bottom w:val="nil"/>
              <w:right w:val="nil"/>
            </w:tcBorders>
          </w:tcPr>
          <w:p w14:paraId="442B327C" w14:textId="77777777" w:rsidR="00DD6E8A" w:rsidRPr="00043334" w:rsidRDefault="00DD6E8A" w:rsidP="00A544F8">
            <w:pPr>
              <w:spacing w:line="360" w:lineRule="auto"/>
              <w:jc w:val="center"/>
              <w:rPr>
                <w:color w:val="auto"/>
                <w:lang w:val="en-AU"/>
              </w:rPr>
            </w:pPr>
            <w:r w:rsidRPr="00043334">
              <w:rPr>
                <w:color w:val="auto"/>
                <w:lang w:val="en-AU"/>
              </w:rPr>
              <w:t>–</w:t>
            </w:r>
          </w:p>
        </w:tc>
        <w:tc>
          <w:tcPr>
            <w:tcW w:w="810" w:type="dxa"/>
            <w:tcBorders>
              <w:top w:val="nil"/>
              <w:left w:val="nil"/>
              <w:bottom w:val="nil"/>
              <w:right w:val="nil"/>
            </w:tcBorders>
          </w:tcPr>
          <w:p w14:paraId="483C882D" w14:textId="77777777" w:rsidR="00DD6E8A" w:rsidRPr="00043334" w:rsidRDefault="00DD6E8A" w:rsidP="00A544F8">
            <w:pPr>
              <w:spacing w:line="360" w:lineRule="auto"/>
              <w:jc w:val="center"/>
              <w:rPr>
                <w:color w:val="auto"/>
                <w:lang w:val="en-AU"/>
              </w:rPr>
            </w:pPr>
            <w:r w:rsidRPr="00043334">
              <w:rPr>
                <w:color w:val="auto"/>
                <w:lang w:val="en-AU"/>
              </w:rPr>
              <w:t>–</w:t>
            </w:r>
          </w:p>
        </w:tc>
        <w:tc>
          <w:tcPr>
            <w:tcW w:w="1024" w:type="dxa"/>
            <w:tcBorders>
              <w:top w:val="nil"/>
              <w:left w:val="nil"/>
              <w:bottom w:val="nil"/>
              <w:right w:val="nil"/>
            </w:tcBorders>
          </w:tcPr>
          <w:p w14:paraId="55410AFA" w14:textId="77777777" w:rsidR="00DD6E8A" w:rsidRPr="00043334" w:rsidRDefault="00DD6E8A" w:rsidP="00A544F8">
            <w:pPr>
              <w:spacing w:line="360" w:lineRule="auto"/>
              <w:jc w:val="center"/>
              <w:rPr>
                <w:color w:val="auto"/>
                <w:lang w:val="en-AU"/>
              </w:rPr>
            </w:pPr>
            <w:r w:rsidRPr="00043334">
              <w:rPr>
                <w:color w:val="auto"/>
                <w:lang w:val="en-AU"/>
              </w:rPr>
              <w:t>–</w:t>
            </w:r>
          </w:p>
        </w:tc>
      </w:tr>
      <w:tr w:rsidR="00043334" w:rsidRPr="00043334" w14:paraId="5F07190C" w14:textId="77777777" w:rsidTr="00384991">
        <w:tc>
          <w:tcPr>
            <w:tcW w:w="3420" w:type="dxa"/>
            <w:tcBorders>
              <w:top w:val="nil"/>
              <w:left w:val="nil"/>
              <w:bottom w:val="nil"/>
              <w:right w:val="nil"/>
            </w:tcBorders>
          </w:tcPr>
          <w:p w14:paraId="3FF41145" w14:textId="1DDB7E10" w:rsidR="00AB6DFA" w:rsidRPr="00043334" w:rsidRDefault="00AB6DFA" w:rsidP="00A544F8">
            <w:pPr>
              <w:spacing w:line="360" w:lineRule="auto"/>
              <w:ind w:left="158"/>
              <w:rPr>
                <w:color w:val="auto"/>
                <w:lang w:val="en-AU"/>
              </w:rPr>
            </w:pPr>
            <w:r w:rsidRPr="00043334">
              <w:rPr>
                <w:color w:val="auto"/>
                <w:lang w:val="en-AU"/>
              </w:rPr>
              <w:t>Taking antidepressant (%)</w:t>
            </w:r>
          </w:p>
        </w:tc>
        <w:tc>
          <w:tcPr>
            <w:tcW w:w="1530" w:type="dxa"/>
            <w:tcBorders>
              <w:top w:val="nil"/>
              <w:left w:val="nil"/>
              <w:bottom w:val="nil"/>
              <w:right w:val="nil"/>
            </w:tcBorders>
          </w:tcPr>
          <w:p w14:paraId="11476507" w14:textId="34FFF29F" w:rsidR="00AB6DFA" w:rsidRPr="00043334" w:rsidRDefault="00AB6DFA" w:rsidP="00A544F8">
            <w:pPr>
              <w:spacing w:line="360" w:lineRule="auto"/>
              <w:jc w:val="center"/>
              <w:rPr>
                <w:color w:val="auto"/>
                <w:lang w:val="en-AU"/>
              </w:rPr>
            </w:pPr>
            <w:r w:rsidRPr="00043334">
              <w:rPr>
                <w:color w:val="auto"/>
                <w:lang w:val="en-AU"/>
              </w:rPr>
              <w:t>0 (0)</w:t>
            </w:r>
          </w:p>
        </w:tc>
        <w:tc>
          <w:tcPr>
            <w:tcW w:w="1530" w:type="dxa"/>
            <w:tcBorders>
              <w:top w:val="nil"/>
              <w:left w:val="nil"/>
              <w:bottom w:val="nil"/>
              <w:right w:val="nil"/>
            </w:tcBorders>
          </w:tcPr>
          <w:p w14:paraId="7AFB72AA" w14:textId="51245931" w:rsidR="00AB6DFA" w:rsidRPr="00043334" w:rsidRDefault="00AB6DFA" w:rsidP="00A544F8">
            <w:pPr>
              <w:spacing w:line="360" w:lineRule="auto"/>
              <w:jc w:val="center"/>
              <w:rPr>
                <w:color w:val="auto"/>
                <w:lang w:val="en-AU"/>
              </w:rPr>
            </w:pPr>
            <w:r w:rsidRPr="00043334">
              <w:rPr>
                <w:color w:val="auto"/>
                <w:lang w:val="en-AU"/>
              </w:rPr>
              <w:t>24 (100)</w:t>
            </w:r>
          </w:p>
        </w:tc>
        <w:tc>
          <w:tcPr>
            <w:tcW w:w="900" w:type="dxa"/>
            <w:tcBorders>
              <w:top w:val="nil"/>
              <w:left w:val="nil"/>
              <w:bottom w:val="nil"/>
              <w:right w:val="nil"/>
            </w:tcBorders>
          </w:tcPr>
          <w:p w14:paraId="1B6ADBA5" w14:textId="77777777" w:rsidR="00AB6DFA" w:rsidRPr="00043334" w:rsidRDefault="00AB6DFA" w:rsidP="00A544F8">
            <w:pPr>
              <w:spacing w:line="360" w:lineRule="auto"/>
              <w:jc w:val="center"/>
              <w:rPr>
                <w:color w:val="auto"/>
                <w:lang w:val="en-AU"/>
              </w:rPr>
            </w:pPr>
          </w:p>
        </w:tc>
        <w:tc>
          <w:tcPr>
            <w:tcW w:w="810" w:type="dxa"/>
            <w:tcBorders>
              <w:top w:val="nil"/>
              <w:left w:val="nil"/>
              <w:bottom w:val="nil"/>
              <w:right w:val="nil"/>
            </w:tcBorders>
          </w:tcPr>
          <w:p w14:paraId="6D791464" w14:textId="77777777" w:rsidR="00AB6DFA" w:rsidRPr="00043334" w:rsidRDefault="00AB6DFA" w:rsidP="00A544F8">
            <w:pPr>
              <w:spacing w:line="360" w:lineRule="auto"/>
              <w:jc w:val="center"/>
              <w:rPr>
                <w:color w:val="auto"/>
                <w:lang w:val="en-AU"/>
              </w:rPr>
            </w:pPr>
          </w:p>
        </w:tc>
        <w:tc>
          <w:tcPr>
            <w:tcW w:w="1024" w:type="dxa"/>
            <w:tcBorders>
              <w:top w:val="nil"/>
              <w:left w:val="nil"/>
              <w:bottom w:val="nil"/>
              <w:right w:val="nil"/>
            </w:tcBorders>
          </w:tcPr>
          <w:p w14:paraId="59103D28" w14:textId="77777777" w:rsidR="00AB6DFA" w:rsidRPr="00043334" w:rsidRDefault="00AB6DFA" w:rsidP="00A544F8">
            <w:pPr>
              <w:spacing w:line="360" w:lineRule="auto"/>
              <w:jc w:val="center"/>
              <w:rPr>
                <w:color w:val="auto"/>
                <w:lang w:val="en-AU"/>
              </w:rPr>
            </w:pPr>
          </w:p>
        </w:tc>
      </w:tr>
      <w:tr w:rsidR="00043334" w:rsidRPr="00043334" w14:paraId="0B14D9BD" w14:textId="77777777" w:rsidTr="00D90A58">
        <w:tc>
          <w:tcPr>
            <w:tcW w:w="9214" w:type="dxa"/>
            <w:gridSpan w:val="6"/>
            <w:tcBorders>
              <w:top w:val="nil"/>
              <w:left w:val="nil"/>
              <w:bottom w:val="nil"/>
              <w:right w:val="nil"/>
            </w:tcBorders>
          </w:tcPr>
          <w:p w14:paraId="5E6CB2D1" w14:textId="77777777" w:rsidR="00DD6E8A" w:rsidRPr="00043334" w:rsidRDefault="00DD6E8A" w:rsidP="00D90A58">
            <w:pPr>
              <w:spacing w:line="276" w:lineRule="auto"/>
              <w:rPr>
                <w:color w:val="auto"/>
                <w:lang w:val="en-AU"/>
              </w:rPr>
            </w:pPr>
            <w:r w:rsidRPr="00043334">
              <w:rPr>
                <w:color w:val="auto"/>
                <w:lang w:val="en-AU"/>
              </w:rPr>
              <w:t>Depression and Ruminative Symptomatology</w:t>
            </w:r>
          </w:p>
        </w:tc>
      </w:tr>
      <w:tr w:rsidR="00043334" w:rsidRPr="00043334" w14:paraId="00DBFF90" w14:textId="77777777" w:rsidTr="00384991">
        <w:tc>
          <w:tcPr>
            <w:tcW w:w="3420" w:type="dxa"/>
            <w:tcBorders>
              <w:top w:val="nil"/>
              <w:left w:val="nil"/>
              <w:bottom w:val="nil"/>
              <w:right w:val="nil"/>
            </w:tcBorders>
          </w:tcPr>
          <w:p w14:paraId="39F1EB05" w14:textId="77777777" w:rsidR="00DD6E8A" w:rsidRPr="00043334" w:rsidRDefault="00DD6E8A" w:rsidP="00D90A58">
            <w:pPr>
              <w:spacing w:line="360" w:lineRule="auto"/>
              <w:ind w:left="158"/>
              <w:rPr>
                <w:color w:val="auto"/>
                <w:lang w:val="en-AU"/>
              </w:rPr>
            </w:pPr>
            <w:r w:rsidRPr="00043334">
              <w:rPr>
                <w:color w:val="auto"/>
                <w:lang w:val="en-AU"/>
              </w:rPr>
              <w:t>HAMD</w:t>
            </w:r>
          </w:p>
        </w:tc>
        <w:tc>
          <w:tcPr>
            <w:tcW w:w="1530" w:type="dxa"/>
            <w:tcBorders>
              <w:top w:val="nil"/>
              <w:left w:val="nil"/>
              <w:bottom w:val="nil"/>
              <w:right w:val="nil"/>
            </w:tcBorders>
          </w:tcPr>
          <w:p w14:paraId="10D203F9" w14:textId="77777777" w:rsidR="00DD6E8A" w:rsidRPr="00043334" w:rsidRDefault="00DD6E8A" w:rsidP="00D90A58">
            <w:pPr>
              <w:spacing w:line="360" w:lineRule="auto"/>
              <w:jc w:val="center"/>
              <w:rPr>
                <w:color w:val="auto"/>
                <w:lang w:val="en-AU"/>
              </w:rPr>
            </w:pPr>
            <w:r w:rsidRPr="00043334">
              <w:rPr>
                <w:color w:val="auto"/>
                <w:lang w:val="en-AU"/>
              </w:rPr>
              <w:t>0.27 (0.57)</w:t>
            </w:r>
          </w:p>
        </w:tc>
        <w:tc>
          <w:tcPr>
            <w:tcW w:w="1530" w:type="dxa"/>
            <w:tcBorders>
              <w:top w:val="nil"/>
              <w:left w:val="nil"/>
              <w:bottom w:val="nil"/>
              <w:right w:val="nil"/>
            </w:tcBorders>
          </w:tcPr>
          <w:p w14:paraId="63EF232C" w14:textId="77777777" w:rsidR="00DD6E8A" w:rsidRPr="00043334" w:rsidRDefault="00DD6E8A" w:rsidP="00D90A58">
            <w:pPr>
              <w:spacing w:line="360" w:lineRule="auto"/>
              <w:jc w:val="center"/>
              <w:rPr>
                <w:color w:val="auto"/>
                <w:lang w:val="en-AU"/>
              </w:rPr>
            </w:pPr>
            <w:r w:rsidRPr="00043334">
              <w:rPr>
                <w:color w:val="auto"/>
                <w:lang w:val="en-AU"/>
              </w:rPr>
              <w:t>17.09 (5.71)</w:t>
            </w:r>
          </w:p>
        </w:tc>
        <w:tc>
          <w:tcPr>
            <w:tcW w:w="900" w:type="dxa"/>
            <w:tcBorders>
              <w:top w:val="nil"/>
              <w:left w:val="nil"/>
              <w:bottom w:val="nil"/>
              <w:right w:val="nil"/>
            </w:tcBorders>
          </w:tcPr>
          <w:p w14:paraId="68254645" w14:textId="77777777" w:rsidR="00DD6E8A" w:rsidRPr="00043334" w:rsidRDefault="00DD6E8A" w:rsidP="00D90A58">
            <w:pPr>
              <w:spacing w:line="360" w:lineRule="auto"/>
              <w:jc w:val="center"/>
              <w:rPr>
                <w:color w:val="auto"/>
                <w:lang w:val="en-AU"/>
              </w:rPr>
            </w:pPr>
            <w:r w:rsidRPr="00043334">
              <w:rPr>
                <w:color w:val="auto"/>
                <w:lang w:val="en-AU"/>
              </w:rPr>
              <w:t>-14.07</w:t>
            </w:r>
          </w:p>
        </w:tc>
        <w:tc>
          <w:tcPr>
            <w:tcW w:w="810" w:type="dxa"/>
            <w:tcBorders>
              <w:top w:val="nil"/>
              <w:left w:val="nil"/>
              <w:bottom w:val="nil"/>
              <w:right w:val="nil"/>
            </w:tcBorders>
          </w:tcPr>
          <w:p w14:paraId="7905A57F" w14:textId="77777777" w:rsidR="00DD6E8A" w:rsidRPr="00043334" w:rsidRDefault="00DD6E8A" w:rsidP="00D90A58">
            <w:pPr>
              <w:spacing w:line="360" w:lineRule="auto"/>
              <w:jc w:val="center"/>
              <w:rPr>
                <w:color w:val="auto"/>
                <w:lang w:val="en-AU"/>
              </w:rPr>
            </w:pPr>
            <w:r w:rsidRPr="00043334">
              <w:rPr>
                <w:color w:val="auto"/>
                <w:lang w:val="en-AU"/>
              </w:rPr>
              <w:t>22.31</w:t>
            </w:r>
          </w:p>
        </w:tc>
        <w:tc>
          <w:tcPr>
            <w:tcW w:w="1024" w:type="dxa"/>
            <w:tcBorders>
              <w:top w:val="nil"/>
              <w:left w:val="nil"/>
              <w:bottom w:val="nil"/>
              <w:right w:val="nil"/>
            </w:tcBorders>
          </w:tcPr>
          <w:p w14:paraId="68AAF092" w14:textId="02368D60" w:rsidR="00DD6E8A" w:rsidRPr="00043334" w:rsidRDefault="00DD6E8A" w:rsidP="00D90A58">
            <w:pPr>
              <w:spacing w:line="360" w:lineRule="auto"/>
              <w:jc w:val="center"/>
              <w:rPr>
                <w:color w:val="auto"/>
                <w:lang w:val="en-AU"/>
              </w:rPr>
            </w:pPr>
            <w:r w:rsidRPr="00043334">
              <w:rPr>
                <w:color w:val="auto"/>
                <w:lang w:val="en-AU"/>
              </w:rPr>
              <w:t>&lt; .001</w:t>
            </w:r>
            <w:r w:rsidR="00384991" w:rsidRPr="00043334">
              <w:rPr>
                <w:color w:val="auto"/>
                <w:lang w:val="en-AU"/>
              </w:rPr>
              <w:t>*</w:t>
            </w:r>
          </w:p>
        </w:tc>
      </w:tr>
      <w:tr w:rsidR="00043334" w:rsidRPr="00043334" w14:paraId="67A74AAD" w14:textId="77777777" w:rsidTr="00384991">
        <w:tc>
          <w:tcPr>
            <w:tcW w:w="3420" w:type="dxa"/>
            <w:tcBorders>
              <w:top w:val="nil"/>
              <w:left w:val="nil"/>
              <w:bottom w:val="nil"/>
              <w:right w:val="nil"/>
            </w:tcBorders>
          </w:tcPr>
          <w:p w14:paraId="12E7E7B8" w14:textId="77777777" w:rsidR="00DD6E8A" w:rsidRPr="00043334" w:rsidRDefault="00DD6E8A" w:rsidP="00D90A58">
            <w:pPr>
              <w:spacing w:line="360" w:lineRule="auto"/>
              <w:ind w:left="158"/>
              <w:rPr>
                <w:color w:val="auto"/>
                <w:lang w:val="en-AU"/>
              </w:rPr>
            </w:pPr>
            <w:r w:rsidRPr="00043334">
              <w:rPr>
                <w:color w:val="auto"/>
                <w:lang w:val="en-AU"/>
              </w:rPr>
              <w:t>QIDS</w:t>
            </w:r>
          </w:p>
        </w:tc>
        <w:tc>
          <w:tcPr>
            <w:tcW w:w="1530" w:type="dxa"/>
            <w:tcBorders>
              <w:top w:val="nil"/>
              <w:left w:val="nil"/>
              <w:bottom w:val="nil"/>
              <w:right w:val="nil"/>
            </w:tcBorders>
          </w:tcPr>
          <w:p w14:paraId="65B13E5B" w14:textId="77777777" w:rsidR="00DD6E8A" w:rsidRPr="00043334" w:rsidRDefault="00DD6E8A" w:rsidP="00D90A58">
            <w:pPr>
              <w:spacing w:line="360" w:lineRule="auto"/>
              <w:jc w:val="center"/>
              <w:rPr>
                <w:color w:val="auto"/>
                <w:lang w:val="en-AU"/>
              </w:rPr>
            </w:pPr>
            <w:r w:rsidRPr="00043334">
              <w:rPr>
                <w:color w:val="auto"/>
                <w:lang w:val="en-AU"/>
              </w:rPr>
              <w:t>0.18 (0.46)</w:t>
            </w:r>
          </w:p>
        </w:tc>
        <w:tc>
          <w:tcPr>
            <w:tcW w:w="1530" w:type="dxa"/>
            <w:tcBorders>
              <w:top w:val="nil"/>
              <w:left w:val="nil"/>
              <w:bottom w:val="nil"/>
              <w:right w:val="nil"/>
            </w:tcBorders>
          </w:tcPr>
          <w:p w14:paraId="5BB21D75" w14:textId="77777777" w:rsidR="00DD6E8A" w:rsidRPr="00043334" w:rsidRDefault="00DD6E8A" w:rsidP="00D90A58">
            <w:pPr>
              <w:spacing w:line="360" w:lineRule="auto"/>
              <w:jc w:val="center"/>
              <w:rPr>
                <w:color w:val="auto"/>
                <w:lang w:val="en-AU"/>
              </w:rPr>
            </w:pPr>
            <w:r w:rsidRPr="00043334">
              <w:rPr>
                <w:color w:val="auto"/>
                <w:lang w:val="en-AU"/>
              </w:rPr>
              <w:t>15.22 (3.98)</w:t>
            </w:r>
          </w:p>
        </w:tc>
        <w:tc>
          <w:tcPr>
            <w:tcW w:w="900" w:type="dxa"/>
            <w:tcBorders>
              <w:top w:val="nil"/>
              <w:left w:val="nil"/>
              <w:bottom w:val="nil"/>
              <w:right w:val="nil"/>
            </w:tcBorders>
          </w:tcPr>
          <w:p w14:paraId="5B210557" w14:textId="77777777" w:rsidR="00DD6E8A" w:rsidRPr="00043334" w:rsidRDefault="00DD6E8A" w:rsidP="00D90A58">
            <w:pPr>
              <w:spacing w:line="360" w:lineRule="auto"/>
              <w:jc w:val="center"/>
              <w:rPr>
                <w:color w:val="auto"/>
                <w:lang w:val="en-AU"/>
              </w:rPr>
            </w:pPr>
            <w:r w:rsidRPr="00043334">
              <w:rPr>
                <w:color w:val="auto"/>
                <w:lang w:val="en-AU"/>
              </w:rPr>
              <w:t>-18.05</w:t>
            </w:r>
          </w:p>
        </w:tc>
        <w:tc>
          <w:tcPr>
            <w:tcW w:w="810" w:type="dxa"/>
            <w:tcBorders>
              <w:top w:val="nil"/>
              <w:left w:val="nil"/>
              <w:bottom w:val="nil"/>
              <w:right w:val="nil"/>
            </w:tcBorders>
          </w:tcPr>
          <w:p w14:paraId="1CD6D3C4" w14:textId="77777777" w:rsidR="00DD6E8A" w:rsidRPr="00043334" w:rsidRDefault="00DD6E8A" w:rsidP="00D90A58">
            <w:pPr>
              <w:spacing w:line="360" w:lineRule="auto"/>
              <w:jc w:val="center"/>
              <w:rPr>
                <w:color w:val="auto"/>
                <w:lang w:val="en-AU"/>
              </w:rPr>
            </w:pPr>
            <w:r w:rsidRPr="00043334">
              <w:rPr>
                <w:color w:val="auto"/>
                <w:lang w:val="en-AU"/>
              </w:rPr>
              <w:t>22.42</w:t>
            </w:r>
          </w:p>
        </w:tc>
        <w:tc>
          <w:tcPr>
            <w:tcW w:w="1024" w:type="dxa"/>
            <w:tcBorders>
              <w:top w:val="nil"/>
              <w:left w:val="nil"/>
              <w:bottom w:val="nil"/>
              <w:right w:val="nil"/>
            </w:tcBorders>
          </w:tcPr>
          <w:p w14:paraId="7886D506" w14:textId="01DA50B4" w:rsidR="00DD6E8A" w:rsidRPr="00043334" w:rsidRDefault="00DD6E8A" w:rsidP="00D90A58">
            <w:pPr>
              <w:spacing w:line="360" w:lineRule="auto"/>
              <w:jc w:val="center"/>
              <w:rPr>
                <w:color w:val="auto"/>
                <w:lang w:val="en-AU"/>
              </w:rPr>
            </w:pPr>
            <w:r w:rsidRPr="00043334">
              <w:rPr>
                <w:color w:val="auto"/>
                <w:lang w:val="en-AU"/>
              </w:rPr>
              <w:t>&lt; .001</w:t>
            </w:r>
            <w:r w:rsidR="00384991" w:rsidRPr="00043334">
              <w:rPr>
                <w:color w:val="auto"/>
                <w:lang w:val="en-AU"/>
              </w:rPr>
              <w:t>*</w:t>
            </w:r>
          </w:p>
        </w:tc>
      </w:tr>
      <w:tr w:rsidR="00043334" w:rsidRPr="00043334" w14:paraId="3E76D636" w14:textId="77777777" w:rsidTr="00384991">
        <w:tc>
          <w:tcPr>
            <w:tcW w:w="3420" w:type="dxa"/>
            <w:tcBorders>
              <w:top w:val="nil"/>
              <w:left w:val="nil"/>
              <w:bottom w:val="nil"/>
              <w:right w:val="nil"/>
            </w:tcBorders>
          </w:tcPr>
          <w:p w14:paraId="17E8C6A9" w14:textId="77777777" w:rsidR="00DD6E8A" w:rsidRPr="00043334" w:rsidRDefault="00DD6E8A" w:rsidP="00D90A58">
            <w:pPr>
              <w:spacing w:line="360" w:lineRule="auto"/>
              <w:ind w:left="158"/>
              <w:rPr>
                <w:color w:val="auto"/>
                <w:lang w:val="en-AU"/>
              </w:rPr>
            </w:pPr>
            <w:r w:rsidRPr="00043334">
              <w:rPr>
                <w:color w:val="auto"/>
                <w:lang w:val="en-AU"/>
              </w:rPr>
              <w:t>SHAPS – Total</w:t>
            </w:r>
          </w:p>
        </w:tc>
        <w:tc>
          <w:tcPr>
            <w:tcW w:w="1530" w:type="dxa"/>
            <w:tcBorders>
              <w:top w:val="nil"/>
              <w:left w:val="nil"/>
              <w:bottom w:val="nil"/>
              <w:right w:val="nil"/>
            </w:tcBorders>
          </w:tcPr>
          <w:p w14:paraId="581A05E1" w14:textId="77777777" w:rsidR="00DD6E8A" w:rsidRPr="00043334" w:rsidRDefault="00DD6E8A" w:rsidP="00D90A58">
            <w:pPr>
              <w:spacing w:line="360" w:lineRule="auto"/>
              <w:jc w:val="center"/>
              <w:rPr>
                <w:color w:val="auto"/>
                <w:lang w:val="en-AU"/>
              </w:rPr>
            </w:pPr>
            <w:r w:rsidRPr="00043334">
              <w:rPr>
                <w:color w:val="auto"/>
                <w:lang w:val="en-AU"/>
              </w:rPr>
              <w:t>19.32 (5.90)</w:t>
            </w:r>
          </w:p>
        </w:tc>
        <w:tc>
          <w:tcPr>
            <w:tcW w:w="1530" w:type="dxa"/>
            <w:tcBorders>
              <w:top w:val="nil"/>
              <w:left w:val="nil"/>
              <w:bottom w:val="nil"/>
              <w:right w:val="nil"/>
            </w:tcBorders>
          </w:tcPr>
          <w:p w14:paraId="79606353" w14:textId="77777777" w:rsidR="00DD6E8A" w:rsidRPr="00043334" w:rsidRDefault="00DD6E8A" w:rsidP="00D90A58">
            <w:pPr>
              <w:spacing w:line="360" w:lineRule="auto"/>
              <w:jc w:val="center"/>
              <w:rPr>
                <w:color w:val="auto"/>
                <w:lang w:val="en-AU"/>
              </w:rPr>
            </w:pPr>
            <w:r w:rsidRPr="00043334">
              <w:rPr>
                <w:color w:val="auto"/>
                <w:lang w:val="en-AU"/>
              </w:rPr>
              <w:t>38.61 (5.52)</w:t>
            </w:r>
          </w:p>
        </w:tc>
        <w:tc>
          <w:tcPr>
            <w:tcW w:w="900" w:type="dxa"/>
            <w:tcBorders>
              <w:top w:val="nil"/>
              <w:left w:val="nil"/>
              <w:bottom w:val="nil"/>
              <w:right w:val="nil"/>
            </w:tcBorders>
          </w:tcPr>
          <w:p w14:paraId="01CF5826" w14:textId="77777777" w:rsidR="00DD6E8A" w:rsidRPr="00043334" w:rsidRDefault="00DD6E8A" w:rsidP="00D90A58">
            <w:pPr>
              <w:spacing w:line="360" w:lineRule="auto"/>
              <w:jc w:val="center"/>
              <w:rPr>
                <w:color w:val="auto"/>
                <w:lang w:val="en-AU"/>
              </w:rPr>
            </w:pPr>
            <w:r w:rsidRPr="00043334">
              <w:rPr>
                <w:color w:val="auto"/>
                <w:lang w:val="en-AU"/>
              </w:rPr>
              <w:t>-12.58</w:t>
            </w:r>
          </w:p>
        </w:tc>
        <w:tc>
          <w:tcPr>
            <w:tcW w:w="810" w:type="dxa"/>
            <w:tcBorders>
              <w:top w:val="nil"/>
              <w:left w:val="nil"/>
              <w:bottom w:val="nil"/>
              <w:right w:val="nil"/>
            </w:tcBorders>
          </w:tcPr>
          <w:p w14:paraId="0A7559FD" w14:textId="77777777" w:rsidR="00DD6E8A" w:rsidRPr="00043334" w:rsidRDefault="00DD6E8A" w:rsidP="00D90A58">
            <w:pPr>
              <w:spacing w:line="360" w:lineRule="auto"/>
              <w:jc w:val="center"/>
              <w:rPr>
                <w:color w:val="auto"/>
                <w:lang w:val="en-AU"/>
              </w:rPr>
            </w:pPr>
            <w:r w:rsidRPr="00043334">
              <w:rPr>
                <w:color w:val="auto"/>
                <w:lang w:val="en-AU"/>
              </w:rPr>
              <w:t>49.41</w:t>
            </w:r>
          </w:p>
        </w:tc>
        <w:tc>
          <w:tcPr>
            <w:tcW w:w="1024" w:type="dxa"/>
            <w:tcBorders>
              <w:top w:val="nil"/>
              <w:left w:val="nil"/>
              <w:bottom w:val="nil"/>
              <w:right w:val="nil"/>
            </w:tcBorders>
          </w:tcPr>
          <w:p w14:paraId="5309EA85" w14:textId="2F56BF0B" w:rsidR="00DD6E8A" w:rsidRPr="00043334" w:rsidRDefault="00DD6E8A" w:rsidP="00D90A58">
            <w:pPr>
              <w:spacing w:line="360" w:lineRule="auto"/>
              <w:jc w:val="center"/>
              <w:rPr>
                <w:color w:val="auto"/>
                <w:lang w:val="en-AU"/>
              </w:rPr>
            </w:pPr>
            <w:r w:rsidRPr="00043334">
              <w:rPr>
                <w:color w:val="auto"/>
                <w:lang w:val="en-AU"/>
              </w:rPr>
              <w:t>&lt; .001</w:t>
            </w:r>
            <w:r w:rsidR="00384991" w:rsidRPr="00043334">
              <w:rPr>
                <w:color w:val="auto"/>
                <w:lang w:val="en-AU"/>
              </w:rPr>
              <w:t>*</w:t>
            </w:r>
          </w:p>
        </w:tc>
      </w:tr>
      <w:tr w:rsidR="00043334" w:rsidRPr="00043334" w14:paraId="6A378676" w14:textId="77777777" w:rsidTr="00384991">
        <w:tc>
          <w:tcPr>
            <w:tcW w:w="3420" w:type="dxa"/>
            <w:tcBorders>
              <w:top w:val="nil"/>
              <w:left w:val="nil"/>
              <w:bottom w:val="nil"/>
              <w:right w:val="nil"/>
            </w:tcBorders>
          </w:tcPr>
          <w:p w14:paraId="7004A15E" w14:textId="77777777" w:rsidR="00DD6E8A" w:rsidRPr="00043334" w:rsidRDefault="00DD6E8A" w:rsidP="00D90A58">
            <w:pPr>
              <w:spacing w:line="360" w:lineRule="auto"/>
              <w:ind w:left="158"/>
              <w:rPr>
                <w:color w:val="auto"/>
                <w:lang w:val="en-AU"/>
              </w:rPr>
            </w:pPr>
            <w:r w:rsidRPr="00043334">
              <w:rPr>
                <w:color w:val="auto"/>
                <w:lang w:val="en-AU"/>
              </w:rPr>
              <w:t>MASQ – AA</w:t>
            </w:r>
          </w:p>
        </w:tc>
        <w:tc>
          <w:tcPr>
            <w:tcW w:w="1530" w:type="dxa"/>
            <w:tcBorders>
              <w:top w:val="nil"/>
              <w:left w:val="nil"/>
              <w:bottom w:val="nil"/>
              <w:right w:val="nil"/>
            </w:tcBorders>
          </w:tcPr>
          <w:p w14:paraId="7CAF857C" w14:textId="77777777" w:rsidR="00DD6E8A" w:rsidRPr="00043334" w:rsidRDefault="00DD6E8A" w:rsidP="00D90A58">
            <w:pPr>
              <w:spacing w:line="360" w:lineRule="auto"/>
              <w:jc w:val="center"/>
              <w:rPr>
                <w:color w:val="auto"/>
                <w:lang w:val="en-AU"/>
              </w:rPr>
            </w:pPr>
            <w:r w:rsidRPr="00043334">
              <w:rPr>
                <w:color w:val="auto"/>
                <w:lang w:val="en-AU"/>
              </w:rPr>
              <w:t>18.00 (1.83)</w:t>
            </w:r>
          </w:p>
        </w:tc>
        <w:tc>
          <w:tcPr>
            <w:tcW w:w="1530" w:type="dxa"/>
            <w:tcBorders>
              <w:top w:val="nil"/>
              <w:left w:val="nil"/>
              <w:bottom w:val="nil"/>
              <w:right w:val="nil"/>
            </w:tcBorders>
          </w:tcPr>
          <w:p w14:paraId="74A0ED70" w14:textId="77777777" w:rsidR="00DD6E8A" w:rsidRPr="00043334" w:rsidRDefault="00DD6E8A" w:rsidP="00D90A58">
            <w:pPr>
              <w:spacing w:line="360" w:lineRule="auto"/>
              <w:jc w:val="center"/>
              <w:rPr>
                <w:color w:val="auto"/>
                <w:lang w:val="en-AU"/>
              </w:rPr>
            </w:pPr>
            <w:r w:rsidRPr="00043334">
              <w:rPr>
                <w:color w:val="auto"/>
                <w:lang w:val="en-AU"/>
              </w:rPr>
              <w:t>31.74 (9.42)</w:t>
            </w:r>
          </w:p>
        </w:tc>
        <w:tc>
          <w:tcPr>
            <w:tcW w:w="900" w:type="dxa"/>
            <w:tcBorders>
              <w:top w:val="nil"/>
              <w:left w:val="nil"/>
              <w:bottom w:val="nil"/>
              <w:right w:val="nil"/>
            </w:tcBorders>
          </w:tcPr>
          <w:p w14:paraId="5CC1EA94" w14:textId="77777777" w:rsidR="00DD6E8A" w:rsidRPr="00043334" w:rsidRDefault="00DD6E8A" w:rsidP="00D90A58">
            <w:pPr>
              <w:spacing w:line="360" w:lineRule="auto"/>
              <w:jc w:val="center"/>
              <w:rPr>
                <w:color w:val="auto"/>
                <w:lang w:val="en-AU"/>
              </w:rPr>
            </w:pPr>
            <w:r w:rsidRPr="00043334">
              <w:rPr>
                <w:color w:val="auto"/>
                <w:lang w:val="en-AU"/>
              </w:rPr>
              <w:t>-6.90</w:t>
            </w:r>
          </w:p>
        </w:tc>
        <w:tc>
          <w:tcPr>
            <w:tcW w:w="810" w:type="dxa"/>
            <w:tcBorders>
              <w:top w:val="nil"/>
              <w:left w:val="nil"/>
              <w:bottom w:val="nil"/>
              <w:right w:val="nil"/>
            </w:tcBorders>
          </w:tcPr>
          <w:p w14:paraId="16512A93" w14:textId="77777777" w:rsidR="00DD6E8A" w:rsidRPr="00043334" w:rsidRDefault="00DD6E8A" w:rsidP="00D90A58">
            <w:pPr>
              <w:spacing w:line="360" w:lineRule="auto"/>
              <w:jc w:val="center"/>
              <w:rPr>
                <w:color w:val="auto"/>
                <w:lang w:val="en-AU"/>
              </w:rPr>
            </w:pPr>
            <w:r w:rsidRPr="00043334">
              <w:rPr>
                <w:color w:val="auto"/>
                <w:lang w:val="en-AU"/>
              </w:rPr>
              <w:t>23.20</w:t>
            </w:r>
          </w:p>
        </w:tc>
        <w:tc>
          <w:tcPr>
            <w:tcW w:w="1024" w:type="dxa"/>
            <w:tcBorders>
              <w:top w:val="nil"/>
              <w:left w:val="nil"/>
              <w:bottom w:val="nil"/>
              <w:right w:val="nil"/>
            </w:tcBorders>
          </w:tcPr>
          <w:p w14:paraId="42DB1814" w14:textId="2DEBD592" w:rsidR="00DD6E8A" w:rsidRPr="00043334" w:rsidRDefault="00DD6E8A" w:rsidP="00D90A58">
            <w:pPr>
              <w:spacing w:line="360" w:lineRule="auto"/>
              <w:jc w:val="center"/>
              <w:rPr>
                <w:color w:val="auto"/>
                <w:lang w:val="en-AU"/>
              </w:rPr>
            </w:pPr>
            <w:r w:rsidRPr="00043334">
              <w:rPr>
                <w:color w:val="auto"/>
                <w:lang w:val="en-AU"/>
              </w:rPr>
              <w:t>&lt; .001</w:t>
            </w:r>
            <w:r w:rsidR="00384991" w:rsidRPr="00043334">
              <w:rPr>
                <w:color w:val="auto"/>
                <w:lang w:val="en-AU"/>
              </w:rPr>
              <w:t>*</w:t>
            </w:r>
          </w:p>
        </w:tc>
      </w:tr>
      <w:tr w:rsidR="00043334" w:rsidRPr="00043334" w14:paraId="7AB555E8" w14:textId="77777777" w:rsidTr="00384991">
        <w:tc>
          <w:tcPr>
            <w:tcW w:w="3420" w:type="dxa"/>
            <w:tcBorders>
              <w:top w:val="nil"/>
              <w:left w:val="nil"/>
              <w:bottom w:val="nil"/>
              <w:right w:val="nil"/>
            </w:tcBorders>
          </w:tcPr>
          <w:p w14:paraId="6F2E5CD8" w14:textId="77777777" w:rsidR="00DD6E8A" w:rsidRPr="00043334" w:rsidRDefault="00DD6E8A" w:rsidP="00D90A58">
            <w:pPr>
              <w:spacing w:line="360" w:lineRule="auto"/>
              <w:ind w:left="158"/>
              <w:rPr>
                <w:color w:val="auto"/>
                <w:lang w:val="en-AU"/>
              </w:rPr>
            </w:pPr>
            <w:r w:rsidRPr="00043334">
              <w:rPr>
                <w:color w:val="auto"/>
                <w:lang w:val="en-AU"/>
              </w:rPr>
              <w:t>MASQ – GDA</w:t>
            </w:r>
          </w:p>
        </w:tc>
        <w:tc>
          <w:tcPr>
            <w:tcW w:w="1530" w:type="dxa"/>
            <w:tcBorders>
              <w:top w:val="nil"/>
              <w:left w:val="nil"/>
              <w:bottom w:val="nil"/>
              <w:right w:val="nil"/>
            </w:tcBorders>
          </w:tcPr>
          <w:p w14:paraId="60ACAD99" w14:textId="77777777" w:rsidR="00DD6E8A" w:rsidRPr="00043334" w:rsidRDefault="00DD6E8A" w:rsidP="00D90A58">
            <w:pPr>
              <w:spacing w:line="360" w:lineRule="auto"/>
              <w:jc w:val="center"/>
              <w:rPr>
                <w:color w:val="auto"/>
                <w:lang w:val="en-AU"/>
              </w:rPr>
            </w:pPr>
            <w:r w:rsidRPr="00043334">
              <w:rPr>
                <w:color w:val="auto"/>
                <w:lang w:val="en-AU"/>
              </w:rPr>
              <w:t>12.61 (1.80)</w:t>
            </w:r>
          </w:p>
        </w:tc>
        <w:tc>
          <w:tcPr>
            <w:tcW w:w="1530" w:type="dxa"/>
            <w:tcBorders>
              <w:top w:val="nil"/>
              <w:left w:val="nil"/>
              <w:bottom w:val="nil"/>
              <w:right w:val="nil"/>
            </w:tcBorders>
          </w:tcPr>
          <w:p w14:paraId="5B8CAC69" w14:textId="77777777" w:rsidR="00DD6E8A" w:rsidRPr="00043334" w:rsidRDefault="00DD6E8A" w:rsidP="00D90A58">
            <w:pPr>
              <w:spacing w:line="360" w:lineRule="auto"/>
              <w:jc w:val="center"/>
              <w:rPr>
                <w:color w:val="auto"/>
                <w:lang w:val="en-AU"/>
              </w:rPr>
            </w:pPr>
            <w:r w:rsidRPr="00043334">
              <w:rPr>
                <w:color w:val="auto"/>
                <w:lang w:val="en-AU"/>
              </w:rPr>
              <w:t>29.96 (9.29)</w:t>
            </w:r>
          </w:p>
        </w:tc>
        <w:tc>
          <w:tcPr>
            <w:tcW w:w="900" w:type="dxa"/>
            <w:tcBorders>
              <w:top w:val="nil"/>
              <w:left w:val="nil"/>
              <w:bottom w:val="nil"/>
              <w:right w:val="nil"/>
            </w:tcBorders>
          </w:tcPr>
          <w:p w14:paraId="3EBF0C37" w14:textId="77777777" w:rsidR="00DD6E8A" w:rsidRPr="00043334" w:rsidRDefault="00DD6E8A" w:rsidP="00D90A58">
            <w:pPr>
              <w:spacing w:line="360" w:lineRule="auto"/>
              <w:jc w:val="center"/>
              <w:rPr>
                <w:color w:val="auto"/>
                <w:lang w:val="en-AU"/>
              </w:rPr>
            </w:pPr>
            <w:r w:rsidRPr="00043334">
              <w:rPr>
                <w:color w:val="auto"/>
                <w:lang w:val="en-AU"/>
              </w:rPr>
              <w:t>-9.02</w:t>
            </w:r>
          </w:p>
        </w:tc>
        <w:tc>
          <w:tcPr>
            <w:tcW w:w="810" w:type="dxa"/>
            <w:tcBorders>
              <w:top w:val="nil"/>
              <w:left w:val="nil"/>
              <w:bottom w:val="nil"/>
              <w:right w:val="nil"/>
            </w:tcBorders>
          </w:tcPr>
          <w:p w14:paraId="42446C2D" w14:textId="77777777" w:rsidR="00DD6E8A" w:rsidRPr="00043334" w:rsidRDefault="00DD6E8A" w:rsidP="00D90A58">
            <w:pPr>
              <w:spacing w:line="360" w:lineRule="auto"/>
              <w:jc w:val="center"/>
              <w:rPr>
                <w:color w:val="auto"/>
                <w:lang w:val="en-AU"/>
              </w:rPr>
            </w:pPr>
            <w:r w:rsidRPr="00043334">
              <w:rPr>
                <w:color w:val="auto"/>
                <w:lang w:val="en-AU"/>
              </w:rPr>
              <w:t>24.26</w:t>
            </w:r>
          </w:p>
        </w:tc>
        <w:tc>
          <w:tcPr>
            <w:tcW w:w="1024" w:type="dxa"/>
            <w:tcBorders>
              <w:top w:val="nil"/>
              <w:left w:val="nil"/>
              <w:bottom w:val="nil"/>
              <w:right w:val="nil"/>
            </w:tcBorders>
          </w:tcPr>
          <w:p w14:paraId="55F6DE27" w14:textId="4B6D064C" w:rsidR="00DD6E8A" w:rsidRPr="00043334" w:rsidRDefault="00DD6E8A" w:rsidP="00D90A58">
            <w:pPr>
              <w:spacing w:line="360" w:lineRule="auto"/>
              <w:jc w:val="center"/>
              <w:rPr>
                <w:color w:val="auto"/>
                <w:lang w:val="en-AU"/>
              </w:rPr>
            </w:pPr>
            <w:r w:rsidRPr="00043334">
              <w:rPr>
                <w:color w:val="auto"/>
                <w:lang w:val="en-AU"/>
              </w:rPr>
              <w:t>&lt; .001</w:t>
            </w:r>
            <w:r w:rsidR="00384991" w:rsidRPr="00043334">
              <w:rPr>
                <w:color w:val="auto"/>
                <w:lang w:val="en-AU"/>
              </w:rPr>
              <w:t>*</w:t>
            </w:r>
          </w:p>
        </w:tc>
      </w:tr>
      <w:tr w:rsidR="00043334" w:rsidRPr="00043334" w14:paraId="0F0E9F8A" w14:textId="77777777" w:rsidTr="00384991">
        <w:tc>
          <w:tcPr>
            <w:tcW w:w="3420" w:type="dxa"/>
            <w:tcBorders>
              <w:top w:val="nil"/>
              <w:left w:val="nil"/>
              <w:bottom w:val="nil"/>
              <w:right w:val="nil"/>
            </w:tcBorders>
          </w:tcPr>
          <w:p w14:paraId="19AD9A06" w14:textId="77777777" w:rsidR="00DD6E8A" w:rsidRPr="00043334" w:rsidRDefault="00DD6E8A" w:rsidP="00D90A58">
            <w:pPr>
              <w:spacing w:line="360" w:lineRule="auto"/>
              <w:ind w:left="158"/>
              <w:rPr>
                <w:color w:val="auto"/>
                <w:lang w:val="en-AU"/>
              </w:rPr>
            </w:pPr>
            <w:r w:rsidRPr="00043334">
              <w:rPr>
                <w:color w:val="auto"/>
                <w:lang w:val="en-AU"/>
              </w:rPr>
              <w:t>MASQ – GDD</w:t>
            </w:r>
          </w:p>
        </w:tc>
        <w:tc>
          <w:tcPr>
            <w:tcW w:w="1530" w:type="dxa"/>
            <w:tcBorders>
              <w:top w:val="nil"/>
              <w:left w:val="nil"/>
              <w:bottom w:val="nil"/>
              <w:right w:val="nil"/>
            </w:tcBorders>
          </w:tcPr>
          <w:p w14:paraId="33FA8BA8" w14:textId="77777777" w:rsidR="00DD6E8A" w:rsidRPr="00043334" w:rsidRDefault="00DD6E8A" w:rsidP="00D90A58">
            <w:pPr>
              <w:spacing w:line="360" w:lineRule="auto"/>
              <w:jc w:val="center"/>
              <w:rPr>
                <w:color w:val="auto"/>
                <w:lang w:val="en-AU"/>
              </w:rPr>
            </w:pPr>
            <w:r w:rsidRPr="00043334">
              <w:rPr>
                <w:color w:val="auto"/>
                <w:lang w:val="en-AU"/>
              </w:rPr>
              <w:t>13.97 (3.30)</w:t>
            </w:r>
          </w:p>
        </w:tc>
        <w:tc>
          <w:tcPr>
            <w:tcW w:w="1530" w:type="dxa"/>
            <w:tcBorders>
              <w:top w:val="nil"/>
              <w:left w:val="nil"/>
              <w:bottom w:val="nil"/>
              <w:right w:val="nil"/>
            </w:tcBorders>
          </w:tcPr>
          <w:p w14:paraId="2DCC7DB4" w14:textId="77777777" w:rsidR="00DD6E8A" w:rsidRPr="00043334" w:rsidRDefault="00DD6E8A" w:rsidP="00D90A58">
            <w:pPr>
              <w:spacing w:line="360" w:lineRule="auto"/>
              <w:jc w:val="center"/>
              <w:rPr>
                <w:color w:val="auto"/>
                <w:lang w:val="en-AU"/>
              </w:rPr>
            </w:pPr>
            <w:r w:rsidRPr="00043334">
              <w:rPr>
                <w:color w:val="auto"/>
                <w:lang w:val="en-AU"/>
              </w:rPr>
              <w:t>47.62 (6.21)</w:t>
            </w:r>
          </w:p>
        </w:tc>
        <w:tc>
          <w:tcPr>
            <w:tcW w:w="900" w:type="dxa"/>
            <w:tcBorders>
              <w:top w:val="nil"/>
              <w:left w:val="nil"/>
              <w:bottom w:val="nil"/>
              <w:right w:val="nil"/>
            </w:tcBorders>
          </w:tcPr>
          <w:p w14:paraId="18FF3BC8" w14:textId="77777777" w:rsidR="00DD6E8A" w:rsidRPr="00043334" w:rsidRDefault="00DD6E8A" w:rsidP="00D90A58">
            <w:pPr>
              <w:spacing w:line="360" w:lineRule="auto"/>
              <w:jc w:val="center"/>
              <w:rPr>
                <w:color w:val="auto"/>
                <w:lang w:val="en-AU"/>
              </w:rPr>
            </w:pPr>
            <w:r w:rsidRPr="00043334">
              <w:rPr>
                <w:color w:val="auto"/>
                <w:lang w:val="en-AU"/>
              </w:rPr>
              <w:t>-24.17</w:t>
            </w:r>
          </w:p>
        </w:tc>
        <w:tc>
          <w:tcPr>
            <w:tcW w:w="810" w:type="dxa"/>
            <w:tcBorders>
              <w:top w:val="nil"/>
              <w:left w:val="nil"/>
              <w:bottom w:val="nil"/>
              <w:right w:val="nil"/>
            </w:tcBorders>
          </w:tcPr>
          <w:p w14:paraId="12A535E2" w14:textId="77777777" w:rsidR="00DD6E8A" w:rsidRPr="00043334" w:rsidRDefault="00DD6E8A" w:rsidP="00D90A58">
            <w:pPr>
              <w:spacing w:line="360" w:lineRule="auto"/>
              <w:jc w:val="center"/>
              <w:rPr>
                <w:color w:val="auto"/>
                <w:lang w:val="en-AU"/>
              </w:rPr>
            </w:pPr>
            <w:r w:rsidRPr="00043334">
              <w:rPr>
                <w:color w:val="auto"/>
                <w:lang w:val="en-AU"/>
              </w:rPr>
              <w:t>32.44</w:t>
            </w:r>
          </w:p>
        </w:tc>
        <w:tc>
          <w:tcPr>
            <w:tcW w:w="1024" w:type="dxa"/>
            <w:tcBorders>
              <w:top w:val="nil"/>
              <w:left w:val="nil"/>
              <w:bottom w:val="nil"/>
              <w:right w:val="nil"/>
            </w:tcBorders>
          </w:tcPr>
          <w:p w14:paraId="6710EADA" w14:textId="30977DA8" w:rsidR="00DD6E8A" w:rsidRPr="00043334" w:rsidRDefault="00DD6E8A" w:rsidP="00D90A58">
            <w:pPr>
              <w:spacing w:line="360" w:lineRule="auto"/>
              <w:jc w:val="center"/>
              <w:rPr>
                <w:color w:val="auto"/>
                <w:lang w:val="en-AU"/>
              </w:rPr>
            </w:pPr>
            <w:r w:rsidRPr="00043334">
              <w:rPr>
                <w:color w:val="auto"/>
                <w:lang w:val="en-AU"/>
              </w:rPr>
              <w:t>&lt; .001</w:t>
            </w:r>
            <w:r w:rsidR="00384991" w:rsidRPr="00043334">
              <w:rPr>
                <w:color w:val="auto"/>
                <w:lang w:val="en-AU"/>
              </w:rPr>
              <w:t>*</w:t>
            </w:r>
          </w:p>
        </w:tc>
      </w:tr>
      <w:tr w:rsidR="00043334" w:rsidRPr="00043334" w14:paraId="6855C9DE" w14:textId="77777777" w:rsidTr="00384991">
        <w:tc>
          <w:tcPr>
            <w:tcW w:w="3420" w:type="dxa"/>
            <w:tcBorders>
              <w:top w:val="nil"/>
              <w:left w:val="nil"/>
              <w:bottom w:val="single" w:sz="4" w:space="0" w:color="auto"/>
              <w:right w:val="nil"/>
            </w:tcBorders>
          </w:tcPr>
          <w:p w14:paraId="3F0B2BA7" w14:textId="77777777" w:rsidR="00DD6E8A" w:rsidRPr="00043334" w:rsidRDefault="00DD6E8A" w:rsidP="00D90A58">
            <w:pPr>
              <w:spacing w:line="360" w:lineRule="auto"/>
              <w:ind w:left="158"/>
              <w:rPr>
                <w:color w:val="auto"/>
                <w:lang w:val="en-AU"/>
              </w:rPr>
            </w:pPr>
            <w:r w:rsidRPr="00043334">
              <w:rPr>
                <w:color w:val="auto"/>
                <w:lang w:val="en-AU"/>
              </w:rPr>
              <w:t>MASQ – AD</w:t>
            </w:r>
          </w:p>
        </w:tc>
        <w:tc>
          <w:tcPr>
            <w:tcW w:w="1530" w:type="dxa"/>
            <w:tcBorders>
              <w:top w:val="nil"/>
              <w:left w:val="nil"/>
              <w:bottom w:val="single" w:sz="4" w:space="0" w:color="auto"/>
              <w:right w:val="nil"/>
            </w:tcBorders>
          </w:tcPr>
          <w:p w14:paraId="2A967A30" w14:textId="77777777" w:rsidR="00DD6E8A" w:rsidRPr="00043334" w:rsidRDefault="00DD6E8A" w:rsidP="00D90A58">
            <w:pPr>
              <w:spacing w:line="360" w:lineRule="auto"/>
              <w:jc w:val="center"/>
              <w:rPr>
                <w:color w:val="auto"/>
                <w:lang w:val="en-AU"/>
              </w:rPr>
            </w:pPr>
            <w:r w:rsidRPr="00043334">
              <w:rPr>
                <w:color w:val="auto"/>
                <w:lang w:val="en-AU"/>
              </w:rPr>
              <w:t>44.39 (10.22)</w:t>
            </w:r>
          </w:p>
        </w:tc>
        <w:tc>
          <w:tcPr>
            <w:tcW w:w="1530" w:type="dxa"/>
            <w:tcBorders>
              <w:top w:val="nil"/>
              <w:left w:val="nil"/>
              <w:bottom w:val="single" w:sz="4" w:space="0" w:color="auto"/>
              <w:right w:val="nil"/>
            </w:tcBorders>
          </w:tcPr>
          <w:p w14:paraId="69DA5914" w14:textId="77777777" w:rsidR="00DD6E8A" w:rsidRPr="00043334" w:rsidRDefault="00DD6E8A" w:rsidP="00D90A58">
            <w:pPr>
              <w:spacing w:line="360" w:lineRule="auto"/>
              <w:jc w:val="center"/>
              <w:rPr>
                <w:color w:val="auto"/>
                <w:lang w:val="en-AU"/>
              </w:rPr>
            </w:pPr>
            <w:r w:rsidRPr="00043334">
              <w:rPr>
                <w:color w:val="auto"/>
                <w:lang w:val="en-AU"/>
              </w:rPr>
              <w:t>93.23 (9.02)</w:t>
            </w:r>
          </w:p>
        </w:tc>
        <w:tc>
          <w:tcPr>
            <w:tcW w:w="900" w:type="dxa"/>
            <w:tcBorders>
              <w:top w:val="nil"/>
              <w:left w:val="nil"/>
              <w:bottom w:val="single" w:sz="4" w:space="0" w:color="auto"/>
              <w:right w:val="nil"/>
            </w:tcBorders>
          </w:tcPr>
          <w:p w14:paraId="789845B4" w14:textId="77777777" w:rsidR="00DD6E8A" w:rsidRPr="00043334" w:rsidRDefault="00DD6E8A" w:rsidP="00D90A58">
            <w:pPr>
              <w:spacing w:line="360" w:lineRule="auto"/>
              <w:jc w:val="center"/>
              <w:rPr>
                <w:color w:val="auto"/>
                <w:lang w:val="en-AU"/>
              </w:rPr>
            </w:pPr>
            <w:r w:rsidRPr="00043334">
              <w:rPr>
                <w:color w:val="auto"/>
                <w:lang w:val="en-AU"/>
              </w:rPr>
              <w:t>-18.36</w:t>
            </w:r>
          </w:p>
        </w:tc>
        <w:tc>
          <w:tcPr>
            <w:tcW w:w="810" w:type="dxa"/>
            <w:tcBorders>
              <w:top w:val="nil"/>
              <w:left w:val="nil"/>
              <w:bottom w:val="single" w:sz="4" w:space="0" w:color="auto"/>
              <w:right w:val="nil"/>
            </w:tcBorders>
          </w:tcPr>
          <w:p w14:paraId="04B70ABF" w14:textId="77777777" w:rsidR="00DD6E8A" w:rsidRPr="00043334" w:rsidRDefault="00DD6E8A" w:rsidP="00D90A58">
            <w:pPr>
              <w:spacing w:line="360" w:lineRule="auto"/>
              <w:jc w:val="center"/>
              <w:rPr>
                <w:color w:val="auto"/>
                <w:lang w:val="en-AU"/>
              </w:rPr>
            </w:pPr>
            <w:r w:rsidRPr="00043334">
              <w:rPr>
                <w:color w:val="auto"/>
                <w:lang w:val="en-AU"/>
              </w:rPr>
              <w:t>48.47</w:t>
            </w:r>
          </w:p>
        </w:tc>
        <w:tc>
          <w:tcPr>
            <w:tcW w:w="1024" w:type="dxa"/>
            <w:tcBorders>
              <w:top w:val="nil"/>
              <w:left w:val="nil"/>
              <w:bottom w:val="single" w:sz="4" w:space="0" w:color="auto"/>
              <w:right w:val="nil"/>
            </w:tcBorders>
          </w:tcPr>
          <w:p w14:paraId="7D23FAB4" w14:textId="3EBC6D06" w:rsidR="00DD6E8A" w:rsidRPr="00043334" w:rsidRDefault="00DD6E8A" w:rsidP="00D90A58">
            <w:pPr>
              <w:spacing w:line="360" w:lineRule="auto"/>
              <w:jc w:val="center"/>
              <w:rPr>
                <w:color w:val="auto"/>
                <w:lang w:val="en-AU"/>
              </w:rPr>
            </w:pPr>
            <w:r w:rsidRPr="00043334">
              <w:rPr>
                <w:color w:val="auto"/>
                <w:lang w:val="en-AU"/>
              </w:rPr>
              <w:t>&lt; .001</w:t>
            </w:r>
            <w:r w:rsidR="00384991" w:rsidRPr="00043334">
              <w:rPr>
                <w:color w:val="auto"/>
                <w:lang w:val="en-AU"/>
              </w:rPr>
              <w:t>*</w:t>
            </w:r>
          </w:p>
        </w:tc>
      </w:tr>
    </w:tbl>
    <w:p w14:paraId="3E2E3ADE" w14:textId="77777777" w:rsidR="00DD6E8A" w:rsidRPr="00043334" w:rsidRDefault="00DD6E8A" w:rsidP="00DD6E8A">
      <w:pPr>
        <w:widowControl w:val="0"/>
        <w:spacing w:before="120" w:after="120" w:line="360" w:lineRule="auto"/>
        <w:jc w:val="both"/>
        <w:rPr>
          <w:color w:val="auto"/>
          <w:sz w:val="22"/>
          <w:szCs w:val="22"/>
          <w:lang w:val="en-AU"/>
        </w:rPr>
      </w:pPr>
      <w:r w:rsidRPr="00043334">
        <w:rPr>
          <w:b/>
          <w:bCs/>
          <w:color w:val="auto"/>
          <w:sz w:val="22"/>
          <w:szCs w:val="22"/>
          <w:lang w:val="en-AU"/>
        </w:rPr>
        <w:t>Note:</w:t>
      </w:r>
      <w:r w:rsidRPr="00043334">
        <w:rPr>
          <w:color w:val="auto"/>
          <w:sz w:val="22"/>
          <w:szCs w:val="22"/>
          <w:lang w:val="en-AU"/>
        </w:rPr>
        <w:t xml:space="preserve"> AA = Anxious Arousal; AD = Anhedonic Depression; GDA = General Distress Anxious Symptoms; GDD = General Distress Depressive Symptoms; HAMD = Hamilton Depression Rating Scale; HC = Healthy control; MASQ = Mood and Anxiety Symptom Questionnaire; MDE = Major Depressive Episode; QIDS = Quick-Inventory of Depression; RRS = Ruminative Response Scale; SHAPS = Snaith-Hamilton Pleasure Scale; TRD = Treatment Resistant Depression</w:t>
      </w:r>
    </w:p>
    <w:p w14:paraId="3E2F9A64" w14:textId="3A37FD7A" w:rsidR="00384991" w:rsidRPr="00043334" w:rsidRDefault="00384991" w:rsidP="00DD6E8A">
      <w:pPr>
        <w:widowControl w:val="0"/>
        <w:spacing w:before="120" w:after="120" w:line="360" w:lineRule="auto"/>
        <w:jc w:val="both"/>
        <w:rPr>
          <w:color w:val="auto"/>
          <w:sz w:val="22"/>
          <w:szCs w:val="22"/>
          <w:lang w:val="en-AU"/>
        </w:rPr>
      </w:pPr>
      <w:r w:rsidRPr="00043334">
        <w:rPr>
          <w:color w:val="auto"/>
          <w:sz w:val="22"/>
          <w:szCs w:val="22"/>
          <w:lang w:val="en-AU"/>
        </w:rPr>
        <w:t>* = Statistical significance</w:t>
      </w:r>
    </w:p>
    <w:p w14:paraId="4C658444" w14:textId="77777777" w:rsidR="00BF2EA6" w:rsidRPr="00043334" w:rsidRDefault="00DD6E8A">
      <w:pPr>
        <w:spacing w:line="278" w:lineRule="auto"/>
        <w:rPr>
          <w:color w:val="auto"/>
          <w:sz w:val="22"/>
          <w:szCs w:val="22"/>
          <w:lang w:val="en-AU"/>
        </w:rPr>
      </w:pPr>
      <w:r w:rsidRPr="00043334">
        <w:rPr>
          <w:color w:val="auto"/>
          <w:sz w:val="22"/>
          <w:szCs w:val="22"/>
          <w:lang w:val="en-AU"/>
        </w:rPr>
        <w:br w:type="page"/>
      </w:r>
    </w:p>
    <w:p w14:paraId="59A8F937" w14:textId="70E3548B" w:rsidR="001D6DDF" w:rsidRPr="00043334" w:rsidRDefault="001D6DDF" w:rsidP="001D6DDF">
      <w:pPr>
        <w:pStyle w:val="Caption"/>
        <w:keepNext/>
        <w:spacing w:after="0" w:line="360" w:lineRule="auto"/>
        <w:jc w:val="both"/>
        <w:rPr>
          <w:b/>
          <w:bCs/>
          <w:i w:val="0"/>
          <w:iCs w:val="0"/>
          <w:color w:val="auto"/>
          <w:sz w:val="24"/>
          <w:szCs w:val="24"/>
          <w:lang w:val="en-AU"/>
        </w:rPr>
      </w:pPr>
      <w:r w:rsidRPr="00043334">
        <w:rPr>
          <w:b/>
          <w:bCs/>
          <w:i w:val="0"/>
          <w:iCs w:val="0"/>
          <w:color w:val="auto"/>
          <w:sz w:val="24"/>
          <w:szCs w:val="24"/>
          <w:lang w:val="en-AU"/>
        </w:rPr>
        <w:t xml:space="preserve">Supplemental Table </w:t>
      </w:r>
      <w:r w:rsidRPr="00043334">
        <w:rPr>
          <w:b/>
          <w:bCs/>
          <w:i w:val="0"/>
          <w:iCs w:val="0"/>
          <w:color w:val="auto"/>
          <w:sz w:val="24"/>
          <w:szCs w:val="24"/>
          <w:lang w:val="en-AU"/>
        </w:rPr>
        <w:fldChar w:fldCharType="begin"/>
      </w:r>
      <w:r w:rsidRPr="00043334">
        <w:rPr>
          <w:b/>
          <w:bCs/>
          <w:i w:val="0"/>
          <w:iCs w:val="0"/>
          <w:color w:val="auto"/>
          <w:sz w:val="24"/>
          <w:szCs w:val="24"/>
          <w:lang w:val="en-AU"/>
        </w:rPr>
        <w:instrText xml:space="preserve"> SEQ Table \* ARABIC </w:instrText>
      </w:r>
      <w:r w:rsidRPr="00043334">
        <w:rPr>
          <w:b/>
          <w:bCs/>
          <w:i w:val="0"/>
          <w:iCs w:val="0"/>
          <w:color w:val="auto"/>
          <w:sz w:val="24"/>
          <w:szCs w:val="24"/>
          <w:lang w:val="en-AU"/>
        </w:rPr>
        <w:fldChar w:fldCharType="separate"/>
      </w:r>
      <w:r w:rsidRPr="00043334">
        <w:rPr>
          <w:b/>
          <w:bCs/>
          <w:i w:val="0"/>
          <w:iCs w:val="0"/>
          <w:noProof/>
          <w:color w:val="auto"/>
          <w:sz w:val="24"/>
          <w:szCs w:val="24"/>
          <w:lang w:val="en-AU"/>
        </w:rPr>
        <w:t>2</w:t>
      </w:r>
      <w:r w:rsidRPr="00043334">
        <w:rPr>
          <w:b/>
          <w:bCs/>
          <w:i w:val="0"/>
          <w:iCs w:val="0"/>
          <w:color w:val="auto"/>
          <w:sz w:val="24"/>
          <w:szCs w:val="24"/>
          <w:lang w:val="en-AU"/>
        </w:rPr>
        <w:fldChar w:fldCharType="end"/>
      </w:r>
      <w:r w:rsidRPr="00043334">
        <w:rPr>
          <w:b/>
          <w:bCs/>
          <w:i w:val="0"/>
          <w:iCs w:val="0"/>
          <w:color w:val="auto"/>
          <w:sz w:val="24"/>
          <w:szCs w:val="24"/>
          <w:lang w:val="en-AU"/>
        </w:rPr>
        <w:t xml:space="preserve"> – Medication class and usage of participants with treatment resistant depression.</w:t>
      </w:r>
    </w:p>
    <w:tbl>
      <w:tblPr>
        <w:tblStyle w:val="TableGrid"/>
        <w:tblW w:w="0" w:type="auto"/>
        <w:tblLook w:val="04A0" w:firstRow="1" w:lastRow="0" w:firstColumn="1" w:lastColumn="0" w:noHBand="0" w:noVBand="1"/>
      </w:tblPr>
      <w:tblGrid>
        <w:gridCol w:w="5395"/>
        <w:gridCol w:w="1890"/>
        <w:gridCol w:w="1731"/>
      </w:tblGrid>
      <w:tr w:rsidR="00043334" w:rsidRPr="00043334" w14:paraId="2777BD50" w14:textId="77777777" w:rsidTr="00DA7303">
        <w:tc>
          <w:tcPr>
            <w:tcW w:w="5395" w:type="dxa"/>
            <w:tcBorders>
              <w:left w:val="nil"/>
              <w:bottom w:val="single" w:sz="4" w:space="0" w:color="auto"/>
              <w:right w:val="nil"/>
            </w:tcBorders>
            <w:vAlign w:val="center"/>
          </w:tcPr>
          <w:p w14:paraId="2CDC2185" w14:textId="40E31CFA" w:rsidR="00BF2EA6" w:rsidRPr="00043334" w:rsidRDefault="00BF2EA6" w:rsidP="000D5E8F">
            <w:pPr>
              <w:spacing w:line="360" w:lineRule="auto"/>
              <w:jc w:val="center"/>
              <w:rPr>
                <w:b/>
                <w:bCs/>
                <w:color w:val="auto"/>
                <w:lang w:val="en-AU"/>
              </w:rPr>
            </w:pPr>
            <w:r w:rsidRPr="00043334">
              <w:rPr>
                <w:b/>
                <w:bCs/>
                <w:color w:val="auto"/>
                <w:lang w:val="en-AU"/>
              </w:rPr>
              <w:t>Drug Class</w:t>
            </w:r>
          </w:p>
        </w:tc>
        <w:tc>
          <w:tcPr>
            <w:tcW w:w="1890" w:type="dxa"/>
            <w:tcBorders>
              <w:left w:val="nil"/>
              <w:bottom w:val="single" w:sz="4" w:space="0" w:color="auto"/>
              <w:right w:val="nil"/>
            </w:tcBorders>
          </w:tcPr>
          <w:p w14:paraId="13FEA59D" w14:textId="3739C401" w:rsidR="00BF2EA6" w:rsidRPr="00043334" w:rsidRDefault="00BF2EA6" w:rsidP="000D5E8F">
            <w:pPr>
              <w:spacing w:line="360" w:lineRule="auto"/>
              <w:jc w:val="center"/>
              <w:rPr>
                <w:b/>
                <w:bCs/>
                <w:color w:val="auto"/>
                <w:lang w:val="en-AU"/>
              </w:rPr>
            </w:pPr>
            <w:r w:rsidRPr="00043334">
              <w:rPr>
                <w:b/>
                <w:bCs/>
                <w:color w:val="auto"/>
                <w:lang w:val="en-AU"/>
              </w:rPr>
              <w:t>Number of Participants</w:t>
            </w:r>
          </w:p>
        </w:tc>
        <w:tc>
          <w:tcPr>
            <w:tcW w:w="1731" w:type="dxa"/>
            <w:tcBorders>
              <w:left w:val="nil"/>
              <w:bottom w:val="single" w:sz="4" w:space="0" w:color="auto"/>
              <w:right w:val="nil"/>
            </w:tcBorders>
          </w:tcPr>
          <w:p w14:paraId="2B2437A7" w14:textId="17F1DAB7" w:rsidR="00BF2EA6" w:rsidRPr="00043334" w:rsidRDefault="00BF2EA6" w:rsidP="000D5E8F">
            <w:pPr>
              <w:spacing w:line="360" w:lineRule="auto"/>
              <w:jc w:val="center"/>
              <w:rPr>
                <w:b/>
                <w:bCs/>
                <w:color w:val="auto"/>
                <w:lang w:val="en-AU"/>
              </w:rPr>
            </w:pPr>
            <w:r w:rsidRPr="00043334">
              <w:rPr>
                <w:b/>
                <w:bCs/>
                <w:color w:val="auto"/>
                <w:lang w:val="en-AU"/>
              </w:rPr>
              <w:t>% of Participants</w:t>
            </w:r>
          </w:p>
        </w:tc>
      </w:tr>
      <w:tr w:rsidR="00043334" w:rsidRPr="00043334" w14:paraId="1990C5E3" w14:textId="77777777" w:rsidTr="00DA7303">
        <w:tc>
          <w:tcPr>
            <w:tcW w:w="5395" w:type="dxa"/>
            <w:tcBorders>
              <w:left w:val="nil"/>
              <w:bottom w:val="nil"/>
              <w:right w:val="nil"/>
            </w:tcBorders>
          </w:tcPr>
          <w:p w14:paraId="2C722FA8" w14:textId="3E4FFB2C" w:rsidR="00DA7303" w:rsidRPr="00043334" w:rsidRDefault="00DA7303" w:rsidP="00DA7303">
            <w:pPr>
              <w:spacing w:line="360" w:lineRule="auto"/>
              <w:rPr>
                <w:b/>
                <w:bCs/>
                <w:color w:val="auto"/>
                <w:lang w:val="en-AU"/>
              </w:rPr>
            </w:pPr>
            <w:r w:rsidRPr="00043334">
              <w:rPr>
                <w:color w:val="auto"/>
                <w:lang w:val="en-AU"/>
              </w:rPr>
              <w:t>Anticonvulsant (including GABA analogues)</w:t>
            </w:r>
          </w:p>
        </w:tc>
        <w:tc>
          <w:tcPr>
            <w:tcW w:w="1890" w:type="dxa"/>
            <w:tcBorders>
              <w:left w:val="nil"/>
              <w:bottom w:val="nil"/>
              <w:right w:val="nil"/>
            </w:tcBorders>
          </w:tcPr>
          <w:p w14:paraId="339AFA67" w14:textId="1D638ED8" w:rsidR="00DA7303" w:rsidRPr="00043334" w:rsidRDefault="00DA7303" w:rsidP="00DA7303">
            <w:pPr>
              <w:spacing w:line="360" w:lineRule="auto"/>
              <w:jc w:val="center"/>
              <w:rPr>
                <w:b/>
                <w:bCs/>
                <w:color w:val="auto"/>
                <w:lang w:val="en-AU"/>
              </w:rPr>
            </w:pPr>
            <w:r w:rsidRPr="00043334">
              <w:rPr>
                <w:color w:val="auto"/>
                <w:lang w:val="en-AU"/>
              </w:rPr>
              <w:t>5</w:t>
            </w:r>
          </w:p>
        </w:tc>
        <w:tc>
          <w:tcPr>
            <w:tcW w:w="1731" w:type="dxa"/>
            <w:tcBorders>
              <w:left w:val="nil"/>
              <w:bottom w:val="nil"/>
              <w:right w:val="nil"/>
            </w:tcBorders>
          </w:tcPr>
          <w:p w14:paraId="5B850800" w14:textId="67889425" w:rsidR="00DA7303" w:rsidRPr="00043334" w:rsidRDefault="00BB6281" w:rsidP="00DA7303">
            <w:pPr>
              <w:spacing w:line="360" w:lineRule="auto"/>
              <w:jc w:val="center"/>
              <w:rPr>
                <w:color w:val="auto"/>
                <w:lang w:val="en-AU"/>
              </w:rPr>
            </w:pPr>
            <w:r w:rsidRPr="00043334">
              <w:rPr>
                <w:color w:val="auto"/>
                <w:lang w:val="en-AU"/>
              </w:rPr>
              <w:t>20.83</w:t>
            </w:r>
          </w:p>
        </w:tc>
      </w:tr>
      <w:tr w:rsidR="00043334" w:rsidRPr="00043334" w14:paraId="048CC821" w14:textId="77777777" w:rsidTr="00DA7303">
        <w:tc>
          <w:tcPr>
            <w:tcW w:w="5395" w:type="dxa"/>
            <w:tcBorders>
              <w:top w:val="nil"/>
              <w:left w:val="nil"/>
              <w:bottom w:val="nil"/>
              <w:right w:val="nil"/>
            </w:tcBorders>
          </w:tcPr>
          <w:p w14:paraId="37A67004" w14:textId="531C56DA" w:rsidR="00DA7303" w:rsidRPr="00043334" w:rsidRDefault="00DA7303" w:rsidP="00DA7303">
            <w:pPr>
              <w:spacing w:line="360" w:lineRule="auto"/>
              <w:rPr>
                <w:color w:val="auto"/>
                <w:lang w:val="en-AU"/>
              </w:rPr>
            </w:pPr>
            <w:r w:rsidRPr="00043334">
              <w:rPr>
                <w:color w:val="auto"/>
                <w:lang w:val="en-AU"/>
              </w:rPr>
              <w:t>Anxiolytic/Sedative</w:t>
            </w:r>
          </w:p>
        </w:tc>
        <w:tc>
          <w:tcPr>
            <w:tcW w:w="1890" w:type="dxa"/>
            <w:tcBorders>
              <w:top w:val="nil"/>
              <w:left w:val="nil"/>
              <w:bottom w:val="nil"/>
              <w:right w:val="nil"/>
            </w:tcBorders>
          </w:tcPr>
          <w:p w14:paraId="07242E03" w14:textId="73D0B33F" w:rsidR="00DA7303" w:rsidRPr="00043334" w:rsidRDefault="00DA7303" w:rsidP="00DA7303">
            <w:pPr>
              <w:spacing w:line="360" w:lineRule="auto"/>
              <w:jc w:val="center"/>
              <w:rPr>
                <w:color w:val="auto"/>
                <w:lang w:val="en-AU"/>
              </w:rPr>
            </w:pPr>
            <w:r w:rsidRPr="00043334">
              <w:rPr>
                <w:color w:val="auto"/>
                <w:lang w:val="en-AU"/>
              </w:rPr>
              <w:t>5</w:t>
            </w:r>
          </w:p>
        </w:tc>
        <w:tc>
          <w:tcPr>
            <w:tcW w:w="1731" w:type="dxa"/>
            <w:tcBorders>
              <w:top w:val="nil"/>
              <w:left w:val="nil"/>
              <w:bottom w:val="nil"/>
              <w:right w:val="nil"/>
            </w:tcBorders>
          </w:tcPr>
          <w:p w14:paraId="1205D36D" w14:textId="488C9C52" w:rsidR="00DA7303" w:rsidRPr="00043334" w:rsidRDefault="00BB6281" w:rsidP="00DA7303">
            <w:pPr>
              <w:spacing w:line="360" w:lineRule="auto"/>
              <w:jc w:val="center"/>
              <w:rPr>
                <w:color w:val="auto"/>
                <w:lang w:val="en-AU"/>
              </w:rPr>
            </w:pPr>
            <w:r w:rsidRPr="00043334">
              <w:rPr>
                <w:color w:val="auto"/>
                <w:lang w:val="en-AU"/>
              </w:rPr>
              <w:t>20.83</w:t>
            </w:r>
          </w:p>
        </w:tc>
      </w:tr>
      <w:tr w:rsidR="00043334" w:rsidRPr="00043334" w14:paraId="1595C0A9" w14:textId="77777777" w:rsidTr="000D5E8F">
        <w:tc>
          <w:tcPr>
            <w:tcW w:w="5395" w:type="dxa"/>
            <w:tcBorders>
              <w:top w:val="nil"/>
              <w:left w:val="nil"/>
              <w:bottom w:val="nil"/>
              <w:right w:val="nil"/>
            </w:tcBorders>
          </w:tcPr>
          <w:p w14:paraId="27E65110" w14:textId="60B13F16" w:rsidR="00DA7303" w:rsidRPr="00043334" w:rsidRDefault="00DA7303" w:rsidP="00DA7303">
            <w:pPr>
              <w:spacing w:line="360" w:lineRule="auto"/>
              <w:rPr>
                <w:color w:val="auto"/>
                <w:lang w:val="en-AU"/>
              </w:rPr>
            </w:pPr>
            <w:r w:rsidRPr="00043334">
              <w:rPr>
                <w:color w:val="auto"/>
                <w:lang w:val="en-AU"/>
              </w:rPr>
              <w:t>Atypical Antipsychotic</w:t>
            </w:r>
          </w:p>
        </w:tc>
        <w:tc>
          <w:tcPr>
            <w:tcW w:w="1890" w:type="dxa"/>
            <w:tcBorders>
              <w:top w:val="nil"/>
              <w:left w:val="nil"/>
              <w:bottom w:val="nil"/>
              <w:right w:val="nil"/>
            </w:tcBorders>
          </w:tcPr>
          <w:p w14:paraId="49C099B2" w14:textId="7F4A0CF5" w:rsidR="00DA7303" w:rsidRPr="00043334" w:rsidRDefault="00DA7303" w:rsidP="00DA7303">
            <w:pPr>
              <w:spacing w:line="360" w:lineRule="auto"/>
              <w:jc w:val="center"/>
              <w:rPr>
                <w:color w:val="auto"/>
                <w:lang w:val="en-AU"/>
              </w:rPr>
            </w:pPr>
            <w:r w:rsidRPr="00043334">
              <w:rPr>
                <w:color w:val="auto"/>
                <w:lang w:val="en-AU"/>
              </w:rPr>
              <w:t>11</w:t>
            </w:r>
          </w:p>
        </w:tc>
        <w:tc>
          <w:tcPr>
            <w:tcW w:w="1731" w:type="dxa"/>
            <w:tcBorders>
              <w:top w:val="nil"/>
              <w:left w:val="nil"/>
              <w:bottom w:val="nil"/>
              <w:right w:val="nil"/>
            </w:tcBorders>
          </w:tcPr>
          <w:p w14:paraId="7CD5150E" w14:textId="1CDEBFDE" w:rsidR="00DA7303" w:rsidRPr="00043334" w:rsidRDefault="00BB6281" w:rsidP="00DA7303">
            <w:pPr>
              <w:spacing w:line="360" w:lineRule="auto"/>
              <w:jc w:val="center"/>
              <w:rPr>
                <w:color w:val="auto"/>
                <w:lang w:val="en-AU"/>
              </w:rPr>
            </w:pPr>
            <w:r w:rsidRPr="00043334">
              <w:rPr>
                <w:color w:val="auto"/>
                <w:lang w:val="en-AU"/>
              </w:rPr>
              <w:t>45.83</w:t>
            </w:r>
          </w:p>
        </w:tc>
      </w:tr>
      <w:tr w:rsidR="00043334" w:rsidRPr="00043334" w14:paraId="7C825FCC" w14:textId="77777777" w:rsidTr="000D5E8F">
        <w:tc>
          <w:tcPr>
            <w:tcW w:w="5395" w:type="dxa"/>
            <w:tcBorders>
              <w:top w:val="nil"/>
              <w:left w:val="nil"/>
              <w:bottom w:val="nil"/>
              <w:right w:val="nil"/>
            </w:tcBorders>
          </w:tcPr>
          <w:p w14:paraId="4C5D659C" w14:textId="48475B55" w:rsidR="00DA7303" w:rsidRPr="00043334" w:rsidRDefault="00DA7303" w:rsidP="00DA7303">
            <w:pPr>
              <w:spacing w:line="360" w:lineRule="auto"/>
              <w:rPr>
                <w:color w:val="auto"/>
                <w:lang w:val="en-AU"/>
              </w:rPr>
            </w:pPr>
            <w:r w:rsidRPr="00043334">
              <w:rPr>
                <w:color w:val="auto"/>
                <w:lang w:val="en-AU"/>
              </w:rPr>
              <w:t xml:space="preserve">Benzodiazepine </w:t>
            </w:r>
          </w:p>
        </w:tc>
        <w:tc>
          <w:tcPr>
            <w:tcW w:w="1890" w:type="dxa"/>
            <w:tcBorders>
              <w:top w:val="nil"/>
              <w:left w:val="nil"/>
              <w:bottom w:val="nil"/>
              <w:right w:val="nil"/>
            </w:tcBorders>
          </w:tcPr>
          <w:p w14:paraId="360FE07F" w14:textId="7487B11B" w:rsidR="00DA7303" w:rsidRPr="00043334" w:rsidRDefault="00DA7303" w:rsidP="00DA7303">
            <w:pPr>
              <w:spacing w:line="360" w:lineRule="auto"/>
              <w:jc w:val="center"/>
              <w:rPr>
                <w:color w:val="auto"/>
                <w:lang w:val="en-AU"/>
              </w:rPr>
            </w:pPr>
            <w:r w:rsidRPr="00043334">
              <w:rPr>
                <w:color w:val="auto"/>
                <w:lang w:val="en-AU"/>
              </w:rPr>
              <w:t>9</w:t>
            </w:r>
          </w:p>
        </w:tc>
        <w:tc>
          <w:tcPr>
            <w:tcW w:w="1731" w:type="dxa"/>
            <w:tcBorders>
              <w:top w:val="nil"/>
              <w:left w:val="nil"/>
              <w:bottom w:val="nil"/>
              <w:right w:val="nil"/>
            </w:tcBorders>
          </w:tcPr>
          <w:p w14:paraId="1A244546" w14:textId="798D790B" w:rsidR="00DA7303" w:rsidRPr="00043334" w:rsidRDefault="00BB6281" w:rsidP="00DA7303">
            <w:pPr>
              <w:spacing w:line="360" w:lineRule="auto"/>
              <w:jc w:val="center"/>
              <w:rPr>
                <w:color w:val="auto"/>
                <w:lang w:val="en-AU"/>
              </w:rPr>
            </w:pPr>
            <w:r w:rsidRPr="00043334">
              <w:rPr>
                <w:color w:val="auto"/>
                <w:lang w:val="en-AU"/>
              </w:rPr>
              <w:t>37.5</w:t>
            </w:r>
          </w:p>
        </w:tc>
      </w:tr>
      <w:tr w:rsidR="00043334" w:rsidRPr="00043334" w14:paraId="6A9BE2D5" w14:textId="77777777" w:rsidTr="000D5E8F">
        <w:tc>
          <w:tcPr>
            <w:tcW w:w="5395" w:type="dxa"/>
            <w:tcBorders>
              <w:top w:val="nil"/>
              <w:left w:val="nil"/>
              <w:bottom w:val="nil"/>
              <w:right w:val="nil"/>
            </w:tcBorders>
          </w:tcPr>
          <w:p w14:paraId="579033BC" w14:textId="3A76CA3D" w:rsidR="00DA7303" w:rsidRPr="00043334" w:rsidRDefault="00DA7303" w:rsidP="00DA7303">
            <w:pPr>
              <w:spacing w:line="360" w:lineRule="auto"/>
              <w:rPr>
                <w:color w:val="auto"/>
                <w:lang w:val="en-AU"/>
              </w:rPr>
            </w:pPr>
            <w:r w:rsidRPr="00043334">
              <w:rPr>
                <w:color w:val="auto"/>
                <w:lang w:val="en-AU"/>
              </w:rPr>
              <w:t>Central Nervous System Stimulant</w:t>
            </w:r>
          </w:p>
        </w:tc>
        <w:tc>
          <w:tcPr>
            <w:tcW w:w="1890" w:type="dxa"/>
            <w:tcBorders>
              <w:top w:val="nil"/>
              <w:left w:val="nil"/>
              <w:bottom w:val="nil"/>
              <w:right w:val="nil"/>
            </w:tcBorders>
          </w:tcPr>
          <w:p w14:paraId="521DA15E" w14:textId="27BCFECD" w:rsidR="00DA7303" w:rsidRPr="00043334" w:rsidRDefault="00DA7303" w:rsidP="00DA7303">
            <w:pPr>
              <w:spacing w:line="360" w:lineRule="auto"/>
              <w:jc w:val="center"/>
              <w:rPr>
                <w:color w:val="auto"/>
                <w:lang w:val="en-AU"/>
              </w:rPr>
            </w:pPr>
            <w:r w:rsidRPr="00043334">
              <w:rPr>
                <w:color w:val="auto"/>
                <w:lang w:val="en-AU"/>
              </w:rPr>
              <w:t>6</w:t>
            </w:r>
          </w:p>
        </w:tc>
        <w:tc>
          <w:tcPr>
            <w:tcW w:w="1731" w:type="dxa"/>
            <w:tcBorders>
              <w:top w:val="nil"/>
              <w:left w:val="nil"/>
              <w:bottom w:val="nil"/>
              <w:right w:val="nil"/>
            </w:tcBorders>
          </w:tcPr>
          <w:p w14:paraId="55C46678" w14:textId="1FD99A2F" w:rsidR="00DA7303" w:rsidRPr="00043334" w:rsidRDefault="00BB6281" w:rsidP="00DA7303">
            <w:pPr>
              <w:spacing w:line="360" w:lineRule="auto"/>
              <w:jc w:val="center"/>
              <w:rPr>
                <w:color w:val="auto"/>
                <w:lang w:val="en-AU"/>
              </w:rPr>
            </w:pPr>
            <w:r w:rsidRPr="00043334">
              <w:rPr>
                <w:color w:val="auto"/>
                <w:lang w:val="en-AU"/>
              </w:rPr>
              <w:t>25</w:t>
            </w:r>
          </w:p>
        </w:tc>
      </w:tr>
      <w:tr w:rsidR="00043334" w:rsidRPr="00043334" w14:paraId="06877AB0" w14:textId="77777777" w:rsidTr="000D5E8F">
        <w:tc>
          <w:tcPr>
            <w:tcW w:w="5395" w:type="dxa"/>
            <w:tcBorders>
              <w:top w:val="nil"/>
              <w:left w:val="nil"/>
              <w:bottom w:val="nil"/>
              <w:right w:val="nil"/>
            </w:tcBorders>
          </w:tcPr>
          <w:p w14:paraId="4E98C8F1" w14:textId="7058C8C0" w:rsidR="00DA7303" w:rsidRPr="00043334" w:rsidRDefault="00DA7303" w:rsidP="00DA7303">
            <w:pPr>
              <w:spacing w:line="360" w:lineRule="auto"/>
              <w:rPr>
                <w:color w:val="auto"/>
                <w:lang w:val="en-AU"/>
              </w:rPr>
            </w:pPr>
            <w:r w:rsidRPr="00043334">
              <w:rPr>
                <w:color w:val="auto"/>
                <w:lang w:val="en-AU"/>
              </w:rPr>
              <w:t>Miscellaneous Antidepressant</w:t>
            </w:r>
          </w:p>
        </w:tc>
        <w:tc>
          <w:tcPr>
            <w:tcW w:w="1890" w:type="dxa"/>
            <w:tcBorders>
              <w:top w:val="nil"/>
              <w:left w:val="nil"/>
              <w:bottom w:val="nil"/>
              <w:right w:val="nil"/>
            </w:tcBorders>
          </w:tcPr>
          <w:p w14:paraId="5661B51E" w14:textId="191A5E25" w:rsidR="00DA7303" w:rsidRPr="00043334" w:rsidRDefault="00DA7303" w:rsidP="00DA7303">
            <w:pPr>
              <w:spacing w:line="360" w:lineRule="auto"/>
              <w:jc w:val="center"/>
              <w:rPr>
                <w:color w:val="auto"/>
                <w:lang w:val="en-AU"/>
              </w:rPr>
            </w:pPr>
            <w:r w:rsidRPr="00043334">
              <w:rPr>
                <w:color w:val="auto"/>
                <w:lang w:val="en-AU"/>
              </w:rPr>
              <w:t>6</w:t>
            </w:r>
          </w:p>
        </w:tc>
        <w:tc>
          <w:tcPr>
            <w:tcW w:w="1731" w:type="dxa"/>
            <w:tcBorders>
              <w:top w:val="nil"/>
              <w:left w:val="nil"/>
              <w:bottom w:val="nil"/>
              <w:right w:val="nil"/>
            </w:tcBorders>
          </w:tcPr>
          <w:p w14:paraId="7D6E2B7E" w14:textId="47BCE3E5" w:rsidR="00DA7303" w:rsidRPr="00043334" w:rsidRDefault="00BB6281" w:rsidP="00DA7303">
            <w:pPr>
              <w:spacing w:line="360" w:lineRule="auto"/>
              <w:jc w:val="center"/>
              <w:rPr>
                <w:color w:val="auto"/>
                <w:lang w:val="en-AU"/>
              </w:rPr>
            </w:pPr>
            <w:r w:rsidRPr="00043334">
              <w:rPr>
                <w:color w:val="auto"/>
                <w:lang w:val="en-AU"/>
              </w:rPr>
              <w:t>25</w:t>
            </w:r>
          </w:p>
        </w:tc>
      </w:tr>
      <w:tr w:rsidR="00043334" w:rsidRPr="00043334" w14:paraId="6C900A3A" w14:textId="77777777" w:rsidTr="000D5E8F">
        <w:tc>
          <w:tcPr>
            <w:tcW w:w="5395" w:type="dxa"/>
            <w:tcBorders>
              <w:top w:val="nil"/>
              <w:left w:val="nil"/>
              <w:bottom w:val="nil"/>
              <w:right w:val="nil"/>
            </w:tcBorders>
          </w:tcPr>
          <w:p w14:paraId="6899A335" w14:textId="75FF06FC" w:rsidR="00DA7303" w:rsidRPr="00043334" w:rsidRDefault="00DA7303" w:rsidP="00DA7303">
            <w:pPr>
              <w:spacing w:line="360" w:lineRule="auto"/>
              <w:rPr>
                <w:color w:val="auto"/>
                <w:lang w:val="en-AU"/>
              </w:rPr>
            </w:pPr>
            <w:r w:rsidRPr="00043334">
              <w:rPr>
                <w:color w:val="auto"/>
                <w:lang w:val="en-AU"/>
              </w:rPr>
              <w:t>Monoamine Oxidase Inhibitor (MAOi)</w:t>
            </w:r>
          </w:p>
        </w:tc>
        <w:tc>
          <w:tcPr>
            <w:tcW w:w="1890" w:type="dxa"/>
            <w:tcBorders>
              <w:top w:val="nil"/>
              <w:left w:val="nil"/>
              <w:bottom w:val="nil"/>
              <w:right w:val="nil"/>
            </w:tcBorders>
          </w:tcPr>
          <w:p w14:paraId="691717AC" w14:textId="53BBF5B8" w:rsidR="00DA7303" w:rsidRPr="00043334" w:rsidRDefault="00DA7303" w:rsidP="00DA7303">
            <w:pPr>
              <w:spacing w:line="360" w:lineRule="auto"/>
              <w:jc w:val="center"/>
              <w:rPr>
                <w:color w:val="auto"/>
                <w:lang w:val="en-AU"/>
              </w:rPr>
            </w:pPr>
            <w:r w:rsidRPr="00043334">
              <w:rPr>
                <w:color w:val="auto"/>
              </w:rPr>
              <w:t>1</w:t>
            </w:r>
          </w:p>
        </w:tc>
        <w:tc>
          <w:tcPr>
            <w:tcW w:w="1731" w:type="dxa"/>
            <w:tcBorders>
              <w:top w:val="nil"/>
              <w:left w:val="nil"/>
              <w:bottom w:val="nil"/>
              <w:right w:val="nil"/>
            </w:tcBorders>
          </w:tcPr>
          <w:p w14:paraId="35F3FF25" w14:textId="420B2DA8" w:rsidR="00DA7303" w:rsidRPr="00043334" w:rsidRDefault="00BB6281" w:rsidP="00DA7303">
            <w:pPr>
              <w:spacing w:line="360" w:lineRule="auto"/>
              <w:jc w:val="center"/>
              <w:rPr>
                <w:color w:val="auto"/>
                <w:lang w:val="en-AU"/>
              </w:rPr>
            </w:pPr>
            <w:r w:rsidRPr="00043334">
              <w:rPr>
                <w:color w:val="auto"/>
                <w:lang w:val="en-AU"/>
              </w:rPr>
              <w:t>4.17</w:t>
            </w:r>
          </w:p>
        </w:tc>
      </w:tr>
      <w:tr w:rsidR="00043334" w:rsidRPr="00043334" w14:paraId="6F75BDD1" w14:textId="77777777" w:rsidTr="000D5E8F">
        <w:tc>
          <w:tcPr>
            <w:tcW w:w="5395" w:type="dxa"/>
            <w:tcBorders>
              <w:top w:val="nil"/>
              <w:left w:val="nil"/>
              <w:bottom w:val="nil"/>
              <w:right w:val="nil"/>
            </w:tcBorders>
          </w:tcPr>
          <w:p w14:paraId="125B42C0" w14:textId="734820FF" w:rsidR="00DA7303" w:rsidRPr="00043334" w:rsidRDefault="00DA7303" w:rsidP="00DA7303">
            <w:pPr>
              <w:spacing w:line="360" w:lineRule="auto"/>
              <w:rPr>
                <w:color w:val="auto"/>
                <w:lang w:val="en-AU"/>
              </w:rPr>
            </w:pPr>
            <w:r w:rsidRPr="00043334">
              <w:rPr>
                <w:color w:val="auto"/>
                <w:lang w:val="en-AU"/>
              </w:rPr>
              <w:t>Serotonin Antagonist and Reuptake Inhibitor (SARI)</w:t>
            </w:r>
          </w:p>
        </w:tc>
        <w:tc>
          <w:tcPr>
            <w:tcW w:w="1890" w:type="dxa"/>
            <w:tcBorders>
              <w:top w:val="nil"/>
              <w:left w:val="nil"/>
              <w:bottom w:val="nil"/>
              <w:right w:val="nil"/>
            </w:tcBorders>
          </w:tcPr>
          <w:p w14:paraId="521C7194" w14:textId="3126C1C9" w:rsidR="00DA7303" w:rsidRPr="00043334" w:rsidRDefault="00DA7303" w:rsidP="00DA7303">
            <w:pPr>
              <w:spacing w:line="360" w:lineRule="auto"/>
              <w:jc w:val="center"/>
              <w:rPr>
                <w:color w:val="auto"/>
              </w:rPr>
            </w:pPr>
            <w:r w:rsidRPr="00043334">
              <w:rPr>
                <w:color w:val="auto"/>
                <w:lang w:val="en-AU"/>
              </w:rPr>
              <w:t>3</w:t>
            </w:r>
          </w:p>
        </w:tc>
        <w:tc>
          <w:tcPr>
            <w:tcW w:w="1731" w:type="dxa"/>
            <w:tcBorders>
              <w:top w:val="nil"/>
              <w:left w:val="nil"/>
              <w:bottom w:val="nil"/>
              <w:right w:val="nil"/>
            </w:tcBorders>
          </w:tcPr>
          <w:p w14:paraId="283E0C97" w14:textId="06A69BDB" w:rsidR="00DA7303" w:rsidRPr="00043334" w:rsidRDefault="00BB6281" w:rsidP="00DA7303">
            <w:pPr>
              <w:spacing w:line="360" w:lineRule="auto"/>
              <w:jc w:val="center"/>
              <w:rPr>
                <w:color w:val="auto"/>
                <w:lang w:val="en-AU"/>
              </w:rPr>
            </w:pPr>
            <w:r w:rsidRPr="00043334">
              <w:rPr>
                <w:color w:val="auto"/>
                <w:lang w:val="en-AU"/>
              </w:rPr>
              <w:t>12.50</w:t>
            </w:r>
          </w:p>
        </w:tc>
      </w:tr>
      <w:tr w:rsidR="00043334" w:rsidRPr="00043334" w14:paraId="3DF7DF64" w14:textId="77777777" w:rsidTr="000D5E8F">
        <w:tc>
          <w:tcPr>
            <w:tcW w:w="5395" w:type="dxa"/>
            <w:tcBorders>
              <w:top w:val="nil"/>
              <w:left w:val="nil"/>
              <w:bottom w:val="nil"/>
              <w:right w:val="nil"/>
            </w:tcBorders>
          </w:tcPr>
          <w:p w14:paraId="45D28C7F" w14:textId="5723A7FF" w:rsidR="00DA7303" w:rsidRPr="00043334" w:rsidRDefault="00DA7303" w:rsidP="00DA7303">
            <w:pPr>
              <w:spacing w:line="360" w:lineRule="auto"/>
              <w:rPr>
                <w:color w:val="auto"/>
                <w:lang w:val="en-AU"/>
              </w:rPr>
            </w:pPr>
            <w:r w:rsidRPr="00043334">
              <w:rPr>
                <w:color w:val="auto"/>
                <w:lang w:val="en-AU"/>
              </w:rPr>
              <w:t>Serotonin-Noradrenaline reuptake inhibitor (SNRI)</w:t>
            </w:r>
          </w:p>
        </w:tc>
        <w:tc>
          <w:tcPr>
            <w:tcW w:w="1890" w:type="dxa"/>
            <w:tcBorders>
              <w:top w:val="nil"/>
              <w:left w:val="nil"/>
              <w:bottom w:val="nil"/>
              <w:right w:val="nil"/>
            </w:tcBorders>
          </w:tcPr>
          <w:p w14:paraId="3964CC36" w14:textId="689A09CB" w:rsidR="00DA7303" w:rsidRPr="00043334" w:rsidRDefault="00DA7303" w:rsidP="00DA7303">
            <w:pPr>
              <w:spacing w:line="360" w:lineRule="auto"/>
              <w:jc w:val="center"/>
              <w:rPr>
                <w:color w:val="auto"/>
                <w:lang w:val="en-AU"/>
              </w:rPr>
            </w:pPr>
            <w:r w:rsidRPr="00043334">
              <w:rPr>
                <w:color w:val="auto"/>
                <w:lang w:val="en-AU"/>
              </w:rPr>
              <w:t>5</w:t>
            </w:r>
          </w:p>
        </w:tc>
        <w:tc>
          <w:tcPr>
            <w:tcW w:w="1731" w:type="dxa"/>
            <w:tcBorders>
              <w:top w:val="nil"/>
              <w:left w:val="nil"/>
              <w:bottom w:val="nil"/>
              <w:right w:val="nil"/>
            </w:tcBorders>
          </w:tcPr>
          <w:p w14:paraId="6AFB18EB" w14:textId="05991EBE" w:rsidR="00DA7303" w:rsidRPr="00043334" w:rsidRDefault="00BB6281" w:rsidP="00DA7303">
            <w:pPr>
              <w:spacing w:line="360" w:lineRule="auto"/>
              <w:jc w:val="center"/>
              <w:rPr>
                <w:color w:val="auto"/>
                <w:lang w:val="en-AU"/>
              </w:rPr>
            </w:pPr>
            <w:r w:rsidRPr="00043334">
              <w:rPr>
                <w:color w:val="auto"/>
                <w:lang w:val="en-AU"/>
              </w:rPr>
              <w:t>20.83</w:t>
            </w:r>
          </w:p>
        </w:tc>
      </w:tr>
      <w:tr w:rsidR="00043334" w:rsidRPr="00043334" w14:paraId="6C9DED93" w14:textId="77777777" w:rsidTr="000D5E8F">
        <w:tc>
          <w:tcPr>
            <w:tcW w:w="5395" w:type="dxa"/>
            <w:tcBorders>
              <w:top w:val="nil"/>
              <w:left w:val="nil"/>
              <w:bottom w:val="nil"/>
              <w:right w:val="nil"/>
            </w:tcBorders>
          </w:tcPr>
          <w:p w14:paraId="2B5EDDE5" w14:textId="162AD0DF" w:rsidR="00DA7303" w:rsidRPr="00043334" w:rsidRDefault="00DA7303" w:rsidP="00DA7303">
            <w:pPr>
              <w:spacing w:line="360" w:lineRule="auto"/>
              <w:rPr>
                <w:color w:val="auto"/>
                <w:lang w:val="en-AU"/>
              </w:rPr>
            </w:pPr>
            <w:r w:rsidRPr="00043334">
              <w:rPr>
                <w:color w:val="auto"/>
                <w:lang w:val="en-AU"/>
              </w:rPr>
              <w:t>Selective Serotonin Reuptake Inhibitor (SSRI)</w:t>
            </w:r>
          </w:p>
        </w:tc>
        <w:tc>
          <w:tcPr>
            <w:tcW w:w="1890" w:type="dxa"/>
            <w:tcBorders>
              <w:top w:val="nil"/>
              <w:left w:val="nil"/>
              <w:bottom w:val="nil"/>
              <w:right w:val="nil"/>
            </w:tcBorders>
          </w:tcPr>
          <w:p w14:paraId="71735861" w14:textId="039BC711" w:rsidR="00DA7303" w:rsidRPr="00043334" w:rsidRDefault="00DA7303" w:rsidP="00DA7303">
            <w:pPr>
              <w:spacing w:line="360" w:lineRule="auto"/>
              <w:jc w:val="center"/>
              <w:rPr>
                <w:color w:val="auto"/>
                <w:lang w:val="en-AU"/>
              </w:rPr>
            </w:pPr>
            <w:r w:rsidRPr="00043334">
              <w:rPr>
                <w:color w:val="auto"/>
                <w:lang w:val="en-AU"/>
              </w:rPr>
              <w:t>12</w:t>
            </w:r>
          </w:p>
        </w:tc>
        <w:tc>
          <w:tcPr>
            <w:tcW w:w="1731" w:type="dxa"/>
            <w:tcBorders>
              <w:top w:val="nil"/>
              <w:left w:val="nil"/>
              <w:bottom w:val="nil"/>
              <w:right w:val="nil"/>
            </w:tcBorders>
          </w:tcPr>
          <w:p w14:paraId="7112784C" w14:textId="417307B2" w:rsidR="00DA7303" w:rsidRPr="00043334" w:rsidRDefault="00DA7303" w:rsidP="00DA7303">
            <w:pPr>
              <w:spacing w:line="360" w:lineRule="auto"/>
              <w:jc w:val="center"/>
              <w:rPr>
                <w:color w:val="auto"/>
                <w:lang w:val="en-AU"/>
              </w:rPr>
            </w:pPr>
            <w:r w:rsidRPr="00043334">
              <w:rPr>
                <w:color w:val="auto"/>
                <w:lang w:val="en-AU"/>
              </w:rPr>
              <w:t>50</w:t>
            </w:r>
            <w:r w:rsidR="00BB6281" w:rsidRPr="00043334">
              <w:rPr>
                <w:color w:val="auto"/>
                <w:lang w:val="en-AU"/>
              </w:rPr>
              <w:t>.00</w:t>
            </w:r>
          </w:p>
        </w:tc>
      </w:tr>
      <w:tr w:rsidR="00043334" w:rsidRPr="00043334" w14:paraId="0F2CAD7B" w14:textId="77777777" w:rsidTr="000D5E8F">
        <w:tc>
          <w:tcPr>
            <w:tcW w:w="5395" w:type="dxa"/>
            <w:tcBorders>
              <w:top w:val="nil"/>
              <w:left w:val="nil"/>
              <w:right w:val="nil"/>
            </w:tcBorders>
          </w:tcPr>
          <w:p w14:paraId="2D0CCF90" w14:textId="5767ACA8" w:rsidR="00DA7303" w:rsidRPr="00043334" w:rsidRDefault="00DA7303" w:rsidP="00DA7303">
            <w:pPr>
              <w:spacing w:line="360" w:lineRule="auto"/>
              <w:rPr>
                <w:color w:val="auto"/>
                <w:lang w:val="en-AU"/>
              </w:rPr>
            </w:pPr>
            <w:r w:rsidRPr="00043334">
              <w:rPr>
                <w:color w:val="auto"/>
                <w:lang w:val="en-AU"/>
              </w:rPr>
              <w:t>Tri/Tetracyclic Antidepressant</w:t>
            </w:r>
          </w:p>
        </w:tc>
        <w:tc>
          <w:tcPr>
            <w:tcW w:w="1890" w:type="dxa"/>
            <w:tcBorders>
              <w:top w:val="nil"/>
              <w:left w:val="nil"/>
              <w:right w:val="nil"/>
            </w:tcBorders>
          </w:tcPr>
          <w:p w14:paraId="5F839BAE" w14:textId="1CBD05BF" w:rsidR="00DA7303" w:rsidRPr="00043334" w:rsidRDefault="00DA7303" w:rsidP="00DA7303">
            <w:pPr>
              <w:spacing w:line="360" w:lineRule="auto"/>
              <w:jc w:val="center"/>
              <w:rPr>
                <w:color w:val="auto"/>
              </w:rPr>
            </w:pPr>
            <w:r w:rsidRPr="00043334">
              <w:rPr>
                <w:color w:val="auto"/>
                <w:lang w:val="en-AU"/>
              </w:rPr>
              <w:t>2</w:t>
            </w:r>
          </w:p>
        </w:tc>
        <w:tc>
          <w:tcPr>
            <w:tcW w:w="1731" w:type="dxa"/>
            <w:tcBorders>
              <w:top w:val="nil"/>
              <w:left w:val="nil"/>
              <w:right w:val="nil"/>
            </w:tcBorders>
          </w:tcPr>
          <w:p w14:paraId="56F85048" w14:textId="25EBD26C" w:rsidR="00DA7303" w:rsidRPr="00043334" w:rsidRDefault="00BB6281" w:rsidP="00DA7303">
            <w:pPr>
              <w:spacing w:line="360" w:lineRule="auto"/>
              <w:jc w:val="center"/>
              <w:rPr>
                <w:color w:val="auto"/>
              </w:rPr>
            </w:pPr>
            <w:r w:rsidRPr="00043334">
              <w:rPr>
                <w:color w:val="auto"/>
              </w:rPr>
              <w:t>8.33</w:t>
            </w:r>
          </w:p>
        </w:tc>
      </w:tr>
    </w:tbl>
    <w:p w14:paraId="570B28C8" w14:textId="26DE385C" w:rsidR="004F21FB" w:rsidRPr="00043334" w:rsidRDefault="004F21FB" w:rsidP="004F21FB">
      <w:pPr>
        <w:spacing w:before="120" w:line="278" w:lineRule="auto"/>
        <w:rPr>
          <w:b/>
          <w:bCs/>
          <w:color w:val="auto"/>
          <w:sz w:val="22"/>
          <w:szCs w:val="22"/>
        </w:rPr>
      </w:pPr>
      <w:r w:rsidRPr="00043334">
        <w:rPr>
          <w:b/>
          <w:bCs/>
          <w:color w:val="auto"/>
          <w:sz w:val="22"/>
          <w:szCs w:val="22"/>
          <w:lang w:val="en-AU"/>
        </w:rPr>
        <w:t>Note:</w:t>
      </w:r>
      <w:r w:rsidRPr="00043334">
        <w:rPr>
          <w:color w:val="auto"/>
          <w:sz w:val="22"/>
          <w:szCs w:val="22"/>
          <w:lang w:val="en-AU"/>
        </w:rPr>
        <w:t xml:space="preserve"> Most participants are taking multiple medications and so are counted in all relevant categories.</w:t>
      </w:r>
    </w:p>
    <w:p w14:paraId="0E951BBC" w14:textId="501F2CEC" w:rsidR="00E061D0" w:rsidRPr="00043334" w:rsidRDefault="00E061D0">
      <w:pPr>
        <w:spacing w:line="278" w:lineRule="auto"/>
        <w:rPr>
          <w:color w:val="auto"/>
          <w:sz w:val="22"/>
          <w:szCs w:val="22"/>
        </w:rPr>
      </w:pPr>
      <w:r w:rsidRPr="00043334">
        <w:rPr>
          <w:color w:val="auto"/>
          <w:sz w:val="22"/>
          <w:szCs w:val="22"/>
        </w:rPr>
        <w:br w:type="page"/>
      </w:r>
    </w:p>
    <w:p w14:paraId="0955C0E9" w14:textId="25CD77CF" w:rsidR="00DD6E8A" w:rsidRPr="00043334" w:rsidRDefault="00DD6E8A" w:rsidP="00DD6E8A">
      <w:pPr>
        <w:spacing w:after="0" w:line="360" w:lineRule="auto"/>
        <w:jc w:val="both"/>
        <w:rPr>
          <w:b/>
          <w:bCs/>
          <w:color w:val="auto"/>
          <w:lang w:val="en-AU"/>
        </w:rPr>
      </w:pPr>
      <w:r w:rsidRPr="00043334">
        <w:rPr>
          <w:b/>
          <w:bCs/>
          <w:color w:val="auto"/>
          <w:lang w:val="en-AU"/>
        </w:rPr>
        <w:t xml:space="preserve">Supplemental Table </w:t>
      </w:r>
      <w:r w:rsidR="00E061D0" w:rsidRPr="00043334">
        <w:rPr>
          <w:b/>
          <w:bCs/>
          <w:color w:val="auto"/>
          <w:lang w:val="en-AU"/>
        </w:rPr>
        <w:t>3</w:t>
      </w:r>
      <w:r w:rsidRPr="00043334">
        <w:rPr>
          <w:b/>
          <w:bCs/>
          <w:color w:val="auto"/>
          <w:lang w:val="en-AU"/>
        </w:rPr>
        <w:t xml:space="preserve"> – Seed Coordinates (in Montreal Neurologic Institute space) for regions of interest in the Default Mode and Frontoparietal networks.</w:t>
      </w:r>
    </w:p>
    <w:tbl>
      <w:tblPr>
        <w:tblW w:w="9360" w:type="dxa"/>
        <w:tblBorders>
          <w:top w:val="single" w:sz="6" w:space="0" w:color="DCDCDC"/>
          <w:bottom w:val="single" w:sz="6" w:space="0" w:color="DCDCDC"/>
          <w:right w:val="single" w:sz="6" w:space="0" w:color="DCDCDC"/>
        </w:tblBorders>
        <w:shd w:val="clear" w:color="auto" w:fill="FFFFFF"/>
        <w:tblCellMar>
          <w:left w:w="0" w:type="dxa"/>
          <w:right w:w="0" w:type="dxa"/>
        </w:tblCellMar>
        <w:tblLook w:val="04A0" w:firstRow="1" w:lastRow="0" w:firstColumn="1" w:lastColumn="0" w:noHBand="0" w:noVBand="1"/>
      </w:tblPr>
      <w:tblGrid>
        <w:gridCol w:w="1710"/>
        <w:gridCol w:w="1290"/>
        <w:gridCol w:w="1290"/>
        <w:gridCol w:w="1290"/>
        <w:gridCol w:w="3780"/>
      </w:tblGrid>
      <w:tr w:rsidR="00043334" w:rsidRPr="00043334" w14:paraId="7E3A72BD" w14:textId="77777777" w:rsidTr="00D90A58">
        <w:trPr>
          <w:trHeight w:val="20"/>
          <w:tblHeader/>
        </w:trPr>
        <w:tc>
          <w:tcPr>
            <w:tcW w:w="1710" w:type="dxa"/>
            <w:tcBorders>
              <w:top w:val="single" w:sz="4" w:space="0" w:color="auto"/>
              <w:left w:val="nil"/>
              <w:bottom w:val="single" w:sz="4" w:space="0" w:color="auto"/>
              <w:right w:val="nil"/>
            </w:tcBorders>
            <w:tcMar>
              <w:top w:w="29" w:type="dxa"/>
              <w:left w:w="29" w:type="dxa"/>
              <w:bottom w:w="29" w:type="dxa"/>
              <w:right w:w="29" w:type="dxa"/>
            </w:tcMar>
            <w:hideMark/>
          </w:tcPr>
          <w:p w14:paraId="39D6544E" w14:textId="77777777" w:rsidR="00DD6E8A" w:rsidRPr="00043334" w:rsidRDefault="00DD6E8A" w:rsidP="00D90A58">
            <w:pPr>
              <w:spacing w:after="0" w:line="276" w:lineRule="auto"/>
              <w:rPr>
                <w:rFonts w:eastAsia="Times New Roman"/>
                <w:b/>
                <w:bCs/>
                <w:color w:val="auto"/>
                <w:kern w:val="0"/>
                <w:lang w:val="en-AU"/>
                <w14:ligatures w14:val="none"/>
              </w:rPr>
            </w:pPr>
            <w:r w:rsidRPr="00043334">
              <w:rPr>
                <w:rFonts w:eastAsia="Times New Roman"/>
                <w:b/>
                <w:bCs/>
                <w:color w:val="auto"/>
                <w:kern w:val="0"/>
                <w:lang w:val="en-AU"/>
                <w14:ligatures w14:val="none"/>
              </w:rPr>
              <w:t>Network</w:t>
            </w:r>
          </w:p>
        </w:tc>
        <w:tc>
          <w:tcPr>
            <w:tcW w:w="1290" w:type="dxa"/>
            <w:tcBorders>
              <w:top w:val="single" w:sz="4" w:space="0" w:color="auto"/>
              <w:left w:val="nil"/>
              <w:bottom w:val="single" w:sz="4" w:space="0" w:color="auto"/>
              <w:right w:val="nil"/>
            </w:tcBorders>
            <w:tcMar>
              <w:top w:w="29" w:type="dxa"/>
              <w:left w:w="29" w:type="dxa"/>
              <w:bottom w:w="29" w:type="dxa"/>
              <w:right w:w="29" w:type="dxa"/>
            </w:tcMar>
            <w:hideMark/>
          </w:tcPr>
          <w:p w14:paraId="6E6D0DDF" w14:textId="77777777" w:rsidR="00DD6E8A" w:rsidRPr="00043334" w:rsidRDefault="00DD6E8A" w:rsidP="00D90A58">
            <w:pPr>
              <w:spacing w:after="0" w:line="276" w:lineRule="auto"/>
              <w:jc w:val="center"/>
              <w:rPr>
                <w:rFonts w:ascii="inherit" w:eastAsia="Times New Roman" w:hAnsi="inherit" w:cs="Arial"/>
                <w:b/>
                <w:bCs/>
                <w:i/>
                <w:iCs/>
                <w:color w:val="auto"/>
                <w:kern w:val="0"/>
                <w:lang w:val="en-AU"/>
                <w14:ligatures w14:val="none"/>
              </w:rPr>
            </w:pPr>
            <w:r w:rsidRPr="00043334">
              <w:rPr>
                <w:rFonts w:ascii="inherit" w:eastAsia="Times New Roman" w:hAnsi="inherit" w:cs="Arial"/>
                <w:b/>
                <w:bCs/>
                <w:i/>
                <w:iCs/>
                <w:color w:val="auto"/>
                <w:kern w:val="0"/>
                <w:lang w:val="en-AU"/>
                <w14:ligatures w14:val="none"/>
              </w:rPr>
              <w:t>X</w:t>
            </w:r>
          </w:p>
        </w:tc>
        <w:tc>
          <w:tcPr>
            <w:tcW w:w="1290" w:type="dxa"/>
            <w:tcBorders>
              <w:top w:val="single" w:sz="4" w:space="0" w:color="auto"/>
              <w:left w:val="nil"/>
              <w:bottom w:val="single" w:sz="4" w:space="0" w:color="auto"/>
              <w:right w:val="nil"/>
            </w:tcBorders>
            <w:tcMar>
              <w:top w:w="29" w:type="dxa"/>
              <w:left w:w="29" w:type="dxa"/>
              <w:bottom w:w="29" w:type="dxa"/>
              <w:right w:w="29" w:type="dxa"/>
            </w:tcMar>
            <w:hideMark/>
          </w:tcPr>
          <w:p w14:paraId="68BA2689" w14:textId="77777777" w:rsidR="00DD6E8A" w:rsidRPr="00043334" w:rsidRDefault="00DD6E8A" w:rsidP="00D90A58">
            <w:pPr>
              <w:spacing w:after="0" w:line="276" w:lineRule="auto"/>
              <w:jc w:val="center"/>
              <w:rPr>
                <w:rFonts w:ascii="Arial" w:eastAsia="Times New Roman" w:hAnsi="Arial" w:cs="Arial"/>
                <w:b/>
                <w:bCs/>
                <w:i/>
                <w:iCs/>
                <w:color w:val="auto"/>
                <w:kern w:val="0"/>
                <w:lang w:val="en-AU"/>
                <w14:ligatures w14:val="none"/>
              </w:rPr>
            </w:pPr>
            <w:r w:rsidRPr="00043334">
              <w:rPr>
                <w:rFonts w:ascii="inherit" w:eastAsia="Times New Roman" w:hAnsi="inherit" w:cs="Arial"/>
                <w:b/>
                <w:bCs/>
                <w:i/>
                <w:iCs/>
                <w:color w:val="auto"/>
                <w:kern w:val="0"/>
                <w:lang w:val="en-AU"/>
                <w14:ligatures w14:val="none"/>
              </w:rPr>
              <w:t>Y</w:t>
            </w:r>
          </w:p>
        </w:tc>
        <w:tc>
          <w:tcPr>
            <w:tcW w:w="1290" w:type="dxa"/>
            <w:tcBorders>
              <w:top w:val="single" w:sz="4" w:space="0" w:color="auto"/>
              <w:left w:val="nil"/>
              <w:bottom w:val="single" w:sz="4" w:space="0" w:color="auto"/>
              <w:right w:val="nil"/>
            </w:tcBorders>
            <w:tcMar>
              <w:top w:w="29" w:type="dxa"/>
              <w:left w:w="29" w:type="dxa"/>
              <w:bottom w:w="29" w:type="dxa"/>
              <w:right w:w="29" w:type="dxa"/>
            </w:tcMar>
            <w:hideMark/>
          </w:tcPr>
          <w:p w14:paraId="48653FCB" w14:textId="77777777" w:rsidR="00DD6E8A" w:rsidRPr="00043334" w:rsidRDefault="00DD6E8A" w:rsidP="00D90A58">
            <w:pPr>
              <w:spacing w:after="0" w:line="276" w:lineRule="auto"/>
              <w:jc w:val="center"/>
              <w:rPr>
                <w:rFonts w:ascii="Arial" w:eastAsia="Times New Roman" w:hAnsi="Arial" w:cs="Arial"/>
                <w:b/>
                <w:bCs/>
                <w:i/>
                <w:iCs/>
                <w:color w:val="auto"/>
                <w:kern w:val="0"/>
                <w:lang w:val="en-AU"/>
                <w14:ligatures w14:val="none"/>
              </w:rPr>
            </w:pPr>
            <w:r w:rsidRPr="00043334">
              <w:rPr>
                <w:rFonts w:ascii="inherit" w:eastAsia="Times New Roman" w:hAnsi="inherit" w:cs="Arial"/>
                <w:b/>
                <w:bCs/>
                <w:i/>
                <w:iCs/>
                <w:color w:val="auto"/>
                <w:kern w:val="0"/>
                <w:lang w:val="en-AU"/>
                <w14:ligatures w14:val="none"/>
              </w:rPr>
              <w:t>Z</w:t>
            </w:r>
          </w:p>
        </w:tc>
        <w:tc>
          <w:tcPr>
            <w:tcW w:w="3780" w:type="dxa"/>
            <w:tcBorders>
              <w:top w:val="single" w:sz="4" w:space="0" w:color="auto"/>
              <w:left w:val="nil"/>
              <w:bottom w:val="single" w:sz="4" w:space="0" w:color="auto"/>
              <w:right w:val="nil"/>
            </w:tcBorders>
            <w:tcMar>
              <w:top w:w="29" w:type="dxa"/>
              <w:left w:w="29" w:type="dxa"/>
              <w:bottom w:w="29" w:type="dxa"/>
              <w:right w:w="29" w:type="dxa"/>
            </w:tcMar>
            <w:hideMark/>
          </w:tcPr>
          <w:p w14:paraId="6F4D2968" w14:textId="77777777" w:rsidR="00DD6E8A" w:rsidRPr="00043334" w:rsidRDefault="00DD6E8A" w:rsidP="00D90A58">
            <w:pPr>
              <w:spacing w:after="0" w:line="276" w:lineRule="auto"/>
              <w:rPr>
                <w:rFonts w:eastAsia="Times New Roman"/>
                <w:b/>
                <w:bCs/>
                <w:color w:val="auto"/>
                <w:kern w:val="0"/>
                <w:lang w:val="en-AU"/>
                <w14:ligatures w14:val="none"/>
              </w:rPr>
            </w:pPr>
            <w:r w:rsidRPr="00043334">
              <w:rPr>
                <w:rFonts w:eastAsia="Times New Roman"/>
                <w:b/>
                <w:bCs/>
                <w:color w:val="auto"/>
                <w:kern w:val="0"/>
                <w:lang w:val="en-AU"/>
                <w14:ligatures w14:val="none"/>
              </w:rPr>
              <w:t>Anatomical Structure</w:t>
            </w:r>
          </w:p>
        </w:tc>
      </w:tr>
      <w:tr w:rsidR="00043334" w:rsidRPr="00043334" w14:paraId="2E9955FB" w14:textId="77777777" w:rsidTr="00D90A58">
        <w:trPr>
          <w:trHeight w:val="20"/>
        </w:trPr>
        <w:tc>
          <w:tcPr>
            <w:tcW w:w="5580" w:type="dxa"/>
            <w:gridSpan w:val="4"/>
            <w:tcBorders>
              <w:top w:val="single" w:sz="4" w:space="0" w:color="auto"/>
              <w:left w:val="nil"/>
              <w:bottom w:val="nil"/>
              <w:right w:val="nil"/>
            </w:tcBorders>
            <w:shd w:val="clear" w:color="auto" w:fill="FFFFFF"/>
            <w:tcMar>
              <w:top w:w="29" w:type="dxa"/>
              <w:left w:w="29" w:type="dxa"/>
              <w:bottom w:w="29" w:type="dxa"/>
              <w:right w:w="29" w:type="dxa"/>
            </w:tcMar>
            <w:hideMark/>
          </w:tcPr>
          <w:p w14:paraId="2350B586" w14:textId="77777777" w:rsidR="00DD6E8A" w:rsidRPr="00043334" w:rsidRDefault="00DD6E8A" w:rsidP="00D90A58">
            <w:pPr>
              <w:spacing w:after="0" w:line="276" w:lineRule="auto"/>
              <w:jc w:val="center"/>
              <w:rPr>
                <w:rFonts w:eastAsia="Times New Roman"/>
                <w:b/>
                <w:bCs/>
                <w:i/>
                <w:iCs/>
                <w:color w:val="auto"/>
                <w:kern w:val="0"/>
                <w:lang w:val="en-AU"/>
                <w14:ligatures w14:val="none"/>
              </w:rPr>
            </w:pPr>
            <w:r w:rsidRPr="00043334">
              <w:rPr>
                <w:rFonts w:eastAsia="Times New Roman"/>
                <w:b/>
                <w:bCs/>
                <w:i/>
                <w:iCs/>
                <w:color w:val="auto"/>
                <w:kern w:val="0"/>
                <w:lang w:val="en-AU"/>
                <w14:ligatures w14:val="none"/>
              </w:rPr>
              <w:t>DMN</w:t>
            </w:r>
          </w:p>
        </w:tc>
        <w:tc>
          <w:tcPr>
            <w:tcW w:w="3780" w:type="dxa"/>
            <w:tcBorders>
              <w:top w:val="single" w:sz="4" w:space="0" w:color="auto"/>
              <w:left w:val="nil"/>
              <w:bottom w:val="nil"/>
              <w:right w:val="nil"/>
            </w:tcBorders>
            <w:shd w:val="clear" w:color="auto" w:fill="FFFFFF"/>
            <w:tcMar>
              <w:top w:w="29" w:type="dxa"/>
              <w:left w:w="29" w:type="dxa"/>
              <w:bottom w:w="29" w:type="dxa"/>
              <w:right w:w="29" w:type="dxa"/>
            </w:tcMar>
            <w:hideMark/>
          </w:tcPr>
          <w:p w14:paraId="6A5088B4" w14:textId="77777777" w:rsidR="00DD6E8A" w:rsidRPr="00043334" w:rsidRDefault="00DD6E8A" w:rsidP="00D90A58">
            <w:pPr>
              <w:spacing w:after="0" w:line="276" w:lineRule="auto"/>
              <w:rPr>
                <w:rFonts w:eastAsia="Times New Roman"/>
                <w:color w:val="auto"/>
                <w:kern w:val="0"/>
                <w:lang w:val="en-AU"/>
                <w14:ligatures w14:val="none"/>
              </w:rPr>
            </w:pPr>
          </w:p>
        </w:tc>
      </w:tr>
      <w:tr w:rsidR="00043334" w:rsidRPr="00043334" w14:paraId="2680B826"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4B8449F0"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L DMN-A</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2D15482B"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–27</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247E5424"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23</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1D6EBD9A"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48</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3C6C6C3A"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Superior frontal gyrus</w:t>
            </w:r>
          </w:p>
        </w:tc>
      </w:tr>
      <w:tr w:rsidR="00043334" w:rsidRPr="00043334" w14:paraId="5C18E6A5"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332563CB"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R DMN-A</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3C72425B"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27</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06686E36"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23</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6F58B63A"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48</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3953BA25"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Superior frontal gyrus</w:t>
            </w:r>
          </w:p>
        </w:tc>
      </w:tr>
      <w:tr w:rsidR="00043334" w:rsidRPr="00043334" w14:paraId="0F99EBDC"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4255338A"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L DMN-B</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59A708AD"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–41</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7804C2FD"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–60</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69B9648F"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29</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0853BD82"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Angular gyrus</w:t>
            </w:r>
          </w:p>
        </w:tc>
      </w:tr>
      <w:tr w:rsidR="00043334" w:rsidRPr="00043334" w14:paraId="74B3AC43"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1EFA2347"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R DMN-B</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7D2811C9"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41</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053F58AA"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–60</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6A3922FC"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29</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2D00045A"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Angular gyrus</w:t>
            </w:r>
          </w:p>
        </w:tc>
      </w:tr>
      <w:tr w:rsidR="00043334" w:rsidRPr="00043334" w14:paraId="382D63BE"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2BE46FB1"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L DMN-C</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759D9BC2"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–64</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3A6D661A"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–20</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11F2BA68"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–9</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27E5DBC9"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Middle temporal gyrus</w:t>
            </w:r>
          </w:p>
        </w:tc>
      </w:tr>
      <w:tr w:rsidR="00043334" w:rsidRPr="00043334" w14:paraId="4EE24248"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405852EE"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R DMN-C</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17724550"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64</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15D9C12B"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–20</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5DD43D73"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–9</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324652C6"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Middle temporal gyrus</w:t>
            </w:r>
          </w:p>
        </w:tc>
      </w:tr>
      <w:tr w:rsidR="00043334" w:rsidRPr="00043334" w14:paraId="237EC6AF"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5915A184"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Mid DMN-D</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2DE22B3B"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0</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58A14DF3"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49</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3F38431C"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18</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6C736F39"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Medial frontal gyrus</w:t>
            </w:r>
          </w:p>
        </w:tc>
      </w:tr>
      <w:tr w:rsidR="00043334" w:rsidRPr="00043334" w14:paraId="591D00EA"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5198ED7B"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L DMN-E</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72DB7394"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–25</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67EDE42F"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–32</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2C57BCD0"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–18</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3CF333F5"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Parahippocampal gyrus</w:t>
            </w:r>
          </w:p>
        </w:tc>
      </w:tr>
      <w:tr w:rsidR="00043334" w:rsidRPr="00043334" w14:paraId="440100DB"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48B8F2B7"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R DMN-E</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7A442AEC"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25</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242F94C6"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–32</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506B3F47"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–18</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3D676E58"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Parahippocampal gyrus</w:t>
            </w:r>
          </w:p>
        </w:tc>
      </w:tr>
      <w:tr w:rsidR="00043334" w:rsidRPr="00043334" w14:paraId="38BE05D4"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758AB80F"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Mid DMN-F</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65C403DE"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0</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2BD5558F"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–52</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324016BB"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26</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5FB4DE38"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Posterior cingulate</w:t>
            </w:r>
          </w:p>
        </w:tc>
      </w:tr>
      <w:tr w:rsidR="00043334" w:rsidRPr="00043334" w14:paraId="5BBD13B5" w14:textId="77777777" w:rsidTr="00D90A58">
        <w:trPr>
          <w:trHeight w:val="20"/>
        </w:trPr>
        <w:tc>
          <w:tcPr>
            <w:tcW w:w="5580" w:type="dxa"/>
            <w:gridSpan w:val="4"/>
            <w:tcBorders>
              <w:top w:val="nil"/>
              <w:left w:val="nil"/>
              <w:bottom w:val="nil"/>
              <w:right w:val="nil"/>
            </w:tcBorders>
            <w:shd w:val="clear" w:color="auto" w:fill="FFFFFF"/>
            <w:tcMar>
              <w:top w:w="29" w:type="dxa"/>
              <w:left w:w="29" w:type="dxa"/>
              <w:bottom w:w="29" w:type="dxa"/>
              <w:right w:w="29" w:type="dxa"/>
            </w:tcMar>
            <w:hideMark/>
          </w:tcPr>
          <w:p w14:paraId="6CF256AD" w14:textId="77777777" w:rsidR="00DD6E8A" w:rsidRPr="00043334" w:rsidRDefault="00DD6E8A" w:rsidP="00D90A58">
            <w:pPr>
              <w:spacing w:after="0" w:line="276" w:lineRule="auto"/>
              <w:jc w:val="center"/>
              <w:rPr>
                <w:rFonts w:eastAsia="Times New Roman"/>
                <w:b/>
                <w:bCs/>
                <w:i/>
                <w:iCs/>
                <w:color w:val="auto"/>
                <w:kern w:val="0"/>
                <w:lang w:val="en-AU"/>
                <w14:ligatures w14:val="none"/>
              </w:rPr>
            </w:pPr>
            <w:r w:rsidRPr="00043334">
              <w:rPr>
                <w:rFonts w:eastAsia="Times New Roman"/>
                <w:b/>
                <w:bCs/>
                <w:i/>
                <w:iCs/>
                <w:color w:val="auto"/>
                <w:kern w:val="0"/>
                <w:lang w:val="en-AU"/>
                <w14:ligatures w14:val="none"/>
              </w:rPr>
              <w:t>FPN</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27F421B0" w14:textId="77777777" w:rsidR="00DD6E8A" w:rsidRPr="00043334" w:rsidRDefault="00DD6E8A" w:rsidP="00D90A58">
            <w:pPr>
              <w:spacing w:after="0" w:line="276" w:lineRule="auto"/>
              <w:rPr>
                <w:rFonts w:eastAsia="Times New Roman"/>
                <w:color w:val="auto"/>
                <w:kern w:val="0"/>
                <w:lang w:val="en-AU"/>
                <w14:ligatures w14:val="none"/>
              </w:rPr>
            </w:pPr>
          </w:p>
        </w:tc>
      </w:tr>
      <w:tr w:rsidR="00043334" w:rsidRPr="00043334" w14:paraId="688F19AB"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7FA9FE7C"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L FPN-A</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3794E54A"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–40</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662D26AA"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50</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6D313F57"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7</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1557E8EA"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Frontal pole</w:t>
            </w:r>
          </w:p>
        </w:tc>
      </w:tr>
      <w:tr w:rsidR="00043334" w:rsidRPr="00043334" w14:paraId="06A0270B"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54D8ABF5"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R FPN-A</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1749B2FE"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40</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01647DB7"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50</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073774E1"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7</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758B9355"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Frontal pole</w:t>
            </w:r>
          </w:p>
        </w:tc>
      </w:tr>
      <w:tr w:rsidR="00043334" w:rsidRPr="00043334" w14:paraId="53FDA8C2"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4906964E"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L FPN-B</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1CC108DA"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–43</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347D56DB"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–50</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4779EA39"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46</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2B1B5E4E"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Supramarginal gyrus</w:t>
            </w:r>
          </w:p>
        </w:tc>
      </w:tr>
      <w:tr w:rsidR="00043334" w:rsidRPr="00043334" w14:paraId="49187D59"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453FECD3"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R FPN-B</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406D2608"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43</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3658D068"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–50</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083FF4E9"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46</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18A33AEE"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Supramarginal gyrus</w:t>
            </w:r>
          </w:p>
        </w:tc>
      </w:tr>
      <w:tr w:rsidR="00043334" w:rsidRPr="00043334" w14:paraId="215B5255"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4B8DA4B6"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L FPN-C</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13F4AABE"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–57</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2C46FF96"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–54</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3AC7D8B0"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–9</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1FD09E73"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Middle temporal gyrus</w:t>
            </w:r>
          </w:p>
        </w:tc>
      </w:tr>
      <w:tr w:rsidR="00043334" w:rsidRPr="00043334" w14:paraId="799EE5A4"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47725554"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R FPN-C</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0840582D"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57</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278375F7"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–54</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7951405F"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–9</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3D1F6CD4" w14:textId="77777777" w:rsidR="00DD6E8A" w:rsidRPr="00043334" w:rsidRDefault="00DD6E8A" w:rsidP="00D90A58">
            <w:pPr>
              <w:spacing w:after="0" w:line="276" w:lineRule="auto"/>
              <w:jc w:val="both"/>
              <w:rPr>
                <w:rFonts w:eastAsia="Times New Roman"/>
                <w:color w:val="auto"/>
                <w:kern w:val="0"/>
                <w:lang w:val="en-AU"/>
                <w14:ligatures w14:val="none"/>
              </w:rPr>
            </w:pPr>
            <w:r w:rsidRPr="00043334">
              <w:rPr>
                <w:rFonts w:eastAsia="Times New Roman"/>
                <w:color w:val="auto"/>
                <w:kern w:val="0"/>
                <w:lang w:val="en-AU"/>
                <w14:ligatures w14:val="none"/>
              </w:rPr>
              <w:t>Middle temporal gyrus</w:t>
            </w:r>
          </w:p>
        </w:tc>
      </w:tr>
      <w:tr w:rsidR="00043334" w:rsidRPr="00043334" w14:paraId="1EDD1C9D"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5FDCC29B"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Mid FPN-D</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3322A23B"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0</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52B676D1"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22</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3CF91168"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47</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3A1DA8AF"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Paracingulate gyrus</w:t>
            </w:r>
          </w:p>
        </w:tc>
      </w:tr>
      <w:tr w:rsidR="00043334" w:rsidRPr="00043334" w14:paraId="3D11B7F1" w14:textId="77777777" w:rsidTr="00D90A58">
        <w:trPr>
          <w:trHeight w:val="20"/>
        </w:trPr>
        <w:tc>
          <w:tcPr>
            <w:tcW w:w="1710" w:type="dxa"/>
            <w:tcBorders>
              <w:top w:val="nil"/>
              <w:left w:val="nil"/>
              <w:bottom w:val="nil"/>
              <w:right w:val="nil"/>
            </w:tcBorders>
            <w:shd w:val="clear" w:color="auto" w:fill="FFFFFF"/>
            <w:tcMar>
              <w:top w:w="29" w:type="dxa"/>
              <w:left w:w="29" w:type="dxa"/>
              <w:bottom w:w="29" w:type="dxa"/>
              <w:right w:w="29" w:type="dxa"/>
            </w:tcMar>
            <w:hideMark/>
          </w:tcPr>
          <w:p w14:paraId="239F811D"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Mid FPN-E</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3928F35A"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0</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730C97E9"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4</w:t>
            </w:r>
          </w:p>
        </w:tc>
        <w:tc>
          <w:tcPr>
            <w:tcW w:w="1290" w:type="dxa"/>
            <w:tcBorders>
              <w:top w:val="nil"/>
              <w:left w:val="nil"/>
              <w:bottom w:val="nil"/>
              <w:right w:val="nil"/>
            </w:tcBorders>
            <w:shd w:val="clear" w:color="auto" w:fill="FFFFFF"/>
            <w:tcMar>
              <w:top w:w="29" w:type="dxa"/>
              <w:left w:w="29" w:type="dxa"/>
              <w:bottom w:w="29" w:type="dxa"/>
              <w:right w:w="29" w:type="dxa"/>
            </w:tcMar>
            <w:hideMark/>
          </w:tcPr>
          <w:p w14:paraId="452CCC24"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29</w:t>
            </w:r>
          </w:p>
        </w:tc>
        <w:tc>
          <w:tcPr>
            <w:tcW w:w="3780" w:type="dxa"/>
            <w:tcBorders>
              <w:top w:val="nil"/>
              <w:left w:val="nil"/>
              <w:bottom w:val="nil"/>
              <w:right w:val="nil"/>
            </w:tcBorders>
            <w:shd w:val="clear" w:color="auto" w:fill="FFFFFF"/>
            <w:tcMar>
              <w:top w:w="29" w:type="dxa"/>
              <w:left w:w="29" w:type="dxa"/>
              <w:bottom w:w="29" w:type="dxa"/>
              <w:right w:w="29" w:type="dxa"/>
            </w:tcMar>
            <w:hideMark/>
          </w:tcPr>
          <w:p w14:paraId="62A05CB7"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Cingulate gyrus</w:t>
            </w:r>
          </w:p>
        </w:tc>
      </w:tr>
      <w:tr w:rsidR="00043334" w:rsidRPr="00043334" w14:paraId="0F1E5DD7" w14:textId="77777777" w:rsidTr="00D90A58">
        <w:trPr>
          <w:trHeight w:val="20"/>
        </w:trPr>
        <w:tc>
          <w:tcPr>
            <w:tcW w:w="1710" w:type="dxa"/>
            <w:tcBorders>
              <w:top w:val="nil"/>
              <w:left w:val="nil"/>
              <w:bottom w:val="single" w:sz="4" w:space="0" w:color="auto"/>
              <w:right w:val="nil"/>
            </w:tcBorders>
            <w:shd w:val="clear" w:color="auto" w:fill="FFFFFF"/>
            <w:tcMar>
              <w:top w:w="29" w:type="dxa"/>
              <w:left w:w="29" w:type="dxa"/>
              <w:bottom w:w="29" w:type="dxa"/>
              <w:right w:w="29" w:type="dxa"/>
            </w:tcMar>
            <w:hideMark/>
          </w:tcPr>
          <w:p w14:paraId="6BCA5BC2"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Mid FPN-F</w:t>
            </w:r>
          </w:p>
        </w:tc>
        <w:tc>
          <w:tcPr>
            <w:tcW w:w="1290" w:type="dxa"/>
            <w:tcBorders>
              <w:top w:val="nil"/>
              <w:left w:val="nil"/>
              <w:bottom w:val="single" w:sz="4" w:space="0" w:color="auto"/>
              <w:right w:val="nil"/>
            </w:tcBorders>
            <w:shd w:val="clear" w:color="auto" w:fill="FFFFFF"/>
            <w:tcMar>
              <w:top w:w="29" w:type="dxa"/>
              <w:left w:w="29" w:type="dxa"/>
              <w:bottom w:w="29" w:type="dxa"/>
              <w:right w:w="29" w:type="dxa"/>
            </w:tcMar>
            <w:hideMark/>
          </w:tcPr>
          <w:p w14:paraId="4D2F1F0E"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0</w:t>
            </w:r>
          </w:p>
        </w:tc>
        <w:tc>
          <w:tcPr>
            <w:tcW w:w="1290" w:type="dxa"/>
            <w:tcBorders>
              <w:top w:val="nil"/>
              <w:left w:val="nil"/>
              <w:bottom w:val="single" w:sz="4" w:space="0" w:color="auto"/>
              <w:right w:val="nil"/>
            </w:tcBorders>
            <w:shd w:val="clear" w:color="auto" w:fill="FFFFFF"/>
            <w:tcMar>
              <w:top w:w="29" w:type="dxa"/>
              <w:left w:w="29" w:type="dxa"/>
              <w:bottom w:w="29" w:type="dxa"/>
              <w:right w:w="29" w:type="dxa"/>
            </w:tcMar>
            <w:hideMark/>
          </w:tcPr>
          <w:p w14:paraId="23C74669"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–76</w:t>
            </w:r>
          </w:p>
        </w:tc>
        <w:tc>
          <w:tcPr>
            <w:tcW w:w="1290" w:type="dxa"/>
            <w:tcBorders>
              <w:top w:val="nil"/>
              <w:left w:val="nil"/>
              <w:bottom w:val="single" w:sz="4" w:space="0" w:color="auto"/>
              <w:right w:val="nil"/>
            </w:tcBorders>
            <w:shd w:val="clear" w:color="auto" w:fill="FFFFFF"/>
            <w:tcMar>
              <w:top w:w="29" w:type="dxa"/>
              <w:left w:w="29" w:type="dxa"/>
              <w:bottom w:w="29" w:type="dxa"/>
              <w:right w:w="29" w:type="dxa"/>
            </w:tcMar>
            <w:hideMark/>
          </w:tcPr>
          <w:p w14:paraId="2EE4FA52" w14:textId="77777777" w:rsidR="00DD6E8A" w:rsidRPr="00043334" w:rsidRDefault="00DD6E8A" w:rsidP="00D90A58">
            <w:pPr>
              <w:spacing w:after="0" w:line="276" w:lineRule="auto"/>
              <w:jc w:val="center"/>
              <w:rPr>
                <w:rFonts w:eastAsia="Times New Roman"/>
                <w:color w:val="auto"/>
                <w:kern w:val="0"/>
                <w:lang w:val="en-AU"/>
                <w14:ligatures w14:val="none"/>
              </w:rPr>
            </w:pPr>
            <w:r w:rsidRPr="00043334">
              <w:rPr>
                <w:rFonts w:eastAsia="Times New Roman"/>
                <w:color w:val="auto"/>
                <w:kern w:val="0"/>
                <w:lang w:val="en-AU"/>
                <w14:ligatures w14:val="none"/>
              </w:rPr>
              <w:t>45</w:t>
            </w:r>
          </w:p>
        </w:tc>
        <w:tc>
          <w:tcPr>
            <w:tcW w:w="3780" w:type="dxa"/>
            <w:tcBorders>
              <w:top w:val="nil"/>
              <w:left w:val="nil"/>
              <w:bottom w:val="single" w:sz="4" w:space="0" w:color="auto"/>
              <w:right w:val="nil"/>
            </w:tcBorders>
            <w:shd w:val="clear" w:color="auto" w:fill="FFFFFF"/>
            <w:tcMar>
              <w:top w:w="29" w:type="dxa"/>
              <w:left w:w="29" w:type="dxa"/>
              <w:bottom w:w="29" w:type="dxa"/>
              <w:right w:w="29" w:type="dxa"/>
            </w:tcMar>
            <w:hideMark/>
          </w:tcPr>
          <w:p w14:paraId="2163DCE7" w14:textId="77777777" w:rsidR="00DD6E8A" w:rsidRPr="00043334" w:rsidRDefault="00DD6E8A" w:rsidP="00D90A58">
            <w:pPr>
              <w:spacing w:after="0" w:line="276" w:lineRule="auto"/>
              <w:rPr>
                <w:rFonts w:eastAsia="Times New Roman"/>
                <w:color w:val="auto"/>
                <w:kern w:val="0"/>
                <w:lang w:val="en-AU"/>
                <w14:ligatures w14:val="none"/>
              </w:rPr>
            </w:pPr>
            <w:r w:rsidRPr="00043334">
              <w:rPr>
                <w:rFonts w:eastAsia="Times New Roman"/>
                <w:color w:val="auto"/>
                <w:kern w:val="0"/>
                <w:lang w:val="en-AU"/>
                <w14:ligatures w14:val="none"/>
              </w:rPr>
              <w:t>Precuneus cortex</w:t>
            </w:r>
          </w:p>
        </w:tc>
      </w:tr>
    </w:tbl>
    <w:p w14:paraId="1B02C55E" w14:textId="77777777" w:rsidR="00DD6E8A" w:rsidRPr="00043334" w:rsidRDefault="00DD6E8A" w:rsidP="00DD6E8A">
      <w:pPr>
        <w:shd w:val="clear" w:color="auto" w:fill="FFFFFF"/>
        <w:spacing w:before="80" w:after="80" w:line="360" w:lineRule="auto"/>
        <w:jc w:val="both"/>
        <w:rPr>
          <w:rFonts w:eastAsia="Times New Roman"/>
          <w:color w:val="auto"/>
          <w:kern w:val="0"/>
          <w:sz w:val="22"/>
          <w:szCs w:val="22"/>
          <w:lang w:val="en-AU"/>
          <w14:ligatures w14:val="none"/>
        </w:rPr>
      </w:pPr>
      <w:r w:rsidRPr="00043334">
        <w:rPr>
          <w:b/>
          <w:bCs/>
          <w:color w:val="auto"/>
          <w:sz w:val="22"/>
          <w:szCs w:val="22"/>
          <w:lang w:val="en-AU"/>
        </w:rPr>
        <w:t>Note:</w:t>
      </w:r>
      <w:r w:rsidRPr="00043334">
        <w:rPr>
          <w:color w:val="auto"/>
          <w:sz w:val="22"/>
          <w:szCs w:val="22"/>
          <w:lang w:val="en-AU"/>
        </w:rPr>
        <w:t xml:space="preserve"> </w:t>
      </w:r>
      <w:r w:rsidRPr="00043334">
        <w:rPr>
          <w:rFonts w:eastAsia="Times New Roman"/>
          <w:color w:val="auto"/>
          <w:kern w:val="0"/>
          <w:sz w:val="22"/>
          <w:szCs w:val="22"/>
          <w:lang w:val="en-AU"/>
          <w14:ligatures w14:val="none"/>
        </w:rPr>
        <w:t xml:space="preserve">Coordinates are reported in Montreal Neurological Institute space: </w:t>
      </w:r>
      <w:r w:rsidRPr="00043334">
        <w:rPr>
          <w:color w:val="auto"/>
          <w:sz w:val="22"/>
          <w:szCs w:val="22"/>
          <w:lang w:val="en-AU"/>
        </w:rPr>
        <w:t>X = left (-) to right (+), Y = posterior (-) to anterior (+), and Z = inferior (-) to superior (+)</w:t>
      </w:r>
      <w:r w:rsidRPr="00043334">
        <w:rPr>
          <w:rFonts w:eastAsia="Times New Roman"/>
          <w:color w:val="auto"/>
          <w:kern w:val="0"/>
          <w:sz w:val="22"/>
          <w:szCs w:val="22"/>
          <w:lang w:val="en-AU"/>
          <w14:ligatures w14:val="none"/>
        </w:rPr>
        <w:t>. Anatomical labels are approximations.</w:t>
      </w:r>
    </w:p>
    <w:p w14:paraId="545A6CD5" w14:textId="77777777" w:rsidR="00DD6E8A" w:rsidRPr="00043334" w:rsidRDefault="00DD6E8A" w:rsidP="00DD6E8A">
      <w:pPr>
        <w:widowControl w:val="0"/>
        <w:spacing w:after="0" w:line="360" w:lineRule="auto"/>
        <w:jc w:val="both"/>
        <w:rPr>
          <w:rFonts w:eastAsia="Times New Roman"/>
          <w:color w:val="auto"/>
          <w:kern w:val="0"/>
          <w:sz w:val="22"/>
          <w:szCs w:val="22"/>
          <w:lang w:val="en-AU"/>
          <w14:ligatures w14:val="none"/>
        </w:rPr>
      </w:pPr>
      <w:r w:rsidRPr="00043334">
        <w:rPr>
          <w:rFonts w:eastAsia="Times New Roman"/>
          <w:color w:val="auto"/>
          <w:kern w:val="0"/>
          <w:sz w:val="22"/>
          <w:szCs w:val="22"/>
          <w:lang w:val="en-AU"/>
          <w14:ligatures w14:val="none"/>
        </w:rPr>
        <w:t>DMN = Default Mode Network; FPN = Frontoparietal Network; L = Left Hemisphere; Mid = Midline; R = Right hemisphere</w:t>
      </w:r>
    </w:p>
    <w:p w14:paraId="7C1164B1" w14:textId="1E45837C" w:rsidR="00564BE5" w:rsidRPr="00043334" w:rsidRDefault="00564BE5" w:rsidP="00401DE5">
      <w:pPr>
        <w:spacing w:line="360" w:lineRule="auto"/>
        <w:rPr>
          <w:rFonts w:eastAsia="Times New Roman"/>
          <w:color w:val="auto"/>
          <w:kern w:val="0"/>
          <w:sz w:val="20"/>
          <w:szCs w:val="20"/>
          <w:lang w:val="en-AU"/>
          <w14:ligatures w14:val="none"/>
        </w:rPr>
      </w:pPr>
      <w:r w:rsidRPr="00043334">
        <w:rPr>
          <w:color w:val="auto"/>
        </w:rPr>
        <w:br w:type="page"/>
      </w:r>
    </w:p>
    <w:p w14:paraId="0FEEEA36" w14:textId="440B9304" w:rsidR="00CA14A5" w:rsidRPr="00043334" w:rsidRDefault="00CA14A5" w:rsidP="005E0927">
      <w:pPr>
        <w:spacing w:after="0" w:line="360" w:lineRule="auto"/>
        <w:rPr>
          <w:b/>
          <w:bCs/>
          <w:color w:val="auto"/>
          <w:lang w:val="en-AU"/>
        </w:rPr>
      </w:pPr>
      <w:r w:rsidRPr="00043334">
        <w:rPr>
          <w:b/>
          <w:bCs/>
          <w:color w:val="auto"/>
          <w:lang w:val="en-AU"/>
        </w:rPr>
        <w:t>Supplementary Results</w:t>
      </w:r>
    </w:p>
    <w:p w14:paraId="4DB499AD" w14:textId="014141A0" w:rsidR="009655C6" w:rsidRPr="00043334" w:rsidRDefault="009655C6" w:rsidP="00AF194C">
      <w:pPr>
        <w:spacing w:after="0" w:line="360" w:lineRule="auto"/>
        <w:rPr>
          <w:b/>
          <w:bCs/>
          <w:i/>
          <w:iCs/>
          <w:color w:val="auto"/>
          <w:lang w:val="en-AU"/>
        </w:rPr>
      </w:pPr>
      <w:r w:rsidRPr="00043334">
        <w:rPr>
          <w:b/>
          <w:bCs/>
          <w:i/>
          <w:iCs/>
          <w:color w:val="auto"/>
          <w:lang w:val="en-AU"/>
        </w:rPr>
        <w:t>Global Connectivity</w:t>
      </w:r>
    </w:p>
    <w:p w14:paraId="160BA581" w14:textId="659FFCDE" w:rsidR="00CA14A5" w:rsidRPr="00043334" w:rsidRDefault="00CA14A5" w:rsidP="00AF194C">
      <w:pPr>
        <w:spacing w:after="0" w:line="360" w:lineRule="auto"/>
        <w:jc w:val="both"/>
        <w:rPr>
          <w:color w:val="auto"/>
          <w:lang w:val="en-AU"/>
        </w:rPr>
      </w:pPr>
      <w:r w:rsidRPr="00043334">
        <w:rPr>
          <w:b/>
          <w:bCs/>
          <w:color w:val="auto"/>
          <w:lang w:val="en-AU"/>
        </w:rPr>
        <w:tab/>
      </w:r>
      <w:r w:rsidRPr="00043334">
        <w:rPr>
          <w:color w:val="auto"/>
          <w:lang w:val="en-AU"/>
        </w:rPr>
        <w:t xml:space="preserve">At the suggestion of a reviewer, we </w:t>
      </w:r>
      <w:r w:rsidR="00D32BAD" w:rsidRPr="00043334">
        <w:rPr>
          <w:color w:val="auto"/>
          <w:lang w:val="en-AU"/>
        </w:rPr>
        <w:t>examined global lagged connectivity</w:t>
      </w:r>
      <w:r w:rsidR="00D64453" w:rsidRPr="00043334">
        <w:rPr>
          <w:color w:val="auto"/>
          <w:lang w:val="en-AU"/>
        </w:rPr>
        <w:t xml:space="preserve"> (GLC)</w:t>
      </w:r>
      <w:r w:rsidR="00376D33" w:rsidRPr="00043334">
        <w:rPr>
          <w:color w:val="auto"/>
          <w:lang w:val="en-AU"/>
        </w:rPr>
        <w:t xml:space="preserve"> to</w:t>
      </w:r>
      <w:r w:rsidR="009655C6" w:rsidRPr="00043334">
        <w:rPr>
          <w:color w:val="auto"/>
          <w:lang w:val="en-AU"/>
        </w:rPr>
        <w:t xml:space="preserve"> be able to</w:t>
      </w:r>
      <w:r w:rsidR="00376D33" w:rsidRPr="00043334">
        <w:rPr>
          <w:color w:val="auto"/>
          <w:lang w:val="en-AU"/>
        </w:rPr>
        <w:t xml:space="preserve"> </w:t>
      </w:r>
      <w:r w:rsidR="009655C6" w:rsidRPr="00043334">
        <w:rPr>
          <w:color w:val="auto"/>
          <w:lang w:val="en-AU"/>
        </w:rPr>
        <w:t>further contextualise our ROI specific analysis</w:t>
      </w:r>
      <w:r w:rsidR="00D64453" w:rsidRPr="00043334">
        <w:rPr>
          <w:color w:val="auto"/>
          <w:lang w:val="en-AU"/>
        </w:rPr>
        <w:t xml:space="preserve">. GLC </w:t>
      </w:r>
      <w:r w:rsidR="005E0927" w:rsidRPr="00043334">
        <w:rPr>
          <w:color w:val="auto"/>
          <w:lang w:val="en-AU"/>
        </w:rPr>
        <w:t>is estimated using the following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0"/>
        <w:gridCol w:w="496"/>
      </w:tblGrid>
      <w:tr w:rsidR="00043334" w:rsidRPr="00043334" w14:paraId="567C3762" w14:textId="77777777" w:rsidTr="00805657">
        <w:tc>
          <w:tcPr>
            <w:tcW w:w="8520" w:type="dxa"/>
          </w:tcPr>
          <w:p w14:paraId="593137CC" w14:textId="63B34EBE" w:rsidR="005E0927" w:rsidRPr="00043334" w:rsidRDefault="00043334" w:rsidP="00AF194C">
            <w:pPr>
              <w:spacing w:line="360" w:lineRule="auto"/>
              <w:jc w:val="both"/>
              <w:rPr>
                <w:i/>
                <w:iCs/>
                <w:color w:val="auto"/>
                <w:lang w:val="en-AU"/>
              </w:rPr>
            </w:pPr>
            <m:oMathPara>
              <m:oMath>
                <m:sSub>
                  <m:sSubPr>
                    <m:ctrlPr>
                      <w:rPr>
                        <w:rFonts w:ascii="Cambria Math" w:hAnsi="Cambria Math"/>
                        <w:i/>
                        <w:color w:val="auto"/>
                        <w:lang w:val="en-AU"/>
                      </w:rPr>
                    </m:ctrlPr>
                  </m:sSubPr>
                  <m:e>
                    <m:r>
                      <w:rPr>
                        <w:rFonts w:ascii="Cambria Math" w:hAnsi="Cambria Math"/>
                        <w:color w:val="auto"/>
                        <w:lang w:val="en-AU"/>
                      </w:rPr>
                      <m:t>F</m:t>
                    </m:r>
                  </m:e>
                  <m:sub>
                    <m:r>
                      <w:rPr>
                        <w:rFonts w:ascii="Cambria Math" w:hAnsi="Cambria Math"/>
                        <w:color w:val="auto"/>
                        <w:lang w:val="en-AU"/>
                      </w:rPr>
                      <m:t>Lag</m:t>
                    </m:r>
                  </m:sub>
                </m:sSub>
                <m:r>
                  <w:rPr>
                    <w:rFonts w:ascii="Cambria Math" w:hAnsi="Cambria Math"/>
                    <w:color w:val="auto"/>
                    <w:lang w:val="en-AU"/>
                  </w:rPr>
                  <m:t>=ln</m:t>
                </m:r>
                <m:f>
                  <m:fPr>
                    <m:ctrlPr>
                      <w:rPr>
                        <w:rFonts w:ascii="Cambria Math" w:hAnsi="Cambria Math"/>
                        <w:i/>
                        <w:color w:val="auto"/>
                        <w:lang w:val="en-AU"/>
                      </w:rPr>
                    </m:ctrlPr>
                  </m:fPr>
                  <m:num>
                    <m:r>
                      <w:rPr>
                        <w:rFonts w:ascii="Cambria Math" w:hAnsi="Cambria Math"/>
                        <w:color w:val="auto"/>
                        <w:lang w:val="en-AU"/>
                      </w:rPr>
                      <m:t>Det(</m:t>
                    </m:r>
                    <m:sSubSup>
                      <m:sSubSupPr>
                        <m:ctrlPr>
                          <w:rPr>
                            <w:rFonts w:ascii="Cambria Math" w:hAnsi="Cambria Math"/>
                            <w:i/>
                            <w:color w:val="auto"/>
                            <w:lang w:val="en-AU"/>
                          </w:rPr>
                        </m:ctrlPr>
                      </m:sSubSupPr>
                      <m:e>
                        <m:r>
                          <w:rPr>
                            <w:rFonts w:ascii="Cambria Math" w:hAnsi="Cambria Math"/>
                            <w:color w:val="auto"/>
                            <w:lang w:val="en-AU"/>
                          </w:rPr>
                          <m:t>R</m:t>
                        </m:r>
                      </m:e>
                      <m:sub>
                        <m:r>
                          <w:rPr>
                            <w:rFonts w:ascii="Cambria Math" w:hAnsi="Cambria Math"/>
                            <w:color w:val="auto"/>
                            <w:lang w:val="en-AU"/>
                          </w:rPr>
                          <m:t>ZZω</m:t>
                        </m:r>
                      </m:sub>
                      <m:sup>
                        <m:r>
                          <w:rPr>
                            <w:rFonts w:ascii="Cambria Math" w:hAnsi="Cambria Math"/>
                            <w:color w:val="auto"/>
                            <w:lang w:val="en-AU"/>
                          </w:rPr>
                          <m:t>re</m:t>
                        </m:r>
                      </m:sup>
                    </m:sSubSup>
                    <m:r>
                      <w:rPr>
                        <w:rFonts w:ascii="Cambria Math" w:hAnsi="Cambria Math"/>
                        <w:color w:val="auto"/>
                        <w:lang w:val="en-AU"/>
                      </w:rPr>
                      <m:t>)</m:t>
                    </m:r>
                  </m:num>
                  <m:den>
                    <m:r>
                      <w:rPr>
                        <w:rFonts w:ascii="Cambria Math" w:hAnsi="Cambria Math"/>
                        <w:color w:val="auto"/>
                        <w:lang w:val="en-AU"/>
                      </w:rPr>
                      <m:t>Det(</m:t>
                    </m:r>
                    <m:sSub>
                      <m:sSubPr>
                        <m:ctrlPr>
                          <w:rPr>
                            <w:rFonts w:ascii="Cambria Math" w:hAnsi="Cambria Math"/>
                            <w:i/>
                            <w:color w:val="auto"/>
                            <w:lang w:val="en-AU"/>
                          </w:rPr>
                        </m:ctrlPr>
                      </m:sSubPr>
                      <m:e>
                        <m:r>
                          <w:rPr>
                            <w:rFonts w:ascii="Cambria Math" w:hAnsi="Cambria Math"/>
                            <w:color w:val="auto"/>
                            <w:lang w:val="en-AU"/>
                          </w:rPr>
                          <m:t>R</m:t>
                        </m:r>
                      </m:e>
                      <m:sub>
                        <m:r>
                          <w:rPr>
                            <w:rFonts w:ascii="Cambria Math" w:hAnsi="Cambria Math"/>
                            <w:color w:val="auto"/>
                            <w:lang w:val="en-AU"/>
                          </w:rPr>
                          <m:t>ZZω</m:t>
                        </m:r>
                      </m:sub>
                    </m:sSub>
                    <m:r>
                      <w:rPr>
                        <w:rFonts w:ascii="Cambria Math" w:hAnsi="Cambria Math"/>
                        <w:color w:val="auto"/>
                        <w:lang w:val="en-AU"/>
                      </w:rPr>
                      <m:t>)</m:t>
                    </m:r>
                  </m:den>
                </m:f>
                <m:r>
                  <w:rPr>
                    <w:rFonts w:ascii="Cambria Math" w:hAnsi="Cambria Math"/>
                    <w:color w:val="auto"/>
                    <w:lang w:val="en-AU"/>
                  </w:rPr>
                  <m:t>=ln</m:t>
                </m:r>
                <m:f>
                  <m:fPr>
                    <m:ctrlPr>
                      <w:rPr>
                        <w:rFonts w:ascii="Cambria Math" w:hAnsi="Cambria Math"/>
                        <w:i/>
                        <w:color w:val="auto"/>
                        <w:lang w:val="en-AU"/>
                      </w:rPr>
                    </m:ctrlPr>
                  </m:fPr>
                  <m:num>
                    <m:r>
                      <w:rPr>
                        <w:rFonts w:ascii="Cambria Math" w:hAnsi="Cambria Math"/>
                        <w:color w:val="auto"/>
                        <w:lang w:val="en-AU"/>
                      </w:rPr>
                      <m:t>1-</m:t>
                    </m:r>
                    <m:sSup>
                      <m:sSupPr>
                        <m:ctrlPr>
                          <w:rPr>
                            <w:rFonts w:ascii="Cambria Math" w:hAnsi="Cambria Math"/>
                            <w:i/>
                            <w:color w:val="auto"/>
                            <w:lang w:val="en-AU"/>
                          </w:rPr>
                        </m:ctrlPr>
                      </m:sSupPr>
                      <m:e>
                        <m:r>
                          <w:rPr>
                            <w:rFonts w:ascii="Cambria Math" w:hAnsi="Cambria Math"/>
                            <w:color w:val="auto"/>
                            <w:lang w:val="en-AU"/>
                          </w:rPr>
                          <m:t>(</m:t>
                        </m:r>
                        <m:sSubSup>
                          <m:sSubSupPr>
                            <m:ctrlPr>
                              <w:rPr>
                                <w:rFonts w:ascii="Cambria Math" w:hAnsi="Cambria Math"/>
                                <w:i/>
                                <w:color w:val="auto"/>
                                <w:lang w:val="en-AU"/>
                              </w:rPr>
                            </m:ctrlPr>
                          </m:sSubSupPr>
                          <m:e>
                            <m:r>
                              <w:rPr>
                                <w:rFonts w:ascii="Cambria Math" w:hAnsi="Cambria Math"/>
                                <w:color w:val="auto"/>
                                <w:lang w:val="en-AU"/>
                              </w:rPr>
                              <m:t>r</m:t>
                            </m:r>
                          </m:e>
                          <m:sub>
                            <m:r>
                              <w:rPr>
                                <w:rFonts w:ascii="Cambria Math" w:hAnsi="Cambria Math"/>
                                <w:color w:val="auto"/>
                                <w:lang w:val="en-AU"/>
                              </w:rPr>
                              <m:t>xyω</m:t>
                            </m:r>
                          </m:sub>
                          <m:sup>
                            <m:r>
                              <w:rPr>
                                <w:rFonts w:ascii="Cambria Math" w:hAnsi="Cambria Math"/>
                                <w:color w:val="auto"/>
                                <w:lang w:val="en-AU"/>
                              </w:rPr>
                              <m:t>re</m:t>
                            </m:r>
                          </m:sup>
                        </m:sSubSup>
                        <m:r>
                          <w:rPr>
                            <w:rFonts w:ascii="Cambria Math" w:hAnsi="Cambria Math"/>
                            <w:color w:val="auto"/>
                            <w:lang w:val="en-AU"/>
                          </w:rPr>
                          <m:t>)</m:t>
                        </m:r>
                      </m:e>
                      <m:sup>
                        <m:r>
                          <w:rPr>
                            <w:rFonts w:ascii="Cambria Math" w:hAnsi="Cambria Math"/>
                            <w:color w:val="auto"/>
                            <w:lang w:val="en-AU"/>
                          </w:rPr>
                          <m:t>2</m:t>
                        </m:r>
                      </m:sup>
                    </m:sSup>
                  </m:num>
                  <m:den>
                    <m:sSup>
                      <m:sSupPr>
                        <m:ctrlPr>
                          <w:rPr>
                            <w:rFonts w:ascii="Cambria Math" w:hAnsi="Cambria Math"/>
                            <w:i/>
                            <w:color w:val="auto"/>
                            <w:lang w:val="en-AU"/>
                          </w:rPr>
                        </m:ctrlPr>
                      </m:sSupPr>
                      <m:e>
                        <m:r>
                          <w:rPr>
                            <w:rFonts w:ascii="Cambria Math" w:hAnsi="Cambria Math"/>
                            <w:color w:val="auto"/>
                            <w:lang w:val="en-AU"/>
                          </w:rPr>
                          <m:t>1-</m:t>
                        </m:r>
                        <m:sSub>
                          <m:sSubPr>
                            <m:ctrlPr>
                              <w:rPr>
                                <w:rFonts w:ascii="Cambria Math" w:hAnsi="Cambria Math"/>
                                <w:i/>
                                <w:color w:val="auto"/>
                                <w:lang w:val="en-AU"/>
                              </w:rPr>
                            </m:ctrlPr>
                          </m:sSubPr>
                          <m:e>
                            <m:r>
                              <w:rPr>
                                <w:rFonts w:ascii="Cambria Math" w:hAnsi="Cambria Math"/>
                                <w:color w:val="auto"/>
                                <w:lang w:val="en-AU"/>
                              </w:rPr>
                              <m:t>|r</m:t>
                            </m:r>
                          </m:e>
                          <m:sub>
                            <m:r>
                              <w:rPr>
                                <w:rFonts w:ascii="Cambria Math" w:hAnsi="Cambria Math"/>
                                <w:color w:val="auto"/>
                                <w:lang w:val="en-AU"/>
                              </w:rPr>
                              <m:t>xyω</m:t>
                            </m:r>
                          </m:sub>
                        </m:sSub>
                        <m:r>
                          <w:rPr>
                            <w:rFonts w:ascii="Cambria Math" w:hAnsi="Cambria Math"/>
                            <w:color w:val="auto"/>
                            <w:lang w:val="en-AU"/>
                          </w:rPr>
                          <m:t>|</m:t>
                        </m:r>
                      </m:e>
                      <m:sup>
                        <m:r>
                          <w:rPr>
                            <w:rFonts w:ascii="Cambria Math" w:hAnsi="Cambria Math"/>
                            <w:color w:val="auto"/>
                            <w:lang w:val="en-AU"/>
                          </w:rPr>
                          <m:t>2</m:t>
                        </m:r>
                      </m:sup>
                    </m:sSup>
                  </m:den>
                </m:f>
              </m:oMath>
            </m:oMathPara>
          </w:p>
        </w:tc>
        <w:tc>
          <w:tcPr>
            <w:tcW w:w="496" w:type="dxa"/>
          </w:tcPr>
          <w:p w14:paraId="5036843F" w14:textId="43F6B5CA" w:rsidR="005E0927" w:rsidRPr="00043334" w:rsidRDefault="005E0927" w:rsidP="00AF194C">
            <w:pPr>
              <w:spacing w:line="360" w:lineRule="auto"/>
              <w:jc w:val="both"/>
              <w:rPr>
                <w:color w:val="auto"/>
                <w:lang w:val="en-AU"/>
              </w:rPr>
            </w:pPr>
            <w:r w:rsidRPr="00043334">
              <w:rPr>
                <w:color w:val="auto"/>
                <w:lang w:val="en-AU"/>
              </w:rPr>
              <w:t>(4)</w:t>
            </w:r>
          </w:p>
        </w:tc>
      </w:tr>
    </w:tbl>
    <w:p w14:paraId="169CCC23" w14:textId="089C921A" w:rsidR="0006269B" w:rsidRPr="00043334" w:rsidRDefault="00C61B33" w:rsidP="00AF194C">
      <w:pPr>
        <w:spacing w:after="0" w:line="360" w:lineRule="auto"/>
        <w:jc w:val="both"/>
        <w:rPr>
          <w:color w:val="auto"/>
          <w:lang w:val="en-AU"/>
        </w:rPr>
      </w:pPr>
      <w:r w:rsidRPr="00043334">
        <w:rPr>
          <w:color w:val="auto"/>
          <w:lang w:val="en-AU"/>
        </w:rPr>
        <w:tab/>
      </w:r>
      <w:r w:rsidR="00043D51" w:rsidRPr="00043334">
        <w:rPr>
          <w:color w:val="auto"/>
          <w:lang w:val="en-AU"/>
        </w:rPr>
        <w:t xml:space="preserve">Where </w:t>
      </w:r>
      <m:oMath>
        <m:sSub>
          <m:sSubPr>
            <m:ctrlPr>
              <w:rPr>
                <w:rFonts w:ascii="Cambria Math" w:hAnsi="Cambria Math"/>
                <w:i/>
                <w:color w:val="auto"/>
                <w:lang w:val="en-AU"/>
              </w:rPr>
            </m:ctrlPr>
          </m:sSubPr>
          <m:e>
            <m:r>
              <w:rPr>
                <w:rFonts w:ascii="Cambria Math" w:hAnsi="Cambria Math"/>
                <w:color w:val="auto"/>
                <w:lang w:val="en-AU"/>
              </w:rPr>
              <m:t>r</m:t>
            </m:r>
          </m:e>
          <m:sub>
            <m:r>
              <w:rPr>
                <w:rFonts w:ascii="Cambria Math" w:hAnsi="Cambria Math"/>
                <w:color w:val="auto"/>
                <w:lang w:val="en-AU"/>
              </w:rPr>
              <m:t>xyω</m:t>
            </m:r>
          </m:sub>
        </m:sSub>
      </m:oMath>
      <w:r w:rsidR="00BF13A0" w:rsidRPr="00043334">
        <w:rPr>
          <w:rFonts w:eastAsiaTheme="minorEastAsia"/>
          <w:color w:val="auto"/>
          <w:lang w:val="en-AU"/>
        </w:rPr>
        <w:t xml:space="preserve"> is the complex-value coherence between the </w:t>
      </w:r>
      <w:r w:rsidR="006166EA" w:rsidRPr="00043334">
        <w:rPr>
          <w:rFonts w:eastAsiaTheme="minorEastAsia"/>
          <w:color w:val="auto"/>
          <w:lang w:val="en-AU"/>
        </w:rPr>
        <w:t xml:space="preserve">two timeseries, </w:t>
      </w:r>
      <w:r w:rsidR="006166EA" w:rsidRPr="00043334">
        <w:rPr>
          <w:rFonts w:eastAsiaTheme="minorEastAsia"/>
          <w:i/>
          <w:iCs/>
          <w:color w:val="auto"/>
          <w:lang w:val="en-AU"/>
        </w:rPr>
        <w:t>x</w:t>
      </w:r>
      <w:r w:rsidR="006166EA" w:rsidRPr="00043334">
        <w:rPr>
          <w:rFonts w:eastAsiaTheme="minorEastAsia"/>
          <w:color w:val="auto"/>
          <w:lang w:val="en-AU"/>
        </w:rPr>
        <w:t xml:space="preserve"> and </w:t>
      </w:r>
      <w:r w:rsidR="006166EA" w:rsidRPr="00043334">
        <w:rPr>
          <w:rFonts w:eastAsiaTheme="minorEastAsia"/>
          <w:i/>
          <w:iCs/>
          <w:color w:val="auto"/>
          <w:lang w:val="en-AU"/>
        </w:rPr>
        <w:t>y</w:t>
      </w:r>
      <w:r w:rsidR="006166EA" w:rsidRPr="00043334">
        <w:rPr>
          <w:rFonts w:eastAsiaTheme="minorEastAsia"/>
          <w:color w:val="auto"/>
          <w:lang w:val="en-AU"/>
        </w:rPr>
        <w:t xml:space="preserve">, at a given frequency, </w:t>
      </w:r>
      <m:oMath>
        <m:r>
          <w:rPr>
            <w:rFonts w:ascii="Cambria Math" w:hAnsi="Cambria Math"/>
            <w:color w:val="auto"/>
            <w:lang w:val="en-AU"/>
          </w:rPr>
          <m:t>ω</m:t>
        </m:r>
      </m:oMath>
      <w:r w:rsidR="00970223" w:rsidRPr="00043334">
        <w:rPr>
          <w:rFonts w:eastAsiaTheme="minorEastAsia"/>
          <w:color w:val="auto"/>
          <w:lang w:val="en-AU"/>
        </w:rPr>
        <w:t xml:space="preserve">, and </w:t>
      </w:r>
      <w:r w:rsidR="00970223" w:rsidRPr="00043334">
        <w:rPr>
          <w:rFonts w:eastAsiaTheme="minorEastAsia"/>
          <w:i/>
          <w:iCs/>
          <w:color w:val="auto"/>
          <w:lang w:val="en-AU"/>
        </w:rPr>
        <w:t>re</w:t>
      </w:r>
      <w:r w:rsidR="00970223" w:rsidRPr="00043334">
        <w:rPr>
          <w:rFonts w:eastAsiaTheme="minorEastAsia"/>
          <w:color w:val="auto"/>
          <w:lang w:val="en-AU"/>
        </w:rPr>
        <w:t xml:space="preserve"> superscript denotes the real part of this matrix</w:t>
      </w:r>
      <w:r w:rsidR="005E66C4" w:rsidRPr="00043334">
        <w:rPr>
          <w:rFonts w:eastAsiaTheme="minorEastAsia"/>
          <w:color w:val="auto"/>
          <w:lang w:val="en-AU"/>
        </w:rPr>
        <w:t>; s</w:t>
      </w:r>
      <w:r w:rsidR="005E66C4" w:rsidRPr="00043334">
        <w:rPr>
          <w:color w:val="auto"/>
          <w:lang w:val="en-AU"/>
        </w:rPr>
        <w:t xml:space="preserve">ee Section 3c and equations 3.7-3.13 of </w:t>
      </w:r>
      <w:sdt>
        <w:sdtPr>
          <w:rPr>
            <w:color w:val="auto"/>
            <w:lang w:val="en-AU"/>
          </w:rPr>
          <w:tag w:val="MENDELEY_CITATION_v3_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"/>
          <w:id w:val="-936441992"/>
          <w:placeholder>
            <w:docPart w:val="A43A7A58C0C64CFC92417B9C4420B5A6"/>
          </w:placeholder>
        </w:sdtPr>
        <w:sdtEndPr/>
        <w:sdtContent>
          <w:r w:rsidR="005E66C4" w:rsidRPr="00043334">
            <w:rPr>
              <w:color w:val="auto"/>
              <w:lang w:val="en-AU"/>
            </w:rPr>
            <w:t>[6]</w:t>
          </w:r>
        </w:sdtContent>
      </w:sdt>
      <w:r w:rsidR="005E66C4" w:rsidRPr="00043334">
        <w:rPr>
          <w:color w:val="auto"/>
          <w:lang w:val="en-AU"/>
        </w:rPr>
        <w:t xml:space="preserve"> for a full explanation of the derivation of this equation. </w:t>
      </w:r>
      <w:r w:rsidR="0006269B" w:rsidRPr="00043334">
        <w:rPr>
          <w:color w:val="auto"/>
          <w:lang w:val="en-AU"/>
        </w:rPr>
        <w:t>Notably</w:t>
      </w:r>
      <w:r w:rsidR="005E66C4" w:rsidRPr="00043334">
        <w:rPr>
          <w:color w:val="auto"/>
          <w:lang w:val="en-AU"/>
        </w:rPr>
        <w:t xml:space="preserve"> </w:t>
      </w:r>
      <w:r w:rsidR="0006269B" w:rsidRPr="00043334">
        <w:rPr>
          <w:rFonts w:eastAsiaTheme="minorEastAsia"/>
          <w:color w:val="auto"/>
          <w:lang w:val="en-AU"/>
        </w:rPr>
        <w:t>for this analysis</w:t>
      </w:r>
      <w:r w:rsidR="005E66C4" w:rsidRPr="00043334">
        <w:rPr>
          <w:rFonts w:eastAsiaTheme="minorEastAsia"/>
          <w:color w:val="auto"/>
          <w:lang w:val="en-AU"/>
        </w:rPr>
        <w:t>,</w:t>
      </w:r>
      <w:r w:rsidR="005E66C4" w:rsidRPr="00043334">
        <w:rPr>
          <w:i/>
          <w:color w:val="auto"/>
          <w:lang w:val="en-AU"/>
        </w:rPr>
        <w:t xml:space="preserve"> </w:t>
      </w:r>
      <m:oMath>
        <m:r>
          <w:rPr>
            <w:rFonts w:ascii="Cambria Math" w:hAnsi="Cambria Math"/>
            <w:color w:val="auto"/>
            <w:lang w:val="en-AU"/>
          </w:rPr>
          <m:t>ω</m:t>
        </m:r>
      </m:oMath>
      <w:r w:rsidR="005E66C4" w:rsidRPr="00043334">
        <w:rPr>
          <w:rFonts w:eastAsiaTheme="minorEastAsia"/>
          <w:iCs/>
          <w:color w:val="auto"/>
          <w:lang w:val="en-AU"/>
        </w:rPr>
        <w:t>,</w:t>
      </w:r>
      <w:r w:rsidR="0006269B" w:rsidRPr="00043334">
        <w:rPr>
          <w:rFonts w:eastAsiaTheme="minorEastAsia"/>
          <w:color w:val="auto"/>
          <w:lang w:val="en-AU"/>
        </w:rPr>
        <w:t xml:space="preserve"> </w:t>
      </w:r>
      <w:r w:rsidR="005E66C4" w:rsidRPr="00043334">
        <w:rPr>
          <w:rFonts w:eastAsiaTheme="minorEastAsia"/>
          <w:color w:val="auto"/>
          <w:lang w:val="en-AU"/>
        </w:rPr>
        <w:t>was</w:t>
      </w:r>
      <w:r w:rsidR="0006269B" w:rsidRPr="00043334">
        <w:rPr>
          <w:rFonts w:eastAsiaTheme="minorEastAsia"/>
          <w:color w:val="auto"/>
          <w:lang w:val="en-AU"/>
        </w:rPr>
        <w:t xml:space="preserve"> the central frequency of each of the investigated </w:t>
      </w:r>
      <w:r w:rsidR="00445918" w:rsidRPr="00043334">
        <w:rPr>
          <w:rFonts w:eastAsiaTheme="minorEastAsia"/>
          <w:color w:val="auto"/>
          <w:lang w:val="en-AU"/>
        </w:rPr>
        <w:t>frequency bands</w:t>
      </w:r>
      <w:r w:rsidR="00BE35C5" w:rsidRPr="00043334">
        <w:rPr>
          <w:rFonts w:eastAsiaTheme="minorEastAsia"/>
          <w:color w:val="auto"/>
          <w:lang w:val="en-AU"/>
        </w:rPr>
        <w:t xml:space="preserve">, </w:t>
      </w:r>
      <w:r w:rsidR="00445918" w:rsidRPr="00043334">
        <w:rPr>
          <w:rFonts w:eastAsiaTheme="minorEastAsia"/>
          <w:color w:val="auto"/>
          <w:lang w:val="en-AU"/>
        </w:rPr>
        <w:t xml:space="preserve">i.e., 5.75 Hz for Theta, </w:t>
      </w:r>
      <w:r w:rsidR="00E9500E" w:rsidRPr="00043334">
        <w:rPr>
          <w:rFonts w:eastAsiaTheme="minorEastAsia"/>
          <w:color w:val="auto"/>
          <w:lang w:val="en-AU"/>
        </w:rPr>
        <w:t>15.25 Hz for Beta1, 19.75</w:t>
      </w:r>
      <w:r w:rsidR="00860857" w:rsidRPr="00043334">
        <w:rPr>
          <w:rFonts w:eastAsiaTheme="minorEastAsia"/>
          <w:color w:val="auto"/>
          <w:lang w:val="en-AU"/>
        </w:rPr>
        <w:t xml:space="preserve"> Hz</w:t>
      </w:r>
      <w:r w:rsidR="00E9500E" w:rsidRPr="00043334">
        <w:rPr>
          <w:rFonts w:eastAsiaTheme="minorEastAsia"/>
          <w:color w:val="auto"/>
          <w:lang w:val="en-AU"/>
        </w:rPr>
        <w:t xml:space="preserve"> for Beta2, 25.75</w:t>
      </w:r>
      <w:r w:rsidR="00860857" w:rsidRPr="00043334">
        <w:rPr>
          <w:rFonts w:eastAsiaTheme="minorEastAsia"/>
          <w:color w:val="auto"/>
          <w:lang w:val="en-AU"/>
        </w:rPr>
        <w:t xml:space="preserve"> Hz</w:t>
      </w:r>
      <w:r w:rsidR="00E9500E" w:rsidRPr="00043334">
        <w:rPr>
          <w:rFonts w:eastAsiaTheme="minorEastAsia"/>
          <w:color w:val="auto"/>
          <w:lang w:val="en-AU"/>
        </w:rPr>
        <w:t xml:space="preserve"> for Beta3</w:t>
      </w:r>
      <w:r w:rsidR="00BE35C5" w:rsidRPr="00043334">
        <w:rPr>
          <w:rFonts w:eastAsiaTheme="minorEastAsia"/>
          <w:color w:val="auto"/>
          <w:lang w:val="en-AU"/>
        </w:rPr>
        <w:t>.</w:t>
      </w:r>
    </w:p>
    <w:p w14:paraId="3C8BC344" w14:textId="505BC6BC" w:rsidR="008E3054" w:rsidRPr="00043334" w:rsidRDefault="00BE377F" w:rsidP="00AF194C">
      <w:pPr>
        <w:spacing w:after="0" w:line="360" w:lineRule="auto"/>
        <w:ind w:firstLine="720"/>
        <w:jc w:val="both"/>
        <w:rPr>
          <w:color w:val="auto"/>
          <w:lang w:val="en-AU"/>
        </w:rPr>
      </w:pPr>
      <w:r w:rsidRPr="00043334">
        <w:rPr>
          <w:color w:val="auto"/>
          <w:lang w:val="en-AU"/>
        </w:rPr>
        <w:t>Turning to our analysis, i</w:t>
      </w:r>
      <w:r w:rsidR="002E1773" w:rsidRPr="00043334">
        <w:rPr>
          <w:color w:val="auto"/>
          <w:lang w:val="en-AU"/>
        </w:rPr>
        <w:t xml:space="preserve">n line with our </w:t>
      </w:r>
      <w:r w:rsidR="008E3054" w:rsidRPr="00043334">
        <w:rPr>
          <w:color w:val="auto"/>
          <w:lang w:val="en-AU"/>
        </w:rPr>
        <w:t>main results, we first examined</w:t>
      </w:r>
      <w:r w:rsidR="00506669" w:rsidRPr="00043334">
        <w:rPr>
          <w:color w:val="auto"/>
          <w:lang w:val="en-AU"/>
        </w:rPr>
        <w:t xml:space="preserve"> if GLC differed between </w:t>
      </w:r>
      <w:r w:rsidR="00065A3E" w:rsidRPr="00043334">
        <w:rPr>
          <w:color w:val="auto"/>
          <w:lang w:val="en-AU"/>
        </w:rPr>
        <w:t xml:space="preserve">the two groups at </w:t>
      </w:r>
      <w:r w:rsidR="00E3318E" w:rsidRPr="00043334">
        <w:rPr>
          <w:color w:val="auto"/>
          <w:lang w:val="en-AU"/>
        </w:rPr>
        <w:t>s</w:t>
      </w:r>
      <w:r w:rsidR="00065A3E" w:rsidRPr="00043334">
        <w:rPr>
          <w:color w:val="auto"/>
          <w:lang w:val="en-AU"/>
        </w:rPr>
        <w:t>ession 1 (i.e., pre</w:t>
      </w:r>
      <w:r w:rsidR="002D784A" w:rsidRPr="00043334">
        <w:rPr>
          <w:color w:val="auto"/>
          <w:lang w:val="en-AU"/>
        </w:rPr>
        <w:t>-ketamine treatment for the TRD participants) u</w:t>
      </w:r>
      <w:r w:rsidR="003617B0" w:rsidRPr="00043334">
        <w:rPr>
          <w:color w:val="auto"/>
          <w:lang w:val="en-AU"/>
        </w:rPr>
        <w:t>sing independent sample t-tests</w:t>
      </w:r>
      <w:r w:rsidR="002D784A" w:rsidRPr="00043334">
        <w:rPr>
          <w:color w:val="auto"/>
          <w:lang w:val="en-AU"/>
        </w:rPr>
        <w:t>; subsequent o</w:t>
      </w:r>
      <w:r w:rsidR="00323B70" w:rsidRPr="00043334">
        <w:rPr>
          <w:color w:val="auto"/>
          <w:lang w:val="en-AU"/>
        </w:rPr>
        <w:t xml:space="preserve">rdinary least squares regression models </w:t>
      </w:r>
      <w:r w:rsidR="002D784A" w:rsidRPr="00043334">
        <w:rPr>
          <w:color w:val="auto"/>
          <w:lang w:val="en-AU"/>
        </w:rPr>
        <w:t xml:space="preserve">were used </w:t>
      </w:r>
      <w:r w:rsidR="00323B70" w:rsidRPr="00043334">
        <w:rPr>
          <w:color w:val="auto"/>
          <w:lang w:val="en-AU"/>
        </w:rPr>
        <w:t xml:space="preserve">to </w:t>
      </w:r>
      <w:r w:rsidR="00E44CE7" w:rsidRPr="00043334">
        <w:rPr>
          <w:color w:val="auto"/>
          <w:lang w:val="en-AU"/>
        </w:rPr>
        <w:t>re-</w:t>
      </w:r>
      <w:r w:rsidR="00323B70" w:rsidRPr="00043334">
        <w:rPr>
          <w:color w:val="auto"/>
          <w:lang w:val="en-AU"/>
        </w:rPr>
        <w:t>evaluate any identified significant group differences when also controlling for age.</w:t>
      </w:r>
      <w:r w:rsidR="00936802" w:rsidRPr="00043334">
        <w:rPr>
          <w:color w:val="auto"/>
          <w:lang w:val="en-AU"/>
        </w:rPr>
        <w:t xml:space="preserve"> Across all frequency bands, we found that GLC did not differ between HCs and TRD</w:t>
      </w:r>
      <w:r w:rsidR="008E3054" w:rsidRPr="00043334">
        <w:rPr>
          <w:color w:val="auto"/>
        </w:rPr>
        <w:t xml:space="preserve"> (</w:t>
      </w:r>
      <w:r w:rsidR="008E3054" w:rsidRPr="00043334">
        <w:rPr>
          <w:i/>
          <w:iCs/>
          <w:color w:val="auto"/>
        </w:rPr>
        <w:t>t</w:t>
      </w:r>
      <w:r w:rsidR="008E3054" w:rsidRPr="00043334">
        <w:rPr>
          <w:color w:val="auto"/>
        </w:rPr>
        <w:t xml:space="preserve">’s ≤ 1.158, </w:t>
      </w:r>
      <w:r w:rsidR="008E3054" w:rsidRPr="00043334">
        <w:rPr>
          <w:i/>
          <w:iCs/>
          <w:color w:val="auto"/>
        </w:rPr>
        <w:t>p</w:t>
      </w:r>
      <w:r w:rsidR="008E3054" w:rsidRPr="00043334">
        <w:rPr>
          <w:color w:val="auto"/>
        </w:rPr>
        <w:t xml:space="preserve">’s ≥ .253) and this remained </w:t>
      </w:r>
      <w:r w:rsidR="00936802" w:rsidRPr="00043334">
        <w:rPr>
          <w:color w:val="auto"/>
        </w:rPr>
        <w:t>true even</w:t>
      </w:r>
      <w:r w:rsidR="008E3054" w:rsidRPr="00043334">
        <w:rPr>
          <w:color w:val="auto"/>
        </w:rPr>
        <w:t xml:space="preserve"> when controlling for age (</w:t>
      </w:r>
      <w:r w:rsidR="008E3054" w:rsidRPr="00043334">
        <w:rPr>
          <w:i/>
          <w:iCs/>
          <w:color w:val="auto"/>
        </w:rPr>
        <w:t>p</w:t>
      </w:r>
      <w:r w:rsidR="008E3054" w:rsidRPr="00043334">
        <w:rPr>
          <w:color w:val="auto"/>
        </w:rPr>
        <w:t>’s ≥ .492).</w:t>
      </w:r>
    </w:p>
    <w:p w14:paraId="58CED3FB" w14:textId="6BF2C0BB" w:rsidR="008E3054" w:rsidRPr="00043334" w:rsidRDefault="00E3318E" w:rsidP="00AF194C">
      <w:pPr>
        <w:spacing w:after="0" w:line="360" w:lineRule="auto"/>
        <w:ind w:firstLine="720"/>
        <w:jc w:val="both"/>
        <w:rPr>
          <w:color w:val="auto"/>
        </w:rPr>
      </w:pPr>
      <w:r w:rsidRPr="00043334">
        <w:rPr>
          <w:color w:val="auto"/>
        </w:rPr>
        <w:t>Next,</w:t>
      </w:r>
      <w:r w:rsidR="008E3054" w:rsidRPr="00043334">
        <w:rPr>
          <w:color w:val="auto"/>
        </w:rPr>
        <w:t xml:space="preserve"> we examined the </w:t>
      </w:r>
      <w:r w:rsidRPr="00043334">
        <w:rPr>
          <w:color w:val="auto"/>
        </w:rPr>
        <w:t xml:space="preserve">putative </w:t>
      </w:r>
      <w:r w:rsidR="008E3054" w:rsidRPr="00043334">
        <w:rPr>
          <w:color w:val="auto"/>
        </w:rPr>
        <w:t>group differences in the change in global connectivity (i.e., Δ</w:t>
      </w:r>
      <w:r w:rsidR="00D64453" w:rsidRPr="00043334">
        <w:rPr>
          <w:color w:val="auto"/>
        </w:rPr>
        <w:t>GLC</w:t>
      </w:r>
      <w:r w:rsidR="008E3054" w:rsidRPr="00043334">
        <w:rPr>
          <w:color w:val="auto"/>
        </w:rPr>
        <w:t>).</w:t>
      </w:r>
      <w:r w:rsidR="00E6703C" w:rsidRPr="00043334">
        <w:rPr>
          <w:color w:val="auto"/>
        </w:rPr>
        <w:t xml:space="preserve"> </w:t>
      </w:r>
      <w:r w:rsidR="006F39F4" w:rsidRPr="00043334">
        <w:rPr>
          <w:color w:val="auto"/>
        </w:rPr>
        <w:t xml:space="preserve">Here, we found that </w:t>
      </w:r>
      <w:r w:rsidR="00802841" w:rsidRPr="00043334">
        <w:rPr>
          <w:color w:val="auto"/>
        </w:rPr>
        <w:t xml:space="preserve">TRD participants were characterized by a significantly larger change </w:t>
      </w:r>
      <w:r w:rsidR="00956E58" w:rsidRPr="00043334">
        <w:rPr>
          <w:color w:val="auto"/>
        </w:rPr>
        <w:t xml:space="preserve">in beta3 ΔGLC </w:t>
      </w:r>
      <w:r w:rsidR="00D1487F" w:rsidRPr="00043334">
        <w:rPr>
          <w:color w:val="auto"/>
        </w:rPr>
        <w:t xml:space="preserve">(-0.20 ± 0.40 vs. 0.06 ± 0.57; </w:t>
      </w:r>
      <w:r w:rsidR="00956E58" w:rsidRPr="00043334">
        <w:rPr>
          <w:i/>
          <w:iCs/>
          <w:color w:val="auto"/>
        </w:rPr>
        <w:t>t</w:t>
      </w:r>
      <w:r w:rsidR="00956E58" w:rsidRPr="00043334">
        <w:rPr>
          <w:color w:val="auto"/>
        </w:rPr>
        <w:t xml:space="preserve"> = 2.055, </w:t>
      </w:r>
      <w:r w:rsidR="00956E58" w:rsidRPr="00043334">
        <w:rPr>
          <w:i/>
          <w:iCs/>
          <w:color w:val="auto"/>
        </w:rPr>
        <w:t>p</w:t>
      </w:r>
      <w:r w:rsidR="00956E58" w:rsidRPr="00043334">
        <w:rPr>
          <w:color w:val="auto"/>
        </w:rPr>
        <w:t xml:space="preserve"> = .044)</w:t>
      </w:r>
      <w:r w:rsidR="00D1487F" w:rsidRPr="00043334">
        <w:rPr>
          <w:color w:val="auto"/>
        </w:rPr>
        <w:t xml:space="preserve"> even when controlling for group differences in age (</w:t>
      </w:r>
      <w:r w:rsidR="00D1487F" w:rsidRPr="00043334">
        <w:rPr>
          <w:i/>
          <w:iCs/>
          <w:color w:val="auto"/>
        </w:rPr>
        <w:t>t</w:t>
      </w:r>
      <w:r w:rsidR="00D1487F" w:rsidRPr="00043334">
        <w:rPr>
          <w:color w:val="auto"/>
        </w:rPr>
        <w:t xml:space="preserve"> = 2.068, </w:t>
      </w:r>
      <w:r w:rsidR="00D1487F" w:rsidRPr="00043334">
        <w:rPr>
          <w:i/>
          <w:iCs/>
          <w:color w:val="auto"/>
        </w:rPr>
        <w:t>p</w:t>
      </w:r>
      <w:r w:rsidR="00D1487F" w:rsidRPr="00043334">
        <w:rPr>
          <w:color w:val="auto"/>
        </w:rPr>
        <w:t xml:space="preserve"> = .043); ΔGLC </w:t>
      </w:r>
      <w:r w:rsidR="008E3054" w:rsidRPr="00043334">
        <w:rPr>
          <w:color w:val="auto"/>
        </w:rPr>
        <w:t xml:space="preserve">in all other frequency bands did not differ </w:t>
      </w:r>
      <w:r w:rsidR="003B5782" w:rsidRPr="00043334">
        <w:rPr>
          <w:color w:val="auto"/>
        </w:rPr>
        <w:t xml:space="preserve">significantly </w:t>
      </w:r>
      <w:r w:rsidR="008E3054" w:rsidRPr="00043334">
        <w:rPr>
          <w:color w:val="auto"/>
        </w:rPr>
        <w:t>between groups (</w:t>
      </w:r>
      <w:r w:rsidR="008E3054" w:rsidRPr="00043334">
        <w:rPr>
          <w:i/>
          <w:iCs/>
          <w:color w:val="auto"/>
        </w:rPr>
        <w:t>p</w:t>
      </w:r>
      <w:r w:rsidR="008E3054" w:rsidRPr="00043334">
        <w:rPr>
          <w:color w:val="auto"/>
        </w:rPr>
        <w:t>’s ≥ .082)</w:t>
      </w:r>
      <w:r w:rsidR="00D1487F" w:rsidRPr="00043334">
        <w:rPr>
          <w:color w:val="auto"/>
        </w:rPr>
        <w:t>.</w:t>
      </w:r>
    </w:p>
    <w:p w14:paraId="11A71A94" w14:textId="4B3C1BA3" w:rsidR="008E3054" w:rsidRPr="00043334" w:rsidRDefault="008E3054" w:rsidP="0014781B">
      <w:pPr>
        <w:spacing w:after="200" w:line="360" w:lineRule="auto"/>
        <w:ind w:firstLine="720"/>
        <w:jc w:val="both"/>
        <w:rPr>
          <w:color w:val="auto"/>
        </w:rPr>
      </w:pPr>
      <w:r w:rsidRPr="00043334">
        <w:rPr>
          <w:color w:val="auto"/>
        </w:rPr>
        <w:t>Finally, we examined the between-session differences</w:t>
      </w:r>
      <w:r w:rsidR="00BF6B70" w:rsidRPr="00043334">
        <w:rPr>
          <w:color w:val="auto"/>
        </w:rPr>
        <w:t xml:space="preserve"> in GLC of each participant group. </w:t>
      </w:r>
      <w:r w:rsidR="000646CB" w:rsidRPr="00043334">
        <w:rPr>
          <w:color w:val="auto"/>
        </w:rPr>
        <w:t xml:space="preserve">We observed that HC participants had no significant </w:t>
      </w:r>
      <w:r w:rsidR="00FE3805" w:rsidRPr="00043334">
        <w:rPr>
          <w:color w:val="auto"/>
        </w:rPr>
        <w:t xml:space="preserve">between-session </w:t>
      </w:r>
      <w:r w:rsidR="000646CB" w:rsidRPr="00043334">
        <w:rPr>
          <w:color w:val="auto"/>
        </w:rPr>
        <w:t xml:space="preserve">change in GLC </w:t>
      </w:r>
      <w:r w:rsidR="0014781B" w:rsidRPr="00043334">
        <w:rPr>
          <w:color w:val="auto"/>
        </w:rPr>
        <w:t>regardless of frequency bad</w:t>
      </w:r>
      <w:r w:rsidRPr="00043334">
        <w:rPr>
          <w:color w:val="auto"/>
        </w:rPr>
        <w:t xml:space="preserve"> (</w:t>
      </w:r>
      <w:r w:rsidRPr="00043334">
        <w:rPr>
          <w:i/>
          <w:iCs/>
          <w:color w:val="auto"/>
        </w:rPr>
        <w:t>p</w:t>
      </w:r>
      <w:r w:rsidRPr="00043334">
        <w:rPr>
          <w:color w:val="auto"/>
        </w:rPr>
        <w:t xml:space="preserve">’s ≥ .395). In contrast, </w:t>
      </w:r>
      <w:r w:rsidR="00DB4CFD" w:rsidRPr="00043334">
        <w:rPr>
          <w:color w:val="auto"/>
        </w:rPr>
        <w:t xml:space="preserve">we observed that the GLC of </w:t>
      </w:r>
      <w:r w:rsidRPr="00043334">
        <w:rPr>
          <w:color w:val="auto"/>
        </w:rPr>
        <w:t xml:space="preserve">TRD participants </w:t>
      </w:r>
      <w:r w:rsidR="00DB4CFD" w:rsidRPr="00043334">
        <w:rPr>
          <w:color w:val="auto"/>
        </w:rPr>
        <w:t xml:space="preserve">significantly decreased in the </w:t>
      </w:r>
      <w:r w:rsidRPr="00043334">
        <w:rPr>
          <w:color w:val="auto"/>
        </w:rPr>
        <w:t xml:space="preserve">Theta (6.03 ± 0.84 vs. 5.73 ± 0.82; </w:t>
      </w:r>
      <w:r w:rsidRPr="00043334">
        <w:rPr>
          <w:i/>
          <w:iCs/>
          <w:color w:val="auto"/>
        </w:rPr>
        <w:t xml:space="preserve">t </w:t>
      </w:r>
      <w:r w:rsidRPr="00043334">
        <w:rPr>
          <w:color w:val="auto"/>
        </w:rPr>
        <w:t xml:space="preserve">= -2.55, </w:t>
      </w:r>
      <w:r w:rsidRPr="00043334">
        <w:rPr>
          <w:i/>
          <w:iCs/>
          <w:color w:val="auto"/>
        </w:rPr>
        <w:t>p</w:t>
      </w:r>
      <w:r w:rsidRPr="00043334">
        <w:rPr>
          <w:color w:val="auto"/>
        </w:rPr>
        <w:t xml:space="preserve"> = .018), Beta2 (6.42 ± 0.74 vs. 6.01 ± 0.77; </w:t>
      </w:r>
      <w:r w:rsidRPr="00043334">
        <w:rPr>
          <w:i/>
          <w:iCs/>
          <w:color w:val="auto"/>
        </w:rPr>
        <w:t>t</w:t>
      </w:r>
      <w:r w:rsidRPr="00043334">
        <w:rPr>
          <w:color w:val="auto"/>
        </w:rPr>
        <w:t xml:space="preserve"> = -2.748, </w:t>
      </w:r>
      <w:r w:rsidRPr="00043334">
        <w:rPr>
          <w:i/>
          <w:iCs/>
          <w:color w:val="auto"/>
        </w:rPr>
        <w:t>p</w:t>
      </w:r>
      <w:r w:rsidRPr="00043334">
        <w:rPr>
          <w:color w:val="auto"/>
        </w:rPr>
        <w:t xml:space="preserve"> = .011), and Beta3 (2.71 ± 0.55 vs. 2.51 ± 0.56; </w:t>
      </w:r>
      <w:r w:rsidRPr="00043334">
        <w:rPr>
          <w:i/>
          <w:iCs/>
          <w:color w:val="auto"/>
        </w:rPr>
        <w:t>t</w:t>
      </w:r>
      <w:r w:rsidRPr="00043334">
        <w:rPr>
          <w:color w:val="auto"/>
        </w:rPr>
        <w:t xml:space="preserve"> = -2.406, </w:t>
      </w:r>
      <w:r w:rsidRPr="00043334">
        <w:rPr>
          <w:i/>
          <w:iCs/>
          <w:color w:val="auto"/>
        </w:rPr>
        <w:t>p</w:t>
      </w:r>
      <w:r w:rsidRPr="00043334">
        <w:rPr>
          <w:color w:val="auto"/>
        </w:rPr>
        <w:t xml:space="preserve"> = .025) </w:t>
      </w:r>
      <w:r w:rsidR="00DB4CFD" w:rsidRPr="00043334">
        <w:rPr>
          <w:color w:val="auto"/>
        </w:rPr>
        <w:t>frequency bands</w:t>
      </w:r>
      <w:r w:rsidRPr="00043334">
        <w:rPr>
          <w:color w:val="auto"/>
        </w:rPr>
        <w:t>.</w:t>
      </w:r>
    </w:p>
    <w:p w14:paraId="6216635E" w14:textId="2313E070" w:rsidR="005003E9" w:rsidRPr="00043334" w:rsidRDefault="005003E9">
      <w:pPr>
        <w:spacing w:line="278" w:lineRule="auto"/>
        <w:rPr>
          <w:b/>
          <w:bCs/>
          <w:color w:val="auto"/>
        </w:rPr>
      </w:pPr>
      <w:r w:rsidRPr="00043334">
        <w:rPr>
          <w:b/>
          <w:bCs/>
          <w:color w:val="auto"/>
        </w:rPr>
        <w:br w:type="page"/>
      </w:r>
    </w:p>
    <w:p w14:paraId="49641CC1" w14:textId="52784CC9" w:rsidR="00DD6E8A" w:rsidRPr="00043334" w:rsidRDefault="00BE10DE" w:rsidP="00564BE5">
      <w:pPr>
        <w:jc w:val="center"/>
        <w:rPr>
          <w:b/>
          <w:bCs/>
          <w:color w:val="auto"/>
        </w:rPr>
      </w:pPr>
      <w:r w:rsidRPr="00043334">
        <w:rPr>
          <w:b/>
          <w:bCs/>
          <w:color w:val="auto"/>
        </w:rPr>
        <w:t xml:space="preserve">Supplementary </w:t>
      </w:r>
      <w:r w:rsidR="00564BE5" w:rsidRPr="00043334">
        <w:rPr>
          <w:b/>
          <w:bCs/>
          <w:color w:val="auto"/>
        </w:rPr>
        <w:t>References</w:t>
      </w:r>
    </w:p>
    <w:sdt>
      <w:sdtPr>
        <w:rPr>
          <w:bCs/>
          <w:color w:val="auto"/>
        </w:rPr>
        <w:tag w:val="MENDELEY_BIBLIOGRAPHY"/>
        <w:id w:val="25454118"/>
        <w:placeholder>
          <w:docPart w:val="DefaultPlaceholder_-1854013440"/>
        </w:placeholder>
      </w:sdtPr>
      <w:sdtEndPr/>
      <w:sdtContent>
        <w:p w14:paraId="5B0C375B" w14:textId="77777777" w:rsidR="00831CCE" w:rsidRPr="00043334" w:rsidRDefault="00831CCE">
          <w:pPr>
            <w:autoSpaceDE w:val="0"/>
            <w:autoSpaceDN w:val="0"/>
            <w:ind w:hanging="640"/>
            <w:divId w:val="20714022"/>
            <w:rPr>
              <w:rFonts w:eastAsia="Times New Roman"/>
              <w:color w:val="auto"/>
              <w:kern w:val="0"/>
              <w14:ligatures w14:val="none"/>
            </w:rPr>
          </w:pPr>
          <w:r w:rsidRPr="00043334">
            <w:rPr>
              <w:rFonts w:eastAsia="Times New Roman"/>
              <w:color w:val="auto"/>
            </w:rPr>
            <w:t xml:space="preserve">1. </w:t>
          </w:r>
          <w:r w:rsidRPr="00043334">
            <w:rPr>
              <w:rFonts w:eastAsia="Times New Roman"/>
              <w:color w:val="auto"/>
            </w:rPr>
            <w:tab/>
            <w:t>Hamilton M. A rating scale for Depression. J Neurol Neurosurg Psychiatry. 1960;23:56–62.</w:t>
          </w:r>
        </w:p>
        <w:p w14:paraId="7EB49677" w14:textId="77777777" w:rsidR="00831CCE" w:rsidRPr="00043334" w:rsidRDefault="00831CCE">
          <w:pPr>
            <w:autoSpaceDE w:val="0"/>
            <w:autoSpaceDN w:val="0"/>
            <w:ind w:hanging="640"/>
            <w:divId w:val="1575629134"/>
            <w:rPr>
              <w:rFonts w:eastAsia="Times New Roman"/>
              <w:color w:val="auto"/>
            </w:rPr>
          </w:pPr>
          <w:r w:rsidRPr="00043334">
            <w:rPr>
              <w:rFonts w:eastAsia="Times New Roman"/>
              <w:color w:val="auto"/>
            </w:rPr>
            <w:t xml:space="preserve">2. </w:t>
          </w:r>
          <w:r w:rsidRPr="00043334">
            <w:rPr>
              <w:rFonts w:eastAsia="Times New Roman"/>
              <w:color w:val="auto"/>
            </w:rPr>
            <w:tab/>
            <w:t>Clark LA, Watson D. Tripartite model of anxiety and depression: Psychometric evidence and taxonomic implications. J Abnorm Psychol. 1991;100:316–336.</w:t>
          </w:r>
        </w:p>
        <w:p w14:paraId="70FD4F75" w14:textId="77777777" w:rsidR="00831CCE" w:rsidRPr="00043334" w:rsidRDefault="00831CCE">
          <w:pPr>
            <w:autoSpaceDE w:val="0"/>
            <w:autoSpaceDN w:val="0"/>
            <w:ind w:hanging="640"/>
            <w:divId w:val="1165977880"/>
            <w:rPr>
              <w:rFonts w:eastAsia="Times New Roman"/>
              <w:color w:val="auto"/>
            </w:rPr>
          </w:pPr>
          <w:r w:rsidRPr="00043334">
            <w:rPr>
              <w:rFonts w:eastAsia="Times New Roman"/>
              <w:color w:val="auto"/>
            </w:rPr>
            <w:t xml:space="preserve">3. </w:t>
          </w:r>
          <w:r w:rsidRPr="00043334">
            <w:rPr>
              <w:rFonts w:eastAsia="Times New Roman"/>
              <w:color w:val="auto"/>
            </w:rPr>
            <w:tab/>
            <w:t>Rush AJ, Trivedi MH, Ibrahim HM, Carmody TJ, Arnow B, Klein DN, et al. The 16-Item quick inventory of depressive symptomatology (QIDS), clinician rating (QIDS-C), and self-report (QIDS-SR): a psychometric evaluation in patients with chronic major depression. Biol Psychiatry. 2003;54:573–583.</w:t>
          </w:r>
        </w:p>
        <w:p w14:paraId="40DE4200" w14:textId="77777777" w:rsidR="00831CCE" w:rsidRPr="00043334" w:rsidRDefault="00831CCE">
          <w:pPr>
            <w:autoSpaceDE w:val="0"/>
            <w:autoSpaceDN w:val="0"/>
            <w:ind w:hanging="640"/>
            <w:divId w:val="230122492"/>
            <w:rPr>
              <w:rFonts w:eastAsia="Times New Roman"/>
              <w:color w:val="auto"/>
            </w:rPr>
          </w:pPr>
          <w:r w:rsidRPr="00043334">
            <w:rPr>
              <w:rFonts w:eastAsia="Times New Roman"/>
              <w:color w:val="auto"/>
            </w:rPr>
            <w:t xml:space="preserve">4. </w:t>
          </w:r>
          <w:r w:rsidRPr="00043334">
            <w:rPr>
              <w:rFonts w:eastAsia="Times New Roman"/>
              <w:color w:val="auto"/>
            </w:rPr>
            <w:tab/>
            <w:t>Snaith RP, Hamilton M, Morley S, Humayan A, Hargreaves D, Trigwell P. A Scale for the Assessment of Hedonic Tone the Snaith–Hamilton Pleasure Scale. British Journal of Psychiatry. 1995;167:99–103.</w:t>
          </w:r>
        </w:p>
        <w:p w14:paraId="2996D5A4" w14:textId="77777777" w:rsidR="00831CCE" w:rsidRPr="00043334" w:rsidRDefault="00831CCE">
          <w:pPr>
            <w:autoSpaceDE w:val="0"/>
            <w:autoSpaceDN w:val="0"/>
            <w:ind w:hanging="640"/>
            <w:divId w:val="1234589268"/>
            <w:rPr>
              <w:rFonts w:eastAsia="Times New Roman"/>
              <w:color w:val="auto"/>
              <w:lang w:val="fr-FR"/>
            </w:rPr>
          </w:pPr>
          <w:r w:rsidRPr="00043334">
            <w:rPr>
              <w:rFonts w:eastAsia="Times New Roman"/>
              <w:color w:val="auto"/>
            </w:rPr>
            <w:t xml:space="preserve">5. </w:t>
          </w:r>
          <w:r w:rsidRPr="00043334">
            <w:rPr>
              <w:rFonts w:eastAsia="Times New Roman"/>
              <w:color w:val="auto"/>
            </w:rPr>
            <w:tab/>
            <w:t xml:space="preserve">Nolen-Hoeksema S, Morrow J. A prospective study of depression and posttraumatic stress symptoms after a natural disaster: The 1989 Loma Prieta earthquake. </w:t>
          </w:r>
          <w:r w:rsidRPr="00043334">
            <w:rPr>
              <w:rFonts w:eastAsia="Times New Roman"/>
              <w:color w:val="auto"/>
              <w:lang w:val="fr-FR"/>
            </w:rPr>
            <w:t>J Pers Soc Psychol. 1991;61:115–121.</w:t>
          </w:r>
        </w:p>
        <w:p w14:paraId="1A8EADAD" w14:textId="77777777" w:rsidR="00831CCE" w:rsidRPr="00043334" w:rsidRDefault="00831CCE">
          <w:pPr>
            <w:autoSpaceDE w:val="0"/>
            <w:autoSpaceDN w:val="0"/>
            <w:ind w:hanging="640"/>
            <w:divId w:val="1962229622"/>
            <w:rPr>
              <w:rFonts w:eastAsia="Times New Roman"/>
              <w:color w:val="auto"/>
            </w:rPr>
          </w:pPr>
          <w:r w:rsidRPr="00043334">
            <w:rPr>
              <w:rFonts w:eastAsia="Times New Roman"/>
              <w:color w:val="auto"/>
              <w:lang w:val="fr-FR"/>
            </w:rPr>
            <w:t xml:space="preserve">6. </w:t>
          </w:r>
          <w:r w:rsidRPr="00043334">
            <w:rPr>
              <w:rFonts w:eastAsia="Times New Roman"/>
              <w:color w:val="auto"/>
              <w:lang w:val="fr-FR"/>
            </w:rPr>
            <w:tab/>
            <w:t xml:space="preserve">Pascual-Marqui RD, Lehmann D, Koukkou M, Kochi K, Anderer P, Saletu B, et al. </w:t>
          </w:r>
          <w:r w:rsidRPr="00043334">
            <w:rPr>
              <w:rFonts w:eastAsia="Times New Roman"/>
              <w:color w:val="auto"/>
            </w:rPr>
            <w:t>Assessing interactions in the brain with exact low-resolution electromagnetic tomography. Philosophical Transactions of the Royal Society A: Mathematical, Physical and Engineering Sciences. 2011;369:3768–3784.</w:t>
          </w:r>
        </w:p>
        <w:p w14:paraId="0069FA3F" w14:textId="6EA9890E" w:rsidR="00564BE5" w:rsidRPr="00043334" w:rsidRDefault="00831CCE" w:rsidP="00564BE5">
          <w:pPr>
            <w:rPr>
              <w:b/>
              <w:bCs/>
              <w:color w:val="auto"/>
            </w:rPr>
          </w:pPr>
          <w:r w:rsidRPr="00043334">
            <w:rPr>
              <w:rFonts w:eastAsia="Times New Roman"/>
              <w:color w:val="auto"/>
            </w:rPr>
            <w:t> </w:t>
          </w:r>
        </w:p>
      </w:sdtContent>
    </w:sdt>
    <w:sectPr w:rsidR="00564BE5" w:rsidRPr="00043334" w:rsidSect="00DD6E8A">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41376" w14:textId="77777777" w:rsidR="00131088" w:rsidRDefault="00131088">
      <w:pPr>
        <w:spacing w:after="0" w:line="240" w:lineRule="auto"/>
      </w:pPr>
      <w:r>
        <w:separator/>
      </w:r>
    </w:p>
  </w:endnote>
  <w:endnote w:type="continuationSeparator" w:id="0">
    <w:p w14:paraId="0E7FFCEE" w14:textId="77777777" w:rsidR="00131088" w:rsidRDefault="00131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0392610"/>
      <w:docPartObj>
        <w:docPartGallery w:val="Page Numbers (Bottom of Page)"/>
        <w:docPartUnique/>
      </w:docPartObj>
    </w:sdtPr>
    <w:sdtEndPr>
      <w:rPr>
        <w:noProof/>
      </w:rPr>
    </w:sdtEndPr>
    <w:sdtContent>
      <w:p w14:paraId="2CD14C1C" w14:textId="77777777" w:rsidR="002B53C7" w:rsidRPr="00F93A66" w:rsidRDefault="004E6A9B">
        <w:pPr>
          <w:pStyle w:val="Footer"/>
          <w:jc w:val="right"/>
        </w:pPr>
        <w:r w:rsidRPr="00F93A66">
          <w:fldChar w:fldCharType="begin"/>
        </w:r>
        <w:r w:rsidRPr="00F93A66">
          <w:instrText xml:space="preserve"> PAGE   \* MERGEFORMAT </w:instrText>
        </w:r>
        <w:r w:rsidRPr="00F93A66">
          <w:fldChar w:fldCharType="separate"/>
        </w:r>
        <w:r w:rsidRPr="00F93A66">
          <w:rPr>
            <w:noProof/>
          </w:rPr>
          <w:t>2</w:t>
        </w:r>
        <w:r w:rsidRPr="00F93A66">
          <w:rPr>
            <w:noProof/>
          </w:rPr>
          <w:fldChar w:fldCharType="end"/>
        </w:r>
      </w:p>
    </w:sdtContent>
  </w:sdt>
  <w:p w14:paraId="7461AAEE" w14:textId="77777777" w:rsidR="002B53C7" w:rsidRDefault="002B53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30007" w14:textId="77777777" w:rsidR="00131088" w:rsidRDefault="00131088">
      <w:pPr>
        <w:spacing w:after="0" w:line="240" w:lineRule="auto"/>
      </w:pPr>
      <w:r>
        <w:separator/>
      </w:r>
    </w:p>
  </w:footnote>
  <w:footnote w:type="continuationSeparator" w:id="0">
    <w:p w14:paraId="07C99847" w14:textId="77777777" w:rsidR="00131088" w:rsidRDefault="001310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97E"/>
    <w:multiLevelType w:val="hybridMultilevel"/>
    <w:tmpl w:val="194CC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3B3E20"/>
    <w:multiLevelType w:val="hybridMultilevel"/>
    <w:tmpl w:val="FC142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D9689D"/>
    <w:multiLevelType w:val="hybridMultilevel"/>
    <w:tmpl w:val="42345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FD6136"/>
    <w:multiLevelType w:val="hybridMultilevel"/>
    <w:tmpl w:val="3B0ED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3820146">
    <w:abstractNumId w:val="0"/>
  </w:num>
  <w:num w:numId="2" w16cid:durableId="1584029392">
    <w:abstractNumId w:val="2"/>
  </w:num>
  <w:num w:numId="3" w16cid:durableId="52429836">
    <w:abstractNumId w:val="1"/>
  </w:num>
  <w:num w:numId="4" w16cid:durableId="694730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E8A"/>
    <w:rsid w:val="0001439E"/>
    <w:rsid w:val="00035040"/>
    <w:rsid w:val="00043334"/>
    <w:rsid w:val="00043D51"/>
    <w:rsid w:val="00050354"/>
    <w:rsid w:val="0006269B"/>
    <w:rsid w:val="000646CB"/>
    <w:rsid w:val="00065A3E"/>
    <w:rsid w:val="000674D1"/>
    <w:rsid w:val="00082B8C"/>
    <w:rsid w:val="000C7DC5"/>
    <w:rsid w:val="000D5E8F"/>
    <w:rsid w:val="00131088"/>
    <w:rsid w:val="0014781B"/>
    <w:rsid w:val="001D5C6E"/>
    <w:rsid w:val="001D6DDF"/>
    <w:rsid w:val="00205EDD"/>
    <w:rsid w:val="002151A6"/>
    <w:rsid w:val="002550FB"/>
    <w:rsid w:val="002606A1"/>
    <w:rsid w:val="002B53C7"/>
    <w:rsid w:val="002D203F"/>
    <w:rsid w:val="002D784A"/>
    <w:rsid w:val="002E1773"/>
    <w:rsid w:val="003078D3"/>
    <w:rsid w:val="003201A0"/>
    <w:rsid w:val="00323B70"/>
    <w:rsid w:val="003617B0"/>
    <w:rsid w:val="00373693"/>
    <w:rsid w:val="00376D33"/>
    <w:rsid w:val="00384991"/>
    <w:rsid w:val="003B5782"/>
    <w:rsid w:val="003C7B9F"/>
    <w:rsid w:val="003F093D"/>
    <w:rsid w:val="003F750E"/>
    <w:rsid w:val="00401DE5"/>
    <w:rsid w:val="00427E8A"/>
    <w:rsid w:val="00427FEA"/>
    <w:rsid w:val="00445918"/>
    <w:rsid w:val="004A580F"/>
    <w:rsid w:val="004E03E4"/>
    <w:rsid w:val="004E6A9B"/>
    <w:rsid w:val="004F21FB"/>
    <w:rsid w:val="005003E9"/>
    <w:rsid w:val="00506669"/>
    <w:rsid w:val="0051151B"/>
    <w:rsid w:val="00513963"/>
    <w:rsid w:val="00515FB5"/>
    <w:rsid w:val="0052758E"/>
    <w:rsid w:val="00564BE5"/>
    <w:rsid w:val="00565A9A"/>
    <w:rsid w:val="005B049E"/>
    <w:rsid w:val="005E0927"/>
    <w:rsid w:val="005E66C4"/>
    <w:rsid w:val="006166EA"/>
    <w:rsid w:val="006D00C1"/>
    <w:rsid w:val="006D3C70"/>
    <w:rsid w:val="006E7483"/>
    <w:rsid w:val="006F39F4"/>
    <w:rsid w:val="00725E75"/>
    <w:rsid w:val="0075027E"/>
    <w:rsid w:val="007A0B1B"/>
    <w:rsid w:val="00802841"/>
    <w:rsid w:val="0082500C"/>
    <w:rsid w:val="008266E9"/>
    <w:rsid w:val="00831CCE"/>
    <w:rsid w:val="00860857"/>
    <w:rsid w:val="008636A6"/>
    <w:rsid w:val="008C606B"/>
    <w:rsid w:val="008E3054"/>
    <w:rsid w:val="008F2F1E"/>
    <w:rsid w:val="00936802"/>
    <w:rsid w:val="009526BD"/>
    <w:rsid w:val="00956E58"/>
    <w:rsid w:val="0095739D"/>
    <w:rsid w:val="009655C6"/>
    <w:rsid w:val="00970223"/>
    <w:rsid w:val="0097380E"/>
    <w:rsid w:val="009C4110"/>
    <w:rsid w:val="009D1827"/>
    <w:rsid w:val="009F3D7B"/>
    <w:rsid w:val="009F5030"/>
    <w:rsid w:val="00A055E4"/>
    <w:rsid w:val="00A20C40"/>
    <w:rsid w:val="00A373DE"/>
    <w:rsid w:val="00A544F8"/>
    <w:rsid w:val="00AB6DFA"/>
    <w:rsid w:val="00AD0DE6"/>
    <w:rsid w:val="00AE30DD"/>
    <w:rsid w:val="00AF194C"/>
    <w:rsid w:val="00AF7932"/>
    <w:rsid w:val="00B12013"/>
    <w:rsid w:val="00B158CF"/>
    <w:rsid w:val="00B406FC"/>
    <w:rsid w:val="00B468EB"/>
    <w:rsid w:val="00B72C21"/>
    <w:rsid w:val="00B8055A"/>
    <w:rsid w:val="00B849F5"/>
    <w:rsid w:val="00BB6281"/>
    <w:rsid w:val="00BE10DE"/>
    <w:rsid w:val="00BE35C5"/>
    <w:rsid w:val="00BE377F"/>
    <w:rsid w:val="00BF13A0"/>
    <w:rsid w:val="00BF2EA6"/>
    <w:rsid w:val="00BF6B70"/>
    <w:rsid w:val="00C61B33"/>
    <w:rsid w:val="00C7577A"/>
    <w:rsid w:val="00CA14A5"/>
    <w:rsid w:val="00CB0659"/>
    <w:rsid w:val="00CB28F9"/>
    <w:rsid w:val="00CB3A45"/>
    <w:rsid w:val="00CD04FC"/>
    <w:rsid w:val="00D1487F"/>
    <w:rsid w:val="00D25176"/>
    <w:rsid w:val="00D32BAD"/>
    <w:rsid w:val="00D64453"/>
    <w:rsid w:val="00DA7303"/>
    <w:rsid w:val="00DB4CFD"/>
    <w:rsid w:val="00DC3454"/>
    <w:rsid w:val="00DD6E8A"/>
    <w:rsid w:val="00E061D0"/>
    <w:rsid w:val="00E24F6F"/>
    <w:rsid w:val="00E3318E"/>
    <w:rsid w:val="00E44CE7"/>
    <w:rsid w:val="00E615FE"/>
    <w:rsid w:val="00E6703C"/>
    <w:rsid w:val="00E9500E"/>
    <w:rsid w:val="00F05C40"/>
    <w:rsid w:val="00F42B51"/>
    <w:rsid w:val="00F91FB3"/>
    <w:rsid w:val="00FA5F26"/>
    <w:rsid w:val="00FD339A"/>
    <w:rsid w:val="00FE3805"/>
    <w:rsid w:val="00FE50A7"/>
    <w:rsid w:val="00FF1F91"/>
    <w:rsid w:val="00FF6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69327"/>
  <w15:chartTrackingRefBased/>
  <w15:docId w15:val="{38FD5167-BF87-415F-8D73-4CB51FB62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E8A"/>
    <w:pPr>
      <w:spacing w:line="259" w:lineRule="auto"/>
    </w:pPr>
    <w:rPr>
      <w:rFonts w:ascii="Times New Roman" w:hAnsi="Times New Roman" w:cs="Times New Roman"/>
      <w:color w:val="000000"/>
    </w:rPr>
  </w:style>
  <w:style w:type="paragraph" w:styleId="Heading1">
    <w:name w:val="heading 1"/>
    <w:basedOn w:val="Normal"/>
    <w:next w:val="Normal"/>
    <w:link w:val="Heading1Char"/>
    <w:uiPriority w:val="9"/>
    <w:qFormat/>
    <w:rsid w:val="00DD6E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6E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6E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6E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6E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6E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6E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6E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6E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E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6E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6E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6E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6E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6E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6E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6E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6E8A"/>
    <w:rPr>
      <w:rFonts w:eastAsiaTheme="majorEastAsia" w:cstheme="majorBidi"/>
      <w:color w:val="272727" w:themeColor="text1" w:themeTint="D8"/>
    </w:rPr>
  </w:style>
  <w:style w:type="paragraph" w:styleId="Title">
    <w:name w:val="Title"/>
    <w:basedOn w:val="Normal"/>
    <w:next w:val="Normal"/>
    <w:link w:val="TitleChar"/>
    <w:uiPriority w:val="10"/>
    <w:qFormat/>
    <w:rsid w:val="00DD6E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6E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6E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6E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6E8A"/>
    <w:pPr>
      <w:spacing w:before="160"/>
      <w:jc w:val="center"/>
    </w:pPr>
    <w:rPr>
      <w:i/>
      <w:iCs/>
      <w:color w:val="404040" w:themeColor="text1" w:themeTint="BF"/>
    </w:rPr>
  </w:style>
  <w:style w:type="character" w:customStyle="1" w:styleId="QuoteChar">
    <w:name w:val="Quote Char"/>
    <w:basedOn w:val="DefaultParagraphFont"/>
    <w:link w:val="Quote"/>
    <w:uiPriority w:val="29"/>
    <w:rsid w:val="00DD6E8A"/>
    <w:rPr>
      <w:i/>
      <w:iCs/>
      <w:color w:val="404040" w:themeColor="text1" w:themeTint="BF"/>
    </w:rPr>
  </w:style>
  <w:style w:type="paragraph" w:styleId="ListParagraph">
    <w:name w:val="List Paragraph"/>
    <w:basedOn w:val="Normal"/>
    <w:uiPriority w:val="34"/>
    <w:qFormat/>
    <w:rsid w:val="00DD6E8A"/>
    <w:pPr>
      <w:ind w:left="720"/>
      <w:contextualSpacing/>
    </w:pPr>
  </w:style>
  <w:style w:type="character" w:styleId="IntenseEmphasis">
    <w:name w:val="Intense Emphasis"/>
    <w:basedOn w:val="DefaultParagraphFont"/>
    <w:uiPriority w:val="21"/>
    <w:qFormat/>
    <w:rsid w:val="00DD6E8A"/>
    <w:rPr>
      <w:i/>
      <w:iCs/>
      <w:color w:val="0F4761" w:themeColor="accent1" w:themeShade="BF"/>
    </w:rPr>
  </w:style>
  <w:style w:type="paragraph" w:styleId="IntenseQuote">
    <w:name w:val="Intense Quote"/>
    <w:basedOn w:val="Normal"/>
    <w:next w:val="Normal"/>
    <w:link w:val="IntenseQuoteChar"/>
    <w:uiPriority w:val="30"/>
    <w:qFormat/>
    <w:rsid w:val="00DD6E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6E8A"/>
    <w:rPr>
      <w:i/>
      <w:iCs/>
      <w:color w:val="0F4761" w:themeColor="accent1" w:themeShade="BF"/>
    </w:rPr>
  </w:style>
  <w:style w:type="character" w:styleId="IntenseReference">
    <w:name w:val="Intense Reference"/>
    <w:basedOn w:val="DefaultParagraphFont"/>
    <w:uiPriority w:val="32"/>
    <w:qFormat/>
    <w:rsid w:val="00DD6E8A"/>
    <w:rPr>
      <w:b/>
      <w:bCs/>
      <w:smallCaps/>
      <w:color w:val="0F4761" w:themeColor="accent1" w:themeShade="BF"/>
      <w:spacing w:val="5"/>
    </w:rPr>
  </w:style>
  <w:style w:type="character" w:styleId="CommentReference">
    <w:name w:val="annotation reference"/>
    <w:basedOn w:val="DefaultParagraphFont"/>
    <w:uiPriority w:val="99"/>
    <w:semiHidden/>
    <w:unhideWhenUsed/>
    <w:rsid w:val="00DD6E8A"/>
    <w:rPr>
      <w:sz w:val="16"/>
      <w:szCs w:val="16"/>
    </w:rPr>
  </w:style>
  <w:style w:type="paragraph" w:styleId="CommentText">
    <w:name w:val="annotation text"/>
    <w:basedOn w:val="Normal"/>
    <w:link w:val="CommentTextChar"/>
    <w:uiPriority w:val="99"/>
    <w:unhideWhenUsed/>
    <w:rsid w:val="00DD6E8A"/>
    <w:pPr>
      <w:spacing w:line="240" w:lineRule="auto"/>
    </w:pPr>
    <w:rPr>
      <w:sz w:val="20"/>
      <w:szCs w:val="20"/>
    </w:rPr>
  </w:style>
  <w:style w:type="character" w:customStyle="1" w:styleId="CommentTextChar">
    <w:name w:val="Comment Text Char"/>
    <w:basedOn w:val="DefaultParagraphFont"/>
    <w:link w:val="CommentText"/>
    <w:uiPriority w:val="99"/>
    <w:rsid w:val="00DD6E8A"/>
    <w:rPr>
      <w:rFonts w:ascii="Times New Roman" w:hAnsi="Times New Roman" w:cs="Times New Roman"/>
      <w:color w:val="000000"/>
      <w:sz w:val="20"/>
      <w:szCs w:val="20"/>
    </w:rPr>
  </w:style>
  <w:style w:type="paragraph" w:styleId="Footer">
    <w:name w:val="footer"/>
    <w:basedOn w:val="Normal"/>
    <w:link w:val="FooterChar"/>
    <w:uiPriority w:val="99"/>
    <w:unhideWhenUsed/>
    <w:rsid w:val="00DD6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E8A"/>
    <w:rPr>
      <w:rFonts w:ascii="Times New Roman" w:hAnsi="Times New Roman" w:cs="Times New Roman"/>
      <w:color w:val="000000"/>
    </w:rPr>
  </w:style>
  <w:style w:type="table" w:styleId="TableGrid">
    <w:name w:val="Table Grid"/>
    <w:basedOn w:val="TableNormal"/>
    <w:uiPriority w:val="39"/>
    <w:rsid w:val="00DD6E8A"/>
    <w:pPr>
      <w:spacing w:after="0" w:line="240" w:lineRule="auto"/>
    </w:pPr>
    <w:rPr>
      <w:rFonts w:ascii="Times New Roman" w:hAnsi="Times New Roman" w:cs="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D6E8A"/>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564BE5"/>
    <w:rPr>
      <w:color w:val="666666"/>
    </w:rPr>
  </w:style>
  <w:style w:type="paragraph" w:styleId="CommentSubject">
    <w:name w:val="annotation subject"/>
    <w:basedOn w:val="CommentText"/>
    <w:next w:val="CommentText"/>
    <w:link w:val="CommentSubjectChar"/>
    <w:uiPriority w:val="99"/>
    <w:semiHidden/>
    <w:unhideWhenUsed/>
    <w:rsid w:val="00AB6DFA"/>
    <w:rPr>
      <w:b/>
      <w:bCs/>
    </w:rPr>
  </w:style>
  <w:style w:type="character" w:customStyle="1" w:styleId="CommentSubjectChar">
    <w:name w:val="Comment Subject Char"/>
    <w:basedOn w:val="CommentTextChar"/>
    <w:link w:val="CommentSubject"/>
    <w:uiPriority w:val="99"/>
    <w:semiHidden/>
    <w:rsid w:val="00AB6DFA"/>
    <w:rPr>
      <w:rFonts w:ascii="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434864">
      <w:bodyDiv w:val="1"/>
      <w:marLeft w:val="0"/>
      <w:marRight w:val="0"/>
      <w:marTop w:val="0"/>
      <w:marBottom w:val="0"/>
      <w:divBdr>
        <w:top w:val="none" w:sz="0" w:space="0" w:color="auto"/>
        <w:left w:val="none" w:sz="0" w:space="0" w:color="auto"/>
        <w:bottom w:val="none" w:sz="0" w:space="0" w:color="auto"/>
        <w:right w:val="none" w:sz="0" w:space="0" w:color="auto"/>
      </w:divBdr>
    </w:div>
    <w:div w:id="298458287">
      <w:bodyDiv w:val="1"/>
      <w:marLeft w:val="0"/>
      <w:marRight w:val="0"/>
      <w:marTop w:val="0"/>
      <w:marBottom w:val="0"/>
      <w:divBdr>
        <w:top w:val="none" w:sz="0" w:space="0" w:color="auto"/>
        <w:left w:val="none" w:sz="0" w:space="0" w:color="auto"/>
        <w:bottom w:val="none" w:sz="0" w:space="0" w:color="auto"/>
        <w:right w:val="none" w:sz="0" w:space="0" w:color="auto"/>
      </w:divBdr>
      <w:divsChild>
        <w:div w:id="670916427">
          <w:marLeft w:val="640"/>
          <w:marRight w:val="0"/>
          <w:marTop w:val="0"/>
          <w:marBottom w:val="0"/>
          <w:divBdr>
            <w:top w:val="none" w:sz="0" w:space="0" w:color="auto"/>
            <w:left w:val="none" w:sz="0" w:space="0" w:color="auto"/>
            <w:bottom w:val="none" w:sz="0" w:space="0" w:color="auto"/>
            <w:right w:val="none" w:sz="0" w:space="0" w:color="auto"/>
          </w:divBdr>
        </w:div>
        <w:div w:id="686559418">
          <w:marLeft w:val="640"/>
          <w:marRight w:val="0"/>
          <w:marTop w:val="0"/>
          <w:marBottom w:val="0"/>
          <w:divBdr>
            <w:top w:val="none" w:sz="0" w:space="0" w:color="auto"/>
            <w:left w:val="none" w:sz="0" w:space="0" w:color="auto"/>
            <w:bottom w:val="none" w:sz="0" w:space="0" w:color="auto"/>
            <w:right w:val="none" w:sz="0" w:space="0" w:color="auto"/>
          </w:divBdr>
        </w:div>
        <w:div w:id="1444036776">
          <w:marLeft w:val="640"/>
          <w:marRight w:val="0"/>
          <w:marTop w:val="0"/>
          <w:marBottom w:val="0"/>
          <w:divBdr>
            <w:top w:val="none" w:sz="0" w:space="0" w:color="auto"/>
            <w:left w:val="none" w:sz="0" w:space="0" w:color="auto"/>
            <w:bottom w:val="none" w:sz="0" w:space="0" w:color="auto"/>
            <w:right w:val="none" w:sz="0" w:space="0" w:color="auto"/>
          </w:divBdr>
        </w:div>
        <w:div w:id="20206008">
          <w:marLeft w:val="640"/>
          <w:marRight w:val="0"/>
          <w:marTop w:val="0"/>
          <w:marBottom w:val="0"/>
          <w:divBdr>
            <w:top w:val="none" w:sz="0" w:space="0" w:color="auto"/>
            <w:left w:val="none" w:sz="0" w:space="0" w:color="auto"/>
            <w:bottom w:val="none" w:sz="0" w:space="0" w:color="auto"/>
            <w:right w:val="none" w:sz="0" w:space="0" w:color="auto"/>
          </w:divBdr>
        </w:div>
        <w:div w:id="1966541467">
          <w:marLeft w:val="640"/>
          <w:marRight w:val="0"/>
          <w:marTop w:val="0"/>
          <w:marBottom w:val="0"/>
          <w:divBdr>
            <w:top w:val="none" w:sz="0" w:space="0" w:color="auto"/>
            <w:left w:val="none" w:sz="0" w:space="0" w:color="auto"/>
            <w:bottom w:val="none" w:sz="0" w:space="0" w:color="auto"/>
            <w:right w:val="none" w:sz="0" w:space="0" w:color="auto"/>
          </w:divBdr>
        </w:div>
        <w:div w:id="1917015100">
          <w:marLeft w:val="640"/>
          <w:marRight w:val="0"/>
          <w:marTop w:val="0"/>
          <w:marBottom w:val="0"/>
          <w:divBdr>
            <w:top w:val="none" w:sz="0" w:space="0" w:color="auto"/>
            <w:left w:val="none" w:sz="0" w:space="0" w:color="auto"/>
            <w:bottom w:val="none" w:sz="0" w:space="0" w:color="auto"/>
            <w:right w:val="none" w:sz="0" w:space="0" w:color="auto"/>
          </w:divBdr>
        </w:div>
      </w:divsChild>
    </w:div>
    <w:div w:id="505362743">
      <w:bodyDiv w:val="1"/>
      <w:marLeft w:val="0"/>
      <w:marRight w:val="0"/>
      <w:marTop w:val="0"/>
      <w:marBottom w:val="0"/>
      <w:divBdr>
        <w:top w:val="none" w:sz="0" w:space="0" w:color="auto"/>
        <w:left w:val="none" w:sz="0" w:space="0" w:color="auto"/>
        <w:bottom w:val="none" w:sz="0" w:space="0" w:color="auto"/>
        <w:right w:val="none" w:sz="0" w:space="0" w:color="auto"/>
      </w:divBdr>
      <w:divsChild>
        <w:div w:id="20714022">
          <w:marLeft w:val="640"/>
          <w:marRight w:val="0"/>
          <w:marTop w:val="0"/>
          <w:marBottom w:val="0"/>
          <w:divBdr>
            <w:top w:val="none" w:sz="0" w:space="0" w:color="auto"/>
            <w:left w:val="none" w:sz="0" w:space="0" w:color="auto"/>
            <w:bottom w:val="none" w:sz="0" w:space="0" w:color="auto"/>
            <w:right w:val="none" w:sz="0" w:space="0" w:color="auto"/>
          </w:divBdr>
        </w:div>
        <w:div w:id="1575629134">
          <w:marLeft w:val="640"/>
          <w:marRight w:val="0"/>
          <w:marTop w:val="0"/>
          <w:marBottom w:val="0"/>
          <w:divBdr>
            <w:top w:val="none" w:sz="0" w:space="0" w:color="auto"/>
            <w:left w:val="none" w:sz="0" w:space="0" w:color="auto"/>
            <w:bottom w:val="none" w:sz="0" w:space="0" w:color="auto"/>
            <w:right w:val="none" w:sz="0" w:space="0" w:color="auto"/>
          </w:divBdr>
        </w:div>
        <w:div w:id="1165977880">
          <w:marLeft w:val="640"/>
          <w:marRight w:val="0"/>
          <w:marTop w:val="0"/>
          <w:marBottom w:val="0"/>
          <w:divBdr>
            <w:top w:val="none" w:sz="0" w:space="0" w:color="auto"/>
            <w:left w:val="none" w:sz="0" w:space="0" w:color="auto"/>
            <w:bottom w:val="none" w:sz="0" w:space="0" w:color="auto"/>
            <w:right w:val="none" w:sz="0" w:space="0" w:color="auto"/>
          </w:divBdr>
        </w:div>
        <w:div w:id="230122492">
          <w:marLeft w:val="640"/>
          <w:marRight w:val="0"/>
          <w:marTop w:val="0"/>
          <w:marBottom w:val="0"/>
          <w:divBdr>
            <w:top w:val="none" w:sz="0" w:space="0" w:color="auto"/>
            <w:left w:val="none" w:sz="0" w:space="0" w:color="auto"/>
            <w:bottom w:val="none" w:sz="0" w:space="0" w:color="auto"/>
            <w:right w:val="none" w:sz="0" w:space="0" w:color="auto"/>
          </w:divBdr>
        </w:div>
        <w:div w:id="1234589268">
          <w:marLeft w:val="640"/>
          <w:marRight w:val="0"/>
          <w:marTop w:val="0"/>
          <w:marBottom w:val="0"/>
          <w:divBdr>
            <w:top w:val="none" w:sz="0" w:space="0" w:color="auto"/>
            <w:left w:val="none" w:sz="0" w:space="0" w:color="auto"/>
            <w:bottom w:val="none" w:sz="0" w:space="0" w:color="auto"/>
            <w:right w:val="none" w:sz="0" w:space="0" w:color="auto"/>
          </w:divBdr>
        </w:div>
        <w:div w:id="1962229622">
          <w:marLeft w:val="640"/>
          <w:marRight w:val="0"/>
          <w:marTop w:val="0"/>
          <w:marBottom w:val="0"/>
          <w:divBdr>
            <w:top w:val="none" w:sz="0" w:space="0" w:color="auto"/>
            <w:left w:val="none" w:sz="0" w:space="0" w:color="auto"/>
            <w:bottom w:val="none" w:sz="0" w:space="0" w:color="auto"/>
            <w:right w:val="none" w:sz="0" w:space="0" w:color="auto"/>
          </w:divBdr>
        </w:div>
      </w:divsChild>
    </w:div>
    <w:div w:id="980113045">
      <w:bodyDiv w:val="1"/>
      <w:marLeft w:val="0"/>
      <w:marRight w:val="0"/>
      <w:marTop w:val="0"/>
      <w:marBottom w:val="0"/>
      <w:divBdr>
        <w:top w:val="none" w:sz="0" w:space="0" w:color="auto"/>
        <w:left w:val="none" w:sz="0" w:space="0" w:color="auto"/>
        <w:bottom w:val="none" w:sz="0" w:space="0" w:color="auto"/>
        <w:right w:val="none" w:sz="0" w:space="0" w:color="auto"/>
      </w:divBdr>
      <w:divsChild>
        <w:div w:id="1202749192">
          <w:marLeft w:val="480"/>
          <w:marRight w:val="0"/>
          <w:marTop w:val="0"/>
          <w:marBottom w:val="0"/>
          <w:divBdr>
            <w:top w:val="none" w:sz="0" w:space="0" w:color="auto"/>
            <w:left w:val="none" w:sz="0" w:space="0" w:color="auto"/>
            <w:bottom w:val="none" w:sz="0" w:space="0" w:color="auto"/>
            <w:right w:val="none" w:sz="0" w:space="0" w:color="auto"/>
          </w:divBdr>
        </w:div>
        <w:div w:id="501700994">
          <w:marLeft w:val="480"/>
          <w:marRight w:val="0"/>
          <w:marTop w:val="0"/>
          <w:marBottom w:val="0"/>
          <w:divBdr>
            <w:top w:val="none" w:sz="0" w:space="0" w:color="auto"/>
            <w:left w:val="none" w:sz="0" w:space="0" w:color="auto"/>
            <w:bottom w:val="none" w:sz="0" w:space="0" w:color="auto"/>
            <w:right w:val="none" w:sz="0" w:space="0" w:color="auto"/>
          </w:divBdr>
        </w:div>
        <w:div w:id="1066878508">
          <w:marLeft w:val="480"/>
          <w:marRight w:val="0"/>
          <w:marTop w:val="0"/>
          <w:marBottom w:val="0"/>
          <w:divBdr>
            <w:top w:val="none" w:sz="0" w:space="0" w:color="auto"/>
            <w:left w:val="none" w:sz="0" w:space="0" w:color="auto"/>
            <w:bottom w:val="none" w:sz="0" w:space="0" w:color="auto"/>
            <w:right w:val="none" w:sz="0" w:space="0" w:color="auto"/>
          </w:divBdr>
        </w:div>
        <w:div w:id="1112938790">
          <w:marLeft w:val="480"/>
          <w:marRight w:val="0"/>
          <w:marTop w:val="0"/>
          <w:marBottom w:val="0"/>
          <w:divBdr>
            <w:top w:val="none" w:sz="0" w:space="0" w:color="auto"/>
            <w:left w:val="none" w:sz="0" w:space="0" w:color="auto"/>
            <w:bottom w:val="none" w:sz="0" w:space="0" w:color="auto"/>
            <w:right w:val="none" w:sz="0" w:space="0" w:color="auto"/>
          </w:divBdr>
        </w:div>
        <w:div w:id="1174877348">
          <w:marLeft w:val="480"/>
          <w:marRight w:val="0"/>
          <w:marTop w:val="0"/>
          <w:marBottom w:val="0"/>
          <w:divBdr>
            <w:top w:val="none" w:sz="0" w:space="0" w:color="auto"/>
            <w:left w:val="none" w:sz="0" w:space="0" w:color="auto"/>
            <w:bottom w:val="none" w:sz="0" w:space="0" w:color="auto"/>
            <w:right w:val="none" w:sz="0" w:space="0" w:color="auto"/>
          </w:divBdr>
        </w:div>
        <w:div w:id="824930117">
          <w:marLeft w:val="480"/>
          <w:marRight w:val="0"/>
          <w:marTop w:val="0"/>
          <w:marBottom w:val="0"/>
          <w:divBdr>
            <w:top w:val="none" w:sz="0" w:space="0" w:color="auto"/>
            <w:left w:val="none" w:sz="0" w:space="0" w:color="auto"/>
            <w:bottom w:val="none" w:sz="0" w:space="0" w:color="auto"/>
            <w:right w:val="none" w:sz="0" w:space="0" w:color="auto"/>
          </w:divBdr>
        </w:div>
      </w:divsChild>
    </w:div>
    <w:div w:id="1117262061">
      <w:bodyDiv w:val="1"/>
      <w:marLeft w:val="0"/>
      <w:marRight w:val="0"/>
      <w:marTop w:val="0"/>
      <w:marBottom w:val="0"/>
      <w:divBdr>
        <w:top w:val="none" w:sz="0" w:space="0" w:color="auto"/>
        <w:left w:val="none" w:sz="0" w:space="0" w:color="auto"/>
        <w:bottom w:val="none" w:sz="0" w:space="0" w:color="auto"/>
        <w:right w:val="none" w:sz="0" w:space="0" w:color="auto"/>
      </w:divBdr>
    </w:div>
    <w:div w:id="1617634103">
      <w:bodyDiv w:val="1"/>
      <w:marLeft w:val="0"/>
      <w:marRight w:val="0"/>
      <w:marTop w:val="0"/>
      <w:marBottom w:val="0"/>
      <w:divBdr>
        <w:top w:val="none" w:sz="0" w:space="0" w:color="auto"/>
        <w:left w:val="none" w:sz="0" w:space="0" w:color="auto"/>
        <w:bottom w:val="none" w:sz="0" w:space="0" w:color="auto"/>
        <w:right w:val="none" w:sz="0" w:space="0" w:color="auto"/>
      </w:divBdr>
    </w:div>
    <w:div w:id="1645817461">
      <w:bodyDiv w:val="1"/>
      <w:marLeft w:val="0"/>
      <w:marRight w:val="0"/>
      <w:marTop w:val="0"/>
      <w:marBottom w:val="0"/>
      <w:divBdr>
        <w:top w:val="none" w:sz="0" w:space="0" w:color="auto"/>
        <w:left w:val="none" w:sz="0" w:space="0" w:color="auto"/>
        <w:bottom w:val="none" w:sz="0" w:space="0" w:color="auto"/>
        <w:right w:val="none" w:sz="0" w:space="0" w:color="auto"/>
      </w:divBdr>
    </w:div>
    <w:div w:id="1717003547">
      <w:bodyDiv w:val="1"/>
      <w:marLeft w:val="0"/>
      <w:marRight w:val="0"/>
      <w:marTop w:val="0"/>
      <w:marBottom w:val="0"/>
      <w:divBdr>
        <w:top w:val="none" w:sz="0" w:space="0" w:color="auto"/>
        <w:left w:val="none" w:sz="0" w:space="0" w:color="auto"/>
        <w:bottom w:val="none" w:sz="0" w:space="0" w:color="auto"/>
        <w:right w:val="none" w:sz="0" w:space="0" w:color="auto"/>
      </w:divBdr>
    </w:div>
    <w:div w:id="1956718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9897807DF44366B9E53A2977210E95"/>
        <w:category>
          <w:name w:val="General"/>
          <w:gallery w:val="placeholder"/>
        </w:category>
        <w:types>
          <w:type w:val="bbPlcHdr"/>
        </w:types>
        <w:behaviors>
          <w:behavior w:val="content"/>
        </w:behaviors>
        <w:guid w:val="{33DBC8FC-EAD3-498C-AA6A-00190555FE25}"/>
      </w:docPartPr>
      <w:docPartBody>
        <w:p w:rsidR="00DB2B42" w:rsidRDefault="007B4322" w:rsidP="007B4322">
          <w:pPr>
            <w:pStyle w:val="D39897807DF44366B9E53A2977210E95"/>
          </w:pPr>
          <w:r w:rsidRPr="005B1BE1">
            <w:rPr>
              <w:rStyle w:val="PlaceholderText"/>
            </w:rPr>
            <w:t>Click or tap here to enter text.</w:t>
          </w:r>
        </w:p>
      </w:docPartBody>
    </w:docPart>
    <w:docPart>
      <w:docPartPr>
        <w:name w:val="69A47CBCA2BF4556920AD7BB411C0C75"/>
        <w:category>
          <w:name w:val="General"/>
          <w:gallery w:val="placeholder"/>
        </w:category>
        <w:types>
          <w:type w:val="bbPlcHdr"/>
        </w:types>
        <w:behaviors>
          <w:behavior w:val="content"/>
        </w:behaviors>
        <w:guid w:val="{986A05DA-2C18-46C4-B2E3-A94FE110FFE8}"/>
      </w:docPartPr>
      <w:docPartBody>
        <w:p w:rsidR="00DB2B42" w:rsidRDefault="007B4322" w:rsidP="007B4322">
          <w:pPr>
            <w:pStyle w:val="69A47CBCA2BF4556920AD7BB411C0C75"/>
          </w:pPr>
          <w:r w:rsidRPr="005B1BE1">
            <w:rPr>
              <w:rStyle w:val="PlaceholderText"/>
            </w:rPr>
            <w:t>Click or tap here to enter text.</w:t>
          </w:r>
        </w:p>
      </w:docPartBody>
    </w:docPart>
    <w:docPart>
      <w:docPartPr>
        <w:name w:val="E59F59C016244E23A92AEEDC85E0B30C"/>
        <w:category>
          <w:name w:val="General"/>
          <w:gallery w:val="placeholder"/>
        </w:category>
        <w:types>
          <w:type w:val="bbPlcHdr"/>
        </w:types>
        <w:behaviors>
          <w:behavior w:val="content"/>
        </w:behaviors>
        <w:guid w:val="{53B9B008-103B-468B-AD54-F24CE663CF02}"/>
      </w:docPartPr>
      <w:docPartBody>
        <w:p w:rsidR="00DB2B42" w:rsidRDefault="007B4322" w:rsidP="007B4322">
          <w:pPr>
            <w:pStyle w:val="E59F59C016244E23A92AEEDC85E0B30C"/>
          </w:pPr>
          <w:r w:rsidRPr="005B1BE1">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D4EA6352-1F3F-45B9-8580-F3C1BD30B8DB}"/>
      </w:docPartPr>
      <w:docPartBody>
        <w:p w:rsidR="00DB2B42" w:rsidRDefault="007B4322">
          <w:r w:rsidRPr="003E1BDF">
            <w:rPr>
              <w:rStyle w:val="PlaceholderText"/>
            </w:rPr>
            <w:t>Click or tap here to enter text.</w:t>
          </w:r>
        </w:p>
      </w:docPartBody>
    </w:docPart>
    <w:docPart>
      <w:docPartPr>
        <w:name w:val="A43A7A58C0C64CFC92417B9C4420B5A6"/>
        <w:category>
          <w:name w:val="General"/>
          <w:gallery w:val="placeholder"/>
        </w:category>
        <w:types>
          <w:type w:val="bbPlcHdr"/>
        </w:types>
        <w:behaviors>
          <w:behavior w:val="content"/>
        </w:behaviors>
        <w:guid w:val="{8F1040C4-6088-49B2-AA3A-73669FDDB35C}"/>
      </w:docPartPr>
      <w:docPartBody>
        <w:p w:rsidR="003370FD" w:rsidRDefault="003370FD" w:rsidP="003370FD">
          <w:pPr>
            <w:pStyle w:val="A43A7A58C0C64CFC92417B9C4420B5A6"/>
          </w:pPr>
          <w:r w:rsidRPr="003E1BD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322"/>
    <w:rsid w:val="00016178"/>
    <w:rsid w:val="001E13F0"/>
    <w:rsid w:val="002550FB"/>
    <w:rsid w:val="002963B5"/>
    <w:rsid w:val="003370FD"/>
    <w:rsid w:val="003C7A3F"/>
    <w:rsid w:val="003F750E"/>
    <w:rsid w:val="00427E8A"/>
    <w:rsid w:val="0052758E"/>
    <w:rsid w:val="005F2378"/>
    <w:rsid w:val="007A0B1B"/>
    <w:rsid w:val="007A3D73"/>
    <w:rsid w:val="007B4322"/>
    <w:rsid w:val="00867194"/>
    <w:rsid w:val="008C606B"/>
    <w:rsid w:val="00911660"/>
    <w:rsid w:val="0097380E"/>
    <w:rsid w:val="009D1827"/>
    <w:rsid w:val="00A20C40"/>
    <w:rsid w:val="00A21336"/>
    <w:rsid w:val="00AD7D19"/>
    <w:rsid w:val="00AE30DD"/>
    <w:rsid w:val="00BC0BF3"/>
    <w:rsid w:val="00C7577A"/>
    <w:rsid w:val="00CD04FC"/>
    <w:rsid w:val="00DB2B42"/>
    <w:rsid w:val="00F648DA"/>
    <w:rsid w:val="00FF4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70FD"/>
    <w:rPr>
      <w:color w:val="666666"/>
    </w:rPr>
  </w:style>
  <w:style w:type="paragraph" w:customStyle="1" w:styleId="D39897807DF44366B9E53A2977210E95">
    <w:name w:val="D39897807DF44366B9E53A2977210E95"/>
    <w:rsid w:val="007B4322"/>
  </w:style>
  <w:style w:type="paragraph" w:customStyle="1" w:styleId="69A47CBCA2BF4556920AD7BB411C0C75">
    <w:name w:val="69A47CBCA2BF4556920AD7BB411C0C75"/>
    <w:rsid w:val="007B4322"/>
  </w:style>
  <w:style w:type="paragraph" w:customStyle="1" w:styleId="E59F59C016244E23A92AEEDC85E0B30C">
    <w:name w:val="E59F59C016244E23A92AEEDC85E0B30C"/>
    <w:rsid w:val="007B4322"/>
  </w:style>
  <w:style w:type="paragraph" w:customStyle="1" w:styleId="A43A7A58C0C64CFC92417B9C4420B5A6">
    <w:name w:val="A43A7A58C0C64CFC92417B9C4420B5A6"/>
    <w:rsid w:val="003370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4728454-1165-468B-8D27-CC67162B50A3}">
  <we:reference id="f78a3046-9e99-4300-aa2b-5814002b01a2" version="1.55.1.0" store="EXCatalog" storeType="EXCatalog"/>
  <we:alternateReferences>
    <we:reference id="WA104382081" version="1.55.1.0" store="en-US" storeType="OMEX"/>
  </we:alternateReferences>
  <we:properties>
    <we:property name="MENDELEY_BIBLIOGRAPHY_IS_DIRTY" value="true"/>
    <we:property name="MENDELEY_BIBLIOGRAPHY_LAST_MODIFIED" value="1766012217797"/>
    <we:property name="MENDELEY_CITATIONS" value="[{&quot;citationID&quot;:&quot;MENDELEY_CITATION_e54c4274-0e9d-406d-9471-faa0980d9706&quot;,&quot;properties&quot;:{&quot;noteIndex&quot;:0},&quot;isEdited&quot;:false,&quot;manualOverride&quot;:{&quot;isManuallyOverridden&quot;:false,&quot;citeprocText&quot;:&quot;[1]&quot;,&quot;manualOverrideText&quot;:&quot;&quot;},&quot;citationTag&quot;:&quot;MENDELEY_CITATION_v3_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&quot;,&quot;citationItems&quot;:[{&quot;id&quot;:&quot;50857e56-d77d-3720-be0e-7e0ecad0ef6f&quot;,&quot;itemData&quot;:{&quot;type&quot;:&quot;article-journal&quot;,&quot;id&quot;:&quot;50857e56-d77d-3720-be0e-7e0ecad0ef6f&quot;,&quot;title&quot;:&quot;A rating scale for Depression&quot;,&quot;author&quot;:[{&quot;family&quot;:&quot;Hamilton&quot;,&quot;given&quot;:&quot;M.&quot;,&quot;parse-names&quot;:false,&quot;dropping-particle&quot;:&quot;&quot;,&quot;non-dropping-particle&quot;:&quot;&quot;}],&quot;container-title&quot;:&quot;Journal of Neurology, Neurosurgery &amp; Psychiatry&quot;,&quot;container-title-short&quot;:&quot;J Neurol Neurosurg Psychiatry&quot;,&quot;DOI&quot;:&quot;10.1136/jnnp.23.1.56&quot;,&quot;ISSN&quot;:&quot;0022-3050&quot;,&quot;issued&quot;:{&quot;date-parts&quot;:[[1960,2,1]]},&quot;page&quot;:&quot;56-62&quot;,&quot;issue&quot;:&quot;1&quot;,&quot;volume&quot;:&quot;23&quot;},&quot;isTemporary&quot;:false}]},{&quot;citationID&quot;:&quot;MENDELEY_CITATION_b964232e-55c4-42d2-a340-41ea621101b3&quot;,&quot;properties&quot;:{&quot;noteIndex&quot;:0},&quot;isEdited&quot;:false,&quot;manualOverride&quot;:{&quot;isManuallyOverridden&quot;:false,&quot;citeprocText&quot;:&quot;[2]&quot;,&quot;manualOverrideText&quot;:&quot;&quot;},&quot;citationTag&quot;:&quot;MENDELEY_CITATION_v3_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&quot;,&quot;citationItems&quot;:[{&quot;id&quot;:&quot;999c650f-4ec3-3e25-aeee-d6203d620be7&quot;,&quot;itemData&quot;:{&quot;type&quot;:&quot;article-journal&quot;,&quot;id&quot;:&quot;999c650f-4ec3-3e25-aeee-d6203d620be7&quot;,&quot;title&quot;:&quot;Tripartite model of anxiety and depression: Psychometric evidence and taxonomic implications.&quot;,&quot;author&quot;:[{&quot;family&quot;:&quot;Clark&quot;,&quot;given&quot;:&quot;Lee Anna&quot;,&quot;parse-names&quot;:false,&quot;dropping-particle&quot;:&quot;&quot;,&quot;non-dropping-particle&quot;:&quot;&quot;},{&quot;family&quot;:&quot;Watson&quot;,&quot;given&quot;:&quot;David&quot;,&quot;parse-names&quot;:false,&quot;dropping-particle&quot;:&quot;&quot;,&quot;non-dropping-particle&quot;:&quot;&quot;}],&quot;container-title&quot;:&quot;Journal of Abnormal Psychology&quot;,&quot;container-title-short&quot;:&quot;J Abnorm Psychol&quot;,&quot;DOI&quot;:&quot;10.1037/0021-843X.100.3.316&quot;,&quot;ISSN&quot;:&quot;1939-1846&quot;,&quot;issued&quot;:{&quot;date-parts&quot;:[[1991,8]]},&quot;page&quot;:&quot;316-336&quot;,&quot;issue&quot;:&quot;3&quot;,&quot;volume&quot;:&quot;100&quot;},&quot;isTemporary&quot;:false}]},{&quot;citationID&quot;:&quot;MENDELEY_CITATION_2c5a4495-6094-466c-8081-48202507f2b2&quot;,&quot;properties&quot;:{&quot;noteIndex&quot;:0},&quot;isEdited&quot;:false,&quot;manualOverride&quot;:{&quot;isManuallyOverridden&quot;:false,&quot;citeprocText&quot;:&quot;[3]&quot;,&quot;manualOverrideText&quot;:&quot;&quot;},&quot;citationTag&quot;:&quot;MENDELEY_CITATION_v3_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&quot;,&quot;citationItems&quot;:[{&quot;id&quot;:&quot;6c4c606f-f11d-32b2-85bc-463baad61f3c&quot;,&quot;itemData&quot;:{&quot;type&quot;:&quot;article-journal&quot;,&quot;id&quot;:&quot;6c4c606f-f11d-32b2-85bc-463baad61f3c&quot;,&quot;title&quot;:&quot;The 16-Item quick inventory of depressive symptomatology (QIDS), clinician rating (QIDS-C), and self-report (QIDS-SR): a psychometric evaluation in patients with chronic major depression&quot;,&quot;author&quot;:[{&quot;family&quot;:&quot;Rush&quot;,&quot;given&quot;:&quot;A.John&quot;,&quot;parse-names&quot;:false,&quot;dropping-particle&quot;:&quot;&quot;,&quot;non-dropping-particle&quot;:&quot;&quot;},{&quot;family&quot;:&quot;Trivedi&quot;,&quot;given&quot;:&quot;Madhukar H&quot;,&quot;parse-names&quot;:false,&quot;dropping-particle&quot;:&quot;&quot;,&quot;non-dropping-particle&quot;:&quot;&quot;},{&quot;family&quot;:&quot;Ibrahim&quot;,&quot;given&quot;:&quot;Hicham M&quot;,&quot;parse-names&quot;:false,&quot;dropping-particle&quot;:&quot;&quot;,&quot;non-dropping-particle&quot;:&quot;&quot;},{&quot;family&quot;:&quot;Carmody&quot;,&quot;given&quot;:&quot;Thomas J&quot;,&quot;parse-names&quot;:false,&quot;dropping-particle&quot;:&quot;&quot;,&quot;non-dropping-particle&quot;:&quot;&quot;},{&quot;family&quot;:&quot;Arnow&quot;,&quot;given&quot;:&quot;Bruce&quot;,&quot;parse-names&quot;:false,&quot;dropping-particle&quot;:&quot;&quot;,&quot;non-dropping-particle&quot;:&quot;&quot;},{&quot;family&quot;:&quot;Klein&quot;,&quot;given&quot;:&quot;Daniel N&quot;,&quot;parse-names&quot;:false,&quot;dropping-particle&quot;:&quot;&quot;,&quot;non-dropping-particle&quot;:&quot;&quot;},{&quot;family&quot;:&quot;Markowitz&quot;,&quot;given&quot;:&quot;John C&quot;,&quot;parse-names&quot;:false,&quot;dropping-particle&quot;:&quot;&quot;,&quot;non-dropping-particle&quot;:&quot;&quot;},{&quot;family&quot;:&quot;Ninan&quot;,&quot;given&quot;:&quot;Philip T&quot;,&quot;parse-names&quot;:false,&quot;dropping-particle&quot;:&quot;&quot;,&quot;non-dropping-particle&quot;:&quot;&quot;},{&quot;family&quot;:&quot;Kornstein&quot;,&quot;given&quot;:&quot;Susan&quot;,&quot;parse-names&quot;:false,&quot;dropping-particle&quot;:&quot;&quot;,&quot;non-dropping-particle&quot;:&quot;&quot;},{&quot;family&quot;:&quot;Manber&quot;,&quot;given&quot;:&quot;Rachel&quot;,&quot;parse-names&quot;:false,&quot;dropping-particle&quot;:&quot;&quot;,&quot;non-dropping-particle&quot;:&quot;&quot;},{&quot;family&quot;:&quot;Thase&quot;,&quot;given&quot;:&quot;Michael E&quot;,&quot;parse-names&quot;:false,&quot;dropping-particle&quot;:&quot;&quot;,&quot;non-dropping-particle&quot;:&quot;&quot;},{&quot;family&quot;:&quot;Kocsis&quot;,&quot;given&quot;:&quot;James H&quot;,&quot;parse-names&quot;:false,&quot;dropping-particle&quot;:&quot;&quot;,&quot;non-dropping-particle&quot;:&quot;&quot;},{&quot;family&quot;:&quot;Keller&quot;,&quot;given&quot;:&quot;Martin B&quot;,&quot;parse-names&quot;:false,&quot;dropping-particle&quot;:&quot;&quot;,&quot;non-dropping-particle&quot;:&quot;&quot;}],&quot;container-title&quot;:&quot;Biological Psychiatry&quot;,&quot;container-title-short&quot;:&quot;Biol Psychiatry&quot;,&quot;DOI&quot;:&quot;10.1016/S0006-3223(02)01866-8&quot;,&quot;ISSN&quot;:&quot;00063223&quot;,&quot;issued&quot;:{&quot;date-parts&quot;:[[2003,9]]},&quot;page&quot;:&quot;573-583&quot;,&quot;issue&quot;:&quot;5&quot;,&quot;volume&quot;:&quot;54&quot;},&quot;isTemporary&quot;:false}]},{&quot;citationID&quot;:&quot;MENDELEY_CITATION_39ea2858-ec08-4902-9290-e6a88c815933&quot;,&quot;properties&quot;:{&quot;noteIndex&quot;:0},&quot;isEdited&quot;:false,&quot;manualOverride&quot;:{&quot;isManuallyOverridden&quot;:false,&quot;citeprocText&quot;:&quot;[4]&quot;,&quot;manualOverrideText&quot;:&quot;&quot;},&quot;citationTag&quot;:&quot;MENDELEY_CITATION_v3_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&quot;,&quot;citationItems&quot;:[{&quot;id&quot;:&quot;fc475b33-34d0-342e-87c4-c78515da558f&quot;,&quot;itemData&quot;:{&quot;type&quot;:&quot;article-journal&quot;,&quot;id&quot;:&quot;fc475b33-34d0-342e-87c4-c78515da558f&quot;,&quot;title&quot;:&quot;A Scale for the Assessment of Hedonic Tone the Snaith–Hamilton Pleasure Scale&quot;,&quot;author&quot;:[{&quot;family&quot;:&quot;Snaith&quot;,&quot;given&quot;:&quot;R. P.&quot;,&quot;parse-names&quot;:false,&quot;dropping-particle&quot;:&quot;&quot;,&quot;non-dropping-particle&quot;:&quot;&quot;},{&quot;family&quot;:&quot;Hamilton&quot;,&quot;given&quot;:&quot;M.&quot;,&quot;parse-names&quot;:false,&quot;dropping-particle&quot;:&quot;&quot;,&quot;non-dropping-particle&quot;:&quot;&quot;},{&quot;family&quot;:&quot;Morley&quot;,&quot;given&quot;:&quot;S.&quot;,&quot;parse-names&quot;:false,&quot;dropping-particle&quot;:&quot;&quot;,&quot;non-dropping-particle&quot;:&quot;&quot;},{&quot;family&quot;:&quot;Humayan&quot;,&quot;given&quot;:&quot;A.&quot;,&quot;parse-names&quot;:false,&quot;dropping-particle&quot;:&quot;&quot;,&quot;non-dropping-particle&quot;:&quot;&quot;},{&quot;family&quot;:&quot;Hargreaves&quot;,&quot;given&quot;:&quot;D.&quot;,&quot;parse-names&quot;:false,&quot;dropping-particle&quot;:&quot;&quot;,&quot;non-dropping-particle&quot;:&quot;&quot;},{&quot;family&quot;:&quot;Trigwell&quot;,&quot;given&quot;:&quot;P.&quot;,&quot;parse-names&quot;:false,&quot;dropping-particle&quot;:&quot;&quot;,&quot;non-dropping-particle&quot;:&quot;&quot;}],&quot;container-title&quot;:&quot;British Journal of Psychiatry&quot;,&quot;DOI&quot;:&quot;10.1192/bjp.167.1.99&quot;,&quot;ISSN&quot;:&quot;0007-1250&quot;,&quot;issued&quot;:{&quot;date-parts&quot;:[[1995,7,2]]},&quot;page&quot;:&quot;99-103&quot;,&quot;issue&quot;:&quot;1&quot;,&quot;volume&quot;:&quot;167&quot;,&quot;container-title-short&quot;:&quot;&quot;},&quot;isTemporary&quot;:false}]},{&quot;citationID&quot;:&quot;MENDELEY_CITATION_179e8666-0cb6-49c0-8fdf-3a06c92e7d8e&quot;,&quot;properties&quot;:{&quot;noteIndex&quot;:0},&quot;isEdited&quot;:false,&quot;manualOverride&quot;:{&quot;isManuallyOverridden&quot;:false,&quot;citeprocText&quot;:&quot;[5]&quot;,&quot;manualOverrideText&quot;:&quot;&quot;},&quot;citationTag&quot;:&quot;MENDELEY_CITATION_v3_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&quot;,&quot;citationItems&quot;:[{&quot;id&quot;:&quot;5a26dcbd-be56-3f7d-81f7-ec372a2592b5&quot;,&quot;itemData&quot;:{&quot;type&quot;:&quot;article-journal&quot;,&quot;id&quot;:&quot;5a26dcbd-be56-3f7d-81f7-ec372a2592b5&quot;,&quot;title&quot;:&quot;A prospective study of depression and posttraumatic stress symptoms after a natural disaster: The 1989 Loma Prieta earthquake.&quot;,&quot;author&quot;:[{&quot;family&quot;:&quot;Nolen-Hoeksema&quot;,&quot;given&quot;:&quot;Susan&quot;,&quot;parse-names&quot;:false,&quot;dropping-particle&quot;:&quot;&quot;,&quot;non-dropping-particle&quot;:&quot;&quot;},{&quot;family&quot;:&quot;Morrow&quot;,&quot;given&quot;:&quot;Jannay&quot;,&quot;parse-names&quot;:false,&quot;dropping-particle&quot;:&quot;&quot;,&quot;non-dropping-particle&quot;:&quot;&quot;}],&quot;container-title&quot;:&quot;Journal of Personality and Social Psychology&quot;,&quot;container-title-short&quot;:&quot;J Pers Soc Psychol&quot;,&quot;DOI&quot;:&quot;10.1037/0022-3514.61.1.115&quot;,&quot;ISSN&quot;:&quot;1939-1315&quot;,&quot;issued&quot;:{&quot;date-parts&quot;:[[1991]]},&quot;page&quot;:&quot;115-121&quot;,&quot;issue&quot;:&quot;1&quot;,&quot;volume&quot;:&quot;61&quot;},&quot;isTemporary&quot;:false}]},{&quot;citationID&quot;:&quot;MENDELEY_CITATION_42c91c3b-35f7-4c26-95a6-f8e3fab6e48d&quot;,&quot;properties&quot;:{&quot;noteIndex&quot;:0},&quot;isEdited&quot;:false,&quot;manualOverride&quot;:{&quot;isManuallyOverridden&quot;:false,&quot;citeprocText&quot;:&quot;[6]&quot;,&quot;manualOverrideText&quot;:&quot;&quot;},&quot;citationTag&quot;:&quot;MENDELEY_CITATION_v3_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&quot;,&quot;citationItems&quot;:[{&quot;id&quot;:&quot;718cd937-bbf9-38fa-b778-daaaba92334d&quot;,&quot;itemData&quot;:{&quot;type&quot;:&quot;article-journal&quot;,&quot;id&quot;:&quot;718cd937-bbf9-38fa-b778-daaaba92334d&quot;,&quot;title&quot;:&quot;Assessing interactions in the brain with exact low-resolution electromagnetic tomography&quot;,&quot;author&quot;:[{&quot;family&quot;:&quot;Pascual-Marqui&quot;,&quot;given&quot;:&quot;Roberto D.&quot;,&quot;parse-names&quot;:false,&quot;dropping-particle&quot;:&quot;&quot;,&quot;non-dropping-particle&quot;:&quot;&quot;},{&quot;family&quot;:&quot;Lehmann&quot;,&quot;given&quot;:&quot;Dietrich&quot;,&quot;parse-names&quot;:false,&quot;dropping-particle&quot;:&quot;&quot;,&quot;non-dropping-particle&quot;:&quot;&quot;},{&quot;family&quot;:&quot;Koukkou&quot;,&quot;given&quot;:&quot;Martha&quot;,&quot;parse-names&quot;:false,&quot;dropping-particle&quot;:&quot;&quot;,&quot;non-dropping-particle&quot;:&quot;&quot;},{&quot;family&quot;:&quot;Kochi&quot;,&quot;given&quot;:&quot;Kieko&quot;,&quot;parse-names&quot;:false,&quot;dropping-particle&quot;:&quot;&quot;,&quot;non-dropping-particle&quot;:&quot;&quot;},{&quot;family&quot;:&quot;Anderer&quot;,&quot;given&quot;:&quot;Peter&quot;,&quot;parse-names&quot;:false,&quot;dropping-particle&quot;:&quot;&quot;,&quot;non-dropping-particle&quot;:&quot;&quot;},{&quot;family&quot;:&quot;Saletu&quot;,&quot;given&quot;:&quot;Bernd&quot;,&quot;parse-names&quot;:false,&quot;dropping-particle&quot;:&quot;&quot;,&quot;non-dropping-particle&quot;:&quot;&quot;},{&quot;family&quot;:&quot;Tanaka&quot;,&quot;given&quot;:&quot;Hideaki&quot;,&quot;parse-names&quot;:false,&quot;dropping-particle&quot;:&quot;&quot;,&quot;non-dropping-particle&quot;:&quot;&quot;},{&quot;family&quot;:&quot;Hirata&quot;,&quot;given&quot;:&quot;Koichi&quot;,&quot;parse-names&quot;:false,&quot;dropping-particle&quot;:&quot;&quot;,&quot;non-dropping-particle&quot;:&quot;&quot;},{&quot;family&quot;:&quot;John&quot;,&quot;given&quot;:&quot;E. Roy&quot;,&quot;parse-names&quot;:false,&quot;dropping-particle&quot;:&quot;&quot;,&quot;non-dropping-particle&quot;:&quot;&quot;},{&quot;family&quot;:&quot;Prichep&quot;,&quot;given&quot;:&quot;Leslie&quot;,&quot;parse-names&quot;:false,&quot;dropping-particle&quot;:&quot;&quot;,&quot;non-dropping-particle&quot;:&quot;&quot;},{&quot;family&quot;:&quot;Biscay-Lirio&quot;,&quot;given&quot;:&quot;Rolando&quot;,&quot;parse-names&quot;:false,&quot;dropping-particle&quot;:&quot;&quot;,&quot;non-dropping-particle&quot;:&quot;&quot;},{&quot;family&quot;:&quot;Kinoshita&quot;,&quot;given&quot;:&quot;Toshihiko&quot;,&quot;parse-names&quot;:false,&quot;dropping-particle&quot;:&quot;&quot;,&quot;non-dropping-particle&quot;:&quot;&quot;}],&quot;container-title&quot;:&quot;Philosophical Transactions of the Royal Society A: Mathematical, Physical and Engineering Sciences&quot;,&quot;DOI&quot;:&quot;10.1098/rsta.2011.0081&quot;,&quot;ISSN&quot;:&quot;1364-503X&quot;,&quot;issued&quot;:{&quot;date-parts&quot;:[[2011,10,13]]},&quot;page&quot;:&quot;3768-3784&quot;,&quot;abstract&quot;:&quot;&lt;p&gt;Scalp electric potentials (electroencephalogram; EEG) are contingent to the impressed current density unleashed by cortical pyramidal neurons undergoing post-synaptic processes. EEG neuroimaging consists of estimating the cortical current density from scalp recordings. We report a solution to this inverse problem that attains exact localization: exact low-resolution brain electromagnetic tomography (eLORETA). This non-invasive method yields high time-resolution intracranial signals that can be used for assessing functional dynamic connectivity in the brain, quantified by coherence and phase synchronization. However, these measures are non-physiologically high because of volume conduction and low spatial resolution. We present a new method to solve this problem by decomposing them into instantaneous and lagged components, with the lagged part having almost pure physiological origin.&lt;/p&gt;&quot;,&quot;issue&quot;:&quot;1952&quot;,&quot;volume&quot;:&quot;369&quot;,&quot;container-title-short&quot;:&quot;&quot;},&quot;isTemporary&quot;:false}]},{&quot;citationID&quot;:&quot;MENDELEY_CITATION_d786e601-cad7-43e9-93b8-604679d59693&quot;,&quot;properties&quot;:{&quot;noteIndex&quot;:0},&quot;isEdited&quot;:false,&quot;manualOverride&quot;:{&quot;isManuallyOverridden&quot;:false,&quot;citeprocText&quot;:&quot;[6]&quot;,&quot;manualOverrideText&quot;:&quot;&quot;},&quot;citationItems&quot;:[{&quot;id&quot;:&quot;718cd937-bbf9-38fa-b778-daaaba92334d&quot;,&quot;itemData&quot;:{&quot;type&quot;:&quot;article-journal&quot;,&quot;id&quot;:&quot;718cd937-bbf9-38fa-b778-daaaba92334d&quot;,&quot;title&quot;:&quot;Assessing interactions in the brain with exact low-resolution electromagnetic tomography&quot;,&quot;author&quot;:[{&quot;family&quot;:&quot;Pascual-Marqui&quot;,&quot;given&quot;:&quot;Roberto D.&quot;,&quot;parse-names&quot;:false,&quot;dropping-particle&quot;:&quot;&quot;,&quot;non-dropping-particle&quot;:&quot;&quot;},{&quot;family&quot;:&quot;Lehmann&quot;,&quot;given&quot;:&quot;Dietrich&quot;,&quot;parse-names&quot;:false,&quot;dropping-particle&quot;:&quot;&quot;,&quot;non-dropping-particle&quot;:&quot;&quot;},{&quot;family&quot;:&quot;Koukkou&quot;,&quot;given&quot;:&quot;Martha&quot;,&quot;parse-names&quot;:false,&quot;dropping-particle&quot;:&quot;&quot;,&quot;non-dropping-particle&quot;:&quot;&quot;},{&quot;family&quot;:&quot;Kochi&quot;,&quot;given&quot;:&quot;Kieko&quot;,&quot;parse-names&quot;:false,&quot;dropping-particle&quot;:&quot;&quot;,&quot;non-dropping-particle&quot;:&quot;&quot;},{&quot;family&quot;:&quot;Anderer&quot;,&quot;given&quot;:&quot;Peter&quot;,&quot;parse-names&quot;:false,&quot;dropping-particle&quot;:&quot;&quot;,&quot;non-dropping-particle&quot;:&quot;&quot;},{&quot;family&quot;:&quot;Saletu&quot;,&quot;given&quot;:&quot;Bernd&quot;,&quot;parse-names&quot;:false,&quot;dropping-particle&quot;:&quot;&quot;,&quot;non-dropping-particle&quot;:&quot;&quot;},{&quot;family&quot;:&quot;Tanaka&quot;,&quot;given&quot;:&quot;Hideaki&quot;,&quot;parse-names&quot;:false,&quot;dropping-particle&quot;:&quot;&quot;,&quot;non-dropping-particle&quot;:&quot;&quot;},{&quot;family&quot;:&quot;Hirata&quot;,&quot;given&quot;:&quot;Koichi&quot;,&quot;parse-names&quot;:false,&quot;dropping-particle&quot;:&quot;&quot;,&quot;non-dropping-particle&quot;:&quot;&quot;},{&quot;family&quot;:&quot;John&quot;,&quot;given&quot;:&quot;E. Roy&quot;,&quot;parse-names&quot;:false,&quot;dropping-particle&quot;:&quot;&quot;,&quot;non-dropping-particle&quot;:&quot;&quot;},{&quot;family&quot;:&quot;Prichep&quot;,&quot;given&quot;:&quot;Leslie&quot;,&quot;parse-names&quot;:false,&quot;dropping-particle&quot;:&quot;&quot;,&quot;non-dropping-particle&quot;:&quot;&quot;},{&quot;family&quot;:&quot;Biscay-Lirio&quot;,&quot;given&quot;:&quot;Rolando&quot;,&quot;parse-names&quot;:false,&quot;dropping-particle&quot;:&quot;&quot;,&quot;non-dropping-particle&quot;:&quot;&quot;},{&quot;family&quot;:&quot;Kinoshita&quot;,&quot;given&quot;:&quot;Toshihiko&quot;,&quot;parse-names&quot;:false,&quot;dropping-particle&quot;:&quot;&quot;,&quot;non-dropping-particle&quot;:&quot;&quot;}],&quot;container-title&quot;:&quot;Philosophical Transactions of the Royal Society A: Mathematical, Physical and Engineering Sciences&quot;,&quot;DOI&quot;:&quot;10.1098/rsta.2011.0081&quot;,&quot;ISSN&quot;:&quot;1364-503X&quot;,&quot;issued&quot;:{&quot;date-parts&quot;:[[2011,10,13]]},&quot;page&quot;:&quot;3768-3784&quot;,&quot;abstract&quot;:&quot;&lt;p&gt;Scalp electric potentials (electroencephalogram; EEG) are contingent to the impressed current density unleashed by cortical pyramidal neurons undergoing post-synaptic processes. EEG neuroimaging consists of estimating the cortical current density from scalp recordings. We report a solution to this inverse problem that attains exact localization: exact low-resolution brain electromagnetic tomography (eLORETA). This non-invasive method yields high time-resolution intracranial signals that can be used for assessing functional dynamic connectivity in the brain, quantified by coherence and phase synchronization. However, these measures are non-physiologically high because of volume conduction and low spatial resolution. We present a new method to solve this problem by decomposing them into instantaneous and lagged components, with the lagged part having almost pure physiological origin.&lt;/p&gt;&quot;,&quot;issue&quot;:&quot;1952&quot;,&quot;volume&quot;:&quot;369&quot;,&quot;container-title-short&quot;:&quot;&quot;},&quot;isTemporary&quot;:false}],&quot;citationTag&quot;:&quot;MENDELEY_CITATION_v3_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&quot;}]"/>
    <we:property name="MENDELEY_CITATIONS_LOCALE_CODE" value="&quot;en-GB&quot;"/>
    <we:property name="MENDELEY_CITATIONS_STYLE" value="{&quot;id&quot;:&quot;https://www.zotero.org/styles/molecular-psychiatry&quot;,&quot;title&quot;:&quot;Molecular Psychiatry&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0BE74-45F0-492D-BA69-5E52E2F7B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2055</Words>
  <Characters>11714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Lees, Ty</dc:creator>
  <cp:keywords/>
  <dc:description/>
  <cp:lastModifiedBy>Ty Lees</cp:lastModifiedBy>
  <cp:revision>79</cp:revision>
  <dcterms:created xsi:type="dcterms:W3CDTF">2025-08-05T15:13:00Z</dcterms:created>
  <dcterms:modified xsi:type="dcterms:W3CDTF">2026-01-12T16:29:00Z</dcterms:modified>
</cp:coreProperties>
</file>