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A2E7E" w14:textId="73BB2826" w:rsidR="00183583" w:rsidRDefault="00422FC3">
      <w:r w:rsidRPr="00422FC3">
        <w:drawing>
          <wp:inline distT="0" distB="0" distL="0" distR="0" wp14:anchorId="6E001FA1" wp14:editId="4AD8496F">
            <wp:extent cx="5400040" cy="2471420"/>
            <wp:effectExtent l="0" t="0" r="0" b="5080"/>
            <wp:docPr id="18664101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101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361BF" w14:textId="77777777" w:rsidR="00422FC3" w:rsidRPr="006B62C1" w:rsidRDefault="00422FC3" w:rsidP="00422FC3">
      <w:pPr>
        <w:spacing w:line="360" w:lineRule="auto"/>
        <w:rPr>
          <w:rFonts w:ascii="Times New Roman" w:hAnsi="Times New Roman" w:cs="Times New Roman"/>
          <w:b/>
          <w:bCs/>
        </w:rPr>
      </w:pPr>
      <w:r w:rsidRPr="006B62C1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6B62C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upplementary </w:t>
      </w:r>
      <w:r w:rsidRPr="006B62C1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Pr="006B62C1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 w:rsidRPr="006B62C1">
        <w:rPr>
          <w:rFonts w:ascii="Times New Roman" w:hAnsi="Times New Roman" w:cs="Times New Roman"/>
          <w:b/>
          <w:bCs/>
          <w:sz w:val="24"/>
          <w:szCs w:val="28"/>
        </w:rPr>
        <w:t>. Participant flow diagram for ASD and TD groups</w:t>
      </w:r>
      <w:r w:rsidRPr="006B62C1">
        <w:rPr>
          <w:rFonts w:ascii="Times New Roman" w:hAnsi="Times New Roman" w:cs="Times New Roman"/>
        </w:rPr>
        <w:br/>
        <w:t>This figure illustrates the participant selection process for the autism spectrum disorder (ASD) and typically developing (TD) groups. A total of 339 individuals were initially registered as ASD participants. After exclusions due to age (n = 5), comorbid conditions (n = 3), failure to meet the AQ-J cut-off (n = 10), failure to meet the ADOS-2 cut-off (n = 32), and missing assessment data or dropouts (n = 36), 253 ASD participants were included in the final analysis.</w:t>
      </w:r>
    </w:p>
    <w:p w14:paraId="6C99D252" w14:textId="77777777" w:rsidR="00422FC3" w:rsidRPr="006B62C1" w:rsidRDefault="00422FC3" w:rsidP="00422FC3">
      <w:pPr>
        <w:spacing w:line="360" w:lineRule="auto"/>
        <w:rPr>
          <w:rFonts w:ascii="Times New Roman" w:hAnsi="Times New Roman" w:cs="Times New Roman"/>
        </w:rPr>
      </w:pPr>
      <w:r w:rsidRPr="006B62C1">
        <w:rPr>
          <w:rFonts w:ascii="Times New Roman" w:hAnsi="Times New Roman" w:cs="Times New Roman"/>
        </w:rPr>
        <w:t>For the TD group, 197 participants were initially registered. Participants were excluded based on the AQ cut-off (n = 2), missing assessment data or dropouts (n = 6), failure to meet the Mini cut-off (n = 15), and failure to meet the AQ-J cut-off (n = 22). The final TD sample consisted of 152 participants.</w:t>
      </w:r>
    </w:p>
    <w:p w14:paraId="64269065" w14:textId="77777777" w:rsidR="00422FC3" w:rsidRPr="006B62C1" w:rsidRDefault="00422FC3" w:rsidP="00422FC3">
      <w:pPr>
        <w:spacing w:line="360" w:lineRule="auto"/>
        <w:rPr>
          <w:rFonts w:ascii="Times New Roman" w:hAnsi="Times New Roman" w:cs="Times New Roman"/>
        </w:rPr>
      </w:pPr>
      <w:r w:rsidRPr="006B62C1">
        <w:rPr>
          <w:rFonts w:ascii="Times New Roman" w:hAnsi="Times New Roman" w:cs="Times New Roman"/>
          <w:b/>
          <w:bCs/>
        </w:rPr>
        <w:t>Abbreviations:</w:t>
      </w:r>
      <w:r w:rsidRPr="006B62C1">
        <w:rPr>
          <w:rFonts w:ascii="Times New Roman" w:hAnsi="Times New Roman" w:cs="Times New Roman"/>
        </w:rPr>
        <w:t xml:space="preserve"> ASD, autism spectrum disorder; TD, typically developing; AQ, Autism-Spectrum Quotient; AQ-J, Japanese version of AQ; ADOS-2, Autism Diagnostic Observation Schedule–2; Mini, Mini-International Neuropsychiatric Interview.</w:t>
      </w:r>
    </w:p>
    <w:p w14:paraId="71D9CB03" w14:textId="77777777" w:rsidR="00422FC3" w:rsidRDefault="00422FC3">
      <w:pPr>
        <w:sectPr w:rsidR="00422FC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10F3597" w14:textId="13D4ED7E" w:rsidR="00422FC3" w:rsidRDefault="00422FC3">
      <w:r w:rsidRPr="00422FC3">
        <w:lastRenderedPageBreak/>
        <w:drawing>
          <wp:inline distT="0" distB="0" distL="0" distR="0" wp14:anchorId="6AA7BA16" wp14:editId="3F9ACA7D">
            <wp:extent cx="5306165" cy="6096851"/>
            <wp:effectExtent l="0" t="0" r="8890" b="0"/>
            <wp:docPr id="18313995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3995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0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AC4DA" w14:textId="77777777" w:rsidR="00422FC3" w:rsidRPr="006B62C1" w:rsidRDefault="00422FC3" w:rsidP="00422FC3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r w:rsidRPr="006B62C1">
        <w:rPr>
          <w:rFonts w:ascii="Times New Roman" w:eastAsia="Times New Roman" w:hAnsi="Times New Roman" w:cs="Times New Roman"/>
          <w:b/>
          <w:sz w:val="24"/>
        </w:rPr>
        <w:t xml:space="preserve">Supplementary Figure </w:t>
      </w:r>
      <w:r w:rsidRPr="006B62C1">
        <w:rPr>
          <w:rFonts w:ascii="Times New Roman" w:eastAsia="游明朝" w:hAnsi="Times New Roman" w:cs="Times New Roman" w:hint="eastAsia"/>
          <w:b/>
          <w:sz w:val="24"/>
        </w:rPr>
        <w:t>2</w:t>
      </w:r>
      <w:r w:rsidRPr="006B62C1">
        <w:rPr>
          <w:rFonts w:ascii="Times New Roman" w:eastAsia="Times New Roman" w:hAnsi="Times New Roman" w:cs="Times New Roman"/>
          <w:b/>
          <w:sz w:val="24"/>
        </w:rPr>
        <w:t>. Assessment of social behavior in freely moving mice</w:t>
      </w:r>
    </w:p>
    <w:p w14:paraId="0C7EC40D" w14:textId="77777777" w:rsidR="00422FC3" w:rsidRPr="006B62C1" w:rsidRDefault="00422FC3" w:rsidP="00422FC3">
      <w:pPr>
        <w:spacing w:line="360" w:lineRule="auto"/>
        <w:rPr>
          <w:rFonts w:ascii="Times New Roman" w:eastAsia="游明朝" w:hAnsi="Times New Roman" w:cs="Times New Roman"/>
        </w:rPr>
      </w:pPr>
      <w:r w:rsidRPr="006B62C1">
        <w:rPr>
          <w:rFonts w:ascii="Times New Roman" w:eastAsia="Times New Roman" w:hAnsi="Times New Roman" w:cs="Times New Roman"/>
          <w:b/>
        </w:rPr>
        <w:t>A–C.</w:t>
      </w:r>
      <w:r w:rsidRPr="006B62C1">
        <w:rPr>
          <w:rFonts w:ascii="Times New Roman" w:eastAsia="Times New Roman" w:hAnsi="Times New Roman" w:cs="Times New Roman"/>
        </w:rPr>
        <w:t xml:space="preserve"> The social interaction threshold distance was defined as 20 mm. </w:t>
      </w:r>
      <w:r w:rsidRPr="006B62C1">
        <w:rPr>
          <w:rFonts w:ascii="Times New Roman" w:eastAsia="Times New Roman" w:hAnsi="Times New Roman" w:cs="Times New Roman"/>
          <w:b/>
        </w:rPr>
        <w:t>D–F.</w:t>
      </w:r>
      <w:r w:rsidRPr="006B62C1">
        <w:rPr>
          <w:rFonts w:ascii="Times New Roman" w:eastAsia="Times New Roman" w:hAnsi="Times New Roman" w:cs="Times New Roman"/>
        </w:rPr>
        <w:t xml:space="preserve"> The social interaction threshold distance was defined as 25 mm. </w:t>
      </w:r>
      <w:r w:rsidRPr="006B62C1">
        <w:rPr>
          <w:rFonts w:ascii="Times New Roman" w:eastAsia="Times New Roman" w:hAnsi="Times New Roman" w:cs="Times New Roman"/>
          <w:b/>
        </w:rPr>
        <w:t>G–I.</w:t>
      </w:r>
      <w:r w:rsidRPr="006B62C1">
        <w:rPr>
          <w:rFonts w:ascii="Times New Roman" w:eastAsia="Times New Roman" w:hAnsi="Times New Roman" w:cs="Times New Roman"/>
        </w:rPr>
        <w:t xml:space="preserve"> The social interaction threshold distance was defined as 30 mm. </w:t>
      </w:r>
      <w:r w:rsidRPr="006B62C1">
        <w:rPr>
          <w:rFonts w:ascii="Times New Roman" w:eastAsia="Times New Roman" w:hAnsi="Times New Roman" w:cs="Times New Roman"/>
          <w:b/>
        </w:rPr>
        <w:t>A.</w:t>
      </w:r>
      <w:r w:rsidRPr="006B62C1">
        <w:rPr>
          <w:rFonts w:ascii="Times New Roman" w:eastAsia="Times New Roman" w:hAnsi="Times New Roman" w:cs="Times New Roman"/>
        </w:rPr>
        <w:t xml:space="preserve"> No differences in entropy of total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0.023,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0.880;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0.051,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0.821;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2.943,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0.091). </w:t>
      </w:r>
      <w:r w:rsidRPr="006B62C1">
        <w:rPr>
          <w:rFonts w:ascii="Times New Roman" w:eastAsia="Times New Roman" w:hAnsi="Times New Roman" w:cs="Times New Roman"/>
          <w:b/>
        </w:rPr>
        <w:t>B.</w:t>
      </w:r>
      <w:r w:rsidRPr="006B62C1">
        <w:rPr>
          <w:rFonts w:ascii="Times New Roman" w:eastAsia="Times New Roman" w:hAnsi="Times New Roman" w:cs="Times New Roman"/>
        </w:rPr>
        <w:t xml:space="preserve"> No differences in </w:t>
      </w:r>
      <w:r w:rsidRPr="006B62C1">
        <w:rPr>
          <w:rFonts w:ascii="Times New Roman" w:eastAsia="Times New Roman" w:hAnsi="Times New Roman" w:cs="Times New Roman"/>
        </w:rPr>
        <w:lastRenderedPageBreak/>
        <w:t xml:space="preserve">entropy of active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0.390,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0.535;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0.242,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0.624;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0.539,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0.465). </w:t>
      </w:r>
      <w:r w:rsidRPr="006B62C1">
        <w:rPr>
          <w:rFonts w:ascii="Times New Roman" w:eastAsia="Times New Roman" w:hAnsi="Times New Roman" w:cs="Times New Roman"/>
          <w:b/>
        </w:rPr>
        <w:t>C.</w:t>
      </w:r>
      <w:r w:rsidRPr="006B62C1">
        <w:rPr>
          <w:rFonts w:ascii="Times New Roman" w:eastAsia="Times New Roman" w:hAnsi="Times New Roman" w:cs="Times New Roman"/>
        </w:rPr>
        <w:t xml:space="preserve"> No differences in entropy of passive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0.278,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0.600;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0.958×10</w:t>
      </w:r>
      <w:r w:rsidRPr="006B62C1">
        <w:rPr>
          <w:rFonts w:ascii="Times New Roman" w:eastAsia="Times New Roman" w:hAnsi="Times New Roman" w:cs="Times New Roman"/>
          <w:vertAlign w:val="superscript"/>
        </w:rPr>
        <w:t>-5</w:t>
      </w:r>
      <w:r w:rsidRPr="006B62C1">
        <w:rPr>
          <w:rFonts w:ascii="Times New Roman" w:eastAsia="Times New Roman" w:hAnsi="Times New Roman" w:cs="Times New Roman"/>
        </w:rPr>
        <w:t xml:space="preserve">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0.998;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0.819,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0.369). </w:t>
      </w:r>
      <w:r w:rsidRPr="006B62C1">
        <w:rPr>
          <w:rFonts w:ascii="Times New Roman" w:eastAsia="Times New Roman" w:hAnsi="Times New Roman" w:cs="Times New Roman"/>
          <w:b/>
        </w:rPr>
        <w:t>D.</w:t>
      </w:r>
      <w:r w:rsidRPr="006B62C1">
        <w:rPr>
          <w:rFonts w:ascii="Times New Roman" w:eastAsia="Times New Roman" w:hAnsi="Times New Roman" w:cs="Times New Roman"/>
        </w:rPr>
        <w:t xml:space="preserve"> No differences in entropy of total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0.713,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0.402;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0.017,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0.898;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3.374,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0.071). </w:t>
      </w:r>
      <w:r w:rsidRPr="006B62C1">
        <w:rPr>
          <w:rFonts w:ascii="Times New Roman" w:eastAsia="Times New Roman" w:hAnsi="Times New Roman" w:cs="Times New Roman"/>
          <w:b/>
        </w:rPr>
        <w:t>E.</w:t>
      </w:r>
      <w:r w:rsidRPr="006B62C1">
        <w:rPr>
          <w:rFonts w:ascii="Times New Roman" w:eastAsia="Times New Roman" w:hAnsi="Times New Roman" w:cs="Times New Roman"/>
        </w:rPr>
        <w:t xml:space="preserve"> No differences in entropy of active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0.097,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0.756;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0.251,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0.618;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4.027, *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0.049). </w:t>
      </w:r>
      <w:r w:rsidRPr="006B62C1">
        <w:rPr>
          <w:rFonts w:ascii="Times New Roman" w:eastAsia="Times New Roman" w:hAnsi="Times New Roman" w:cs="Times New Roman"/>
          <w:b/>
        </w:rPr>
        <w:t>F.</w:t>
      </w:r>
      <w:r w:rsidRPr="006B62C1">
        <w:rPr>
          <w:rFonts w:ascii="Times New Roman" w:eastAsia="Times New Roman" w:hAnsi="Times New Roman" w:cs="Times New Roman"/>
        </w:rPr>
        <w:t xml:space="preserve"> No differences in entropy of passive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5.959, *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0.017;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0.444,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0.507;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0.607,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0.439). </w:t>
      </w:r>
      <w:r w:rsidRPr="006B62C1">
        <w:rPr>
          <w:rFonts w:ascii="Times New Roman" w:eastAsia="Times New Roman" w:hAnsi="Times New Roman" w:cs="Times New Roman"/>
          <w:b/>
        </w:rPr>
        <w:t>G.</w:t>
      </w:r>
      <w:r w:rsidRPr="006B62C1">
        <w:rPr>
          <w:rFonts w:ascii="Times New Roman" w:eastAsia="Times New Roman" w:hAnsi="Times New Roman" w:cs="Times New Roman"/>
        </w:rPr>
        <w:t xml:space="preserve"> No differences in entropy of total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0.143,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0.707;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0.437,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0.511;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0.338,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0.563). </w:t>
      </w:r>
      <w:r w:rsidRPr="006B62C1">
        <w:rPr>
          <w:rFonts w:ascii="Times New Roman" w:eastAsia="Times New Roman" w:hAnsi="Times New Roman" w:cs="Times New Roman"/>
          <w:b/>
        </w:rPr>
        <w:t>H.</w:t>
      </w:r>
      <w:r w:rsidRPr="006B62C1">
        <w:rPr>
          <w:rFonts w:ascii="Times New Roman" w:eastAsia="Times New Roman" w:hAnsi="Times New Roman" w:cs="Times New Roman"/>
        </w:rPr>
        <w:t xml:space="preserve"> No differences in entropy of active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0.652,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0.422;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2.648,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0.109;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0.026,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0.872). </w:t>
      </w:r>
      <w:r w:rsidRPr="006B62C1">
        <w:rPr>
          <w:rFonts w:ascii="Times New Roman" w:eastAsia="Times New Roman" w:hAnsi="Times New Roman" w:cs="Times New Roman"/>
          <w:b/>
        </w:rPr>
        <w:t>I.</w:t>
      </w:r>
      <w:r w:rsidRPr="006B62C1">
        <w:rPr>
          <w:rFonts w:ascii="Times New Roman" w:eastAsia="Times New Roman" w:hAnsi="Times New Roman" w:cs="Times New Roman"/>
        </w:rPr>
        <w:t xml:space="preserve"> No differences in entropy of passive contacts across genotype and sex (two-way ANOVA, genotype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15q dup- or 15q dup/+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 × sex </w:t>
      </w:r>
      <w:r w:rsidRPr="006B62C1">
        <w:rPr>
          <w:rFonts w:ascii="游明朝" w:eastAsia="游明朝" w:hAnsi="游明朝" w:cs="Times New Roman"/>
        </w:rPr>
        <w:t>[</w:t>
      </w:r>
      <w:r w:rsidRPr="006B62C1">
        <w:rPr>
          <w:rFonts w:ascii="Times New Roman" w:eastAsia="Times New Roman" w:hAnsi="Times New Roman" w:cs="Times New Roman"/>
        </w:rPr>
        <w:t>male or female</w:t>
      </w:r>
      <w:r w:rsidRPr="006B62C1">
        <w:rPr>
          <w:rFonts w:ascii="游明朝" w:eastAsia="游明朝" w:hAnsi="游明朝" w:cs="Times New Roman"/>
        </w:rPr>
        <w:t>]</w:t>
      </w:r>
      <w:r w:rsidRPr="006B62C1">
        <w:rPr>
          <w:rFonts w:ascii="Times New Roman" w:eastAsia="Times New Roman" w:hAnsi="Times New Roman" w:cs="Times New Roman"/>
        </w:rPr>
        <w:t xml:space="preserve"> interaction,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0.275,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0.602; effect of genotype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0.119,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 xml:space="preserve">0.731; effect of sex </w:t>
      </w:r>
      <w:r w:rsidRPr="006B62C1">
        <w:rPr>
          <w:rFonts w:ascii="Times New Roman" w:eastAsia="Times New Roman" w:hAnsi="Times New Roman" w:cs="Times New Roman"/>
          <w:i/>
        </w:rPr>
        <w:t>F</w:t>
      </w:r>
      <w:r w:rsidRPr="006B62C1">
        <w:rPr>
          <w:rFonts w:ascii="Times New Roman" w:eastAsia="Times New Roman" w:hAnsi="Times New Roman" w:cs="Times New Roman"/>
          <w:vertAlign w:val="subscript"/>
        </w:rPr>
        <w:t>1,64</w:t>
      </w:r>
      <w:r w:rsidRPr="006B62C1">
        <w:rPr>
          <w:rFonts w:ascii="Times New Roman" w:eastAsia="Times New Roman" w:hAnsi="Times New Roman" w:cs="Times New Roman"/>
        </w:rPr>
        <w:t xml:space="preserve"> = 1.951, </w:t>
      </w:r>
      <w:r w:rsidRPr="006B62C1">
        <w:rPr>
          <w:rFonts w:ascii="Times New Roman" w:eastAsia="Times New Roman" w:hAnsi="Times New Roman" w:cs="Times New Roman"/>
          <w:i/>
        </w:rPr>
        <w:t xml:space="preserve">p = </w:t>
      </w:r>
      <w:r w:rsidRPr="006B62C1">
        <w:rPr>
          <w:rFonts w:ascii="Times New Roman" w:eastAsia="Times New Roman" w:hAnsi="Times New Roman" w:cs="Times New Roman"/>
        </w:rPr>
        <w:t>0.167).</w:t>
      </w:r>
    </w:p>
    <w:p w14:paraId="7633ECED" w14:textId="77777777" w:rsidR="00422FC3" w:rsidRPr="006B62C1" w:rsidRDefault="00422FC3" w:rsidP="00422FC3">
      <w:pPr>
        <w:spacing w:line="360" w:lineRule="auto"/>
        <w:rPr>
          <w:rFonts w:ascii="Times New Roman" w:eastAsia="游明朝" w:hAnsi="Times New Roman" w:cs="Times New Roman"/>
          <w:sz w:val="24"/>
        </w:rPr>
      </w:pPr>
      <w:r w:rsidRPr="006B62C1">
        <w:rPr>
          <w:rFonts w:ascii="Times New Roman" w:eastAsia="Times New Roman" w:hAnsi="Times New Roman" w:cs="Times New Roman"/>
          <w:sz w:val="24"/>
        </w:rPr>
        <w:t xml:space="preserve">Abbreviation list: </w:t>
      </w:r>
      <w:r w:rsidRPr="006B62C1">
        <w:rPr>
          <w:rFonts w:ascii="Times New Roman" w:eastAsia="游明朝" w:hAnsi="Times New Roman" w:cs="Times New Roman"/>
        </w:rPr>
        <w:t>ANOVA = analysis of variance; 15q dup = 15q11–q13 duplication.</w:t>
      </w:r>
    </w:p>
    <w:p w14:paraId="5A760C6E" w14:textId="77777777" w:rsidR="00422FC3" w:rsidRDefault="00422FC3">
      <w:pPr>
        <w:sectPr w:rsidR="00422FC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DC7C9EC" w14:textId="77777777" w:rsidR="00422FC3" w:rsidRPr="0053562A" w:rsidRDefault="00422FC3" w:rsidP="00422FC3">
      <w:pPr>
        <w:rPr>
          <w:b/>
          <w:bCs/>
        </w:rPr>
      </w:pPr>
      <w:r w:rsidRPr="0053562A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Pr="0053562A">
        <w:rPr>
          <w:rFonts w:ascii="Times New Roman" w:hAnsi="Times New Roman" w:cs="Times New Roman" w:hint="eastAsia"/>
          <w:b/>
          <w:bCs/>
        </w:rPr>
        <w:t xml:space="preserve">1. </w:t>
      </w:r>
      <w:r w:rsidRPr="0053562A">
        <w:rPr>
          <w:rFonts w:ascii="Times New Roman" w:hAnsi="Times New Roman" w:cs="Times New Roman"/>
          <w:b/>
          <w:bCs/>
        </w:rPr>
        <w:t>Psychiatric comorbidities of the ASD sample (N = 253)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9"/>
        <w:gridCol w:w="1276"/>
      </w:tblGrid>
      <w:tr w:rsidR="00422FC3" w:rsidRPr="00CC2F9B" w14:paraId="1BEFBDF9" w14:textId="77777777" w:rsidTr="00BC6342"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</w:tcPr>
          <w:p w14:paraId="749A6D80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Comorbidities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367B09F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N</w:t>
            </w:r>
            <w:r w:rsidRPr="00CC2F9B">
              <w:rPr>
                <w:rFonts w:ascii="Times New Roman" w:hAnsi="Times New Roman" w:cs="Times New Roman" w:hint="eastAsia"/>
              </w:rPr>
              <w:t xml:space="preserve"> (%)</w:t>
            </w:r>
          </w:p>
        </w:tc>
      </w:tr>
      <w:tr w:rsidR="00422FC3" w:rsidRPr="00CC2F9B" w14:paraId="43B0F734" w14:textId="77777777" w:rsidTr="00BC6342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5757B6BF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Attention-Deficit/Hyperactivity Disorder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B0AAD8E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28</w:t>
            </w:r>
            <w:r w:rsidRPr="00CC2F9B">
              <w:rPr>
                <w:rFonts w:ascii="Times New Roman" w:hAnsi="Times New Roman" w:cs="Times New Roman" w:hint="eastAsia"/>
              </w:rPr>
              <w:t xml:space="preserve"> (11.1 %)</w:t>
            </w:r>
          </w:p>
        </w:tc>
      </w:tr>
      <w:tr w:rsidR="00422FC3" w:rsidRPr="00CC2F9B" w14:paraId="624CCF28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7085ED4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Major Depressive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2ADC29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12</w:t>
            </w:r>
            <w:r w:rsidRPr="00CC2F9B">
              <w:rPr>
                <w:rFonts w:ascii="Times New Roman" w:hAnsi="Times New Roman" w:cs="Times New Roman" w:hint="eastAsia"/>
              </w:rPr>
              <w:t xml:space="preserve"> (4.7 %)</w:t>
            </w:r>
          </w:p>
        </w:tc>
      </w:tr>
      <w:tr w:rsidR="00422FC3" w:rsidRPr="00CC2F9B" w14:paraId="645166A7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7B42F90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Obsessive-Compulsive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916EB9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4</w:t>
            </w:r>
            <w:r w:rsidRPr="00CC2F9B">
              <w:rPr>
                <w:rFonts w:ascii="Times New Roman" w:hAnsi="Times New Roman" w:cs="Times New Roman" w:hint="eastAsia"/>
              </w:rPr>
              <w:t xml:space="preserve"> (1.6 %)</w:t>
            </w:r>
          </w:p>
        </w:tc>
      </w:tr>
      <w:tr w:rsidR="00422FC3" w:rsidRPr="00CC2F9B" w14:paraId="19E67BC4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1DBFE65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Adjustment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BB277C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4</w:t>
            </w:r>
            <w:r w:rsidRPr="00CC2F9B">
              <w:rPr>
                <w:rFonts w:ascii="Times New Roman" w:hAnsi="Times New Roman" w:cs="Times New Roman" w:hint="eastAsia"/>
              </w:rPr>
              <w:t xml:space="preserve"> (1.6 %)</w:t>
            </w:r>
          </w:p>
        </w:tc>
      </w:tr>
      <w:tr w:rsidR="00422FC3" w:rsidRPr="00CC2F9B" w14:paraId="4C2AA385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A26DF20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Dysthymia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4AAF10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3</w:t>
            </w:r>
            <w:r w:rsidRPr="00CC2F9B">
              <w:rPr>
                <w:rFonts w:ascii="Times New Roman" w:hAnsi="Times New Roman" w:cs="Times New Roman" w:hint="eastAsia"/>
              </w:rPr>
              <w:t xml:space="preserve"> (1.2 %)</w:t>
            </w:r>
          </w:p>
        </w:tc>
      </w:tr>
      <w:tr w:rsidR="00422FC3" w:rsidRPr="00CC2F9B" w14:paraId="22E1A87E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AD013B1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Alcohol Use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901E28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 w:hint="eastAsia"/>
              </w:rPr>
              <w:t>2 (0.8 %)</w:t>
            </w:r>
          </w:p>
        </w:tc>
      </w:tr>
      <w:tr w:rsidR="00422FC3" w:rsidRPr="00CC2F9B" w14:paraId="7A91B03F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609B9F2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Anxiety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2F6063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 w:hint="eastAsia"/>
              </w:rPr>
              <w:t>2 (0.8 %)</w:t>
            </w:r>
          </w:p>
        </w:tc>
      </w:tr>
      <w:tr w:rsidR="00422FC3" w:rsidRPr="00CC2F9B" w14:paraId="363E824B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234B83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Borderline Personality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14A659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1</w:t>
            </w:r>
            <w:r w:rsidRPr="00CC2F9B">
              <w:rPr>
                <w:rFonts w:ascii="Times New Roman" w:hAnsi="Times New Roman" w:cs="Times New Roman" w:hint="eastAsia"/>
              </w:rPr>
              <w:t xml:space="preserve"> (0.4 %)</w:t>
            </w:r>
          </w:p>
        </w:tc>
      </w:tr>
      <w:tr w:rsidR="00422FC3" w:rsidRPr="00CC2F9B" w14:paraId="7BA14D9C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719488C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Developmental Coordination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00D968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1</w:t>
            </w:r>
            <w:r w:rsidRPr="00CC2F9B">
              <w:rPr>
                <w:rFonts w:ascii="Times New Roman" w:hAnsi="Times New Roman" w:cs="Times New Roman" w:hint="eastAsia"/>
              </w:rPr>
              <w:t xml:space="preserve"> (0.4 %)</w:t>
            </w:r>
          </w:p>
        </w:tc>
      </w:tr>
      <w:tr w:rsidR="00422FC3" w:rsidRPr="00CC2F9B" w14:paraId="4CC822DA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62B49E9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Dissociative Disorders</w:t>
            </w:r>
            <w:r w:rsidRPr="00CC2F9B"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BF73BD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1</w:t>
            </w:r>
            <w:r w:rsidRPr="00CC2F9B">
              <w:rPr>
                <w:rFonts w:ascii="Times New Roman" w:hAnsi="Times New Roman" w:cs="Times New Roman" w:hint="eastAsia"/>
              </w:rPr>
              <w:t xml:space="preserve"> (0.4 %)</w:t>
            </w:r>
          </w:p>
        </w:tc>
      </w:tr>
      <w:tr w:rsidR="00422FC3" w:rsidRPr="00CC2F9B" w14:paraId="517D6723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4EDF584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Eating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F08725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1</w:t>
            </w:r>
            <w:r w:rsidRPr="00CC2F9B">
              <w:rPr>
                <w:rFonts w:ascii="Times New Roman" w:hAnsi="Times New Roman" w:cs="Times New Roman" w:hint="eastAsia"/>
              </w:rPr>
              <w:t xml:space="preserve"> (0.4 %)</w:t>
            </w:r>
          </w:p>
        </w:tc>
      </w:tr>
      <w:tr w:rsidR="00422FC3" w:rsidRPr="00CC2F9B" w14:paraId="46527445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2EA9B9B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Learning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6066BF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1</w:t>
            </w:r>
            <w:r w:rsidRPr="00CC2F9B">
              <w:rPr>
                <w:rFonts w:ascii="Times New Roman" w:hAnsi="Times New Roman" w:cs="Times New Roman" w:hint="eastAsia"/>
              </w:rPr>
              <w:t xml:space="preserve"> (0.4 %)</w:t>
            </w:r>
          </w:p>
        </w:tc>
      </w:tr>
      <w:tr w:rsidR="00422FC3" w:rsidRPr="00CC2F9B" w14:paraId="19D1EC70" w14:textId="77777777" w:rsidTr="00BC634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4434E76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Obsessive-Compulsive Personality Disorder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25E514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1</w:t>
            </w:r>
            <w:r w:rsidRPr="00CC2F9B">
              <w:rPr>
                <w:rFonts w:ascii="Times New Roman" w:hAnsi="Times New Roman" w:cs="Times New Roman" w:hint="eastAsia"/>
              </w:rPr>
              <w:t xml:space="preserve"> (0.4 %)</w:t>
            </w:r>
          </w:p>
        </w:tc>
      </w:tr>
      <w:tr w:rsidR="00422FC3" w:rsidRPr="00CC2F9B" w14:paraId="6D6175D4" w14:textId="77777777" w:rsidTr="00BC6342"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256832B2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Somatic Symptom and Related Disorders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96D9E5F" w14:textId="77777777" w:rsidR="00422FC3" w:rsidRPr="00CC2F9B" w:rsidRDefault="00422FC3" w:rsidP="00BC6342">
            <w:pPr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1</w:t>
            </w:r>
            <w:r w:rsidRPr="00CC2F9B">
              <w:rPr>
                <w:rFonts w:ascii="Times New Roman" w:hAnsi="Times New Roman" w:cs="Times New Roman" w:hint="eastAsia"/>
              </w:rPr>
              <w:t xml:space="preserve"> (0.4 %)</w:t>
            </w:r>
          </w:p>
        </w:tc>
      </w:tr>
    </w:tbl>
    <w:p w14:paraId="4EF2459E" w14:textId="77777777" w:rsidR="00422FC3" w:rsidRDefault="00422FC3" w:rsidP="00422FC3">
      <w:pPr>
        <w:widowControl/>
        <w:jc w:val="left"/>
        <w:rPr>
          <w:rFonts w:ascii="Times New Roman" w:hAnsi="Times New Roman" w:cs="Times New Roman"/>
        </w:rPr>
      </w:pPr>
      <w:r w:rsidRPr="002E0060">
        <w:rPr>
          <w:rFonts w:ascii="Times New Roman" w:hAnsi="Times New Roman" w:cs="Times New Roman"/>
        </w:rPr>
        <w:t xml:space="preserve">Values are presented as n (%). Percentages were calculated based on the total </w:t>
      </w:r>
      <w:r>
        <w:rPr>
          <w:rFonts w:ascii="Times New Roman" w:hAnsi="Times New Roman" w:cs="Times New Roman" w:hint="eastAsia"/>
        </w:rPr>
        <w:t>autism spectrum disorder (</w:t>
      </w:r>
      <w:r w:rsidRPr="002E0060">
        <w:rPr>
          <w:rFonts w:ascii="Times New Roman" w:hAnsi="Times New Roman" w:cs="Times New Roman"/>
        </w:rPr>
        <w:t>ASD</w:t>
      </w:r>
      <w:r>
        <w:rPr>
          <w:rFonts w:ascii="Times New Roman" w:hAnsi="Times New Roman" w:cs="Times New Roman" w:hint="eastAsia"/>
        </w:rPr>
        <w:t>)</w:t>
      </w:r>
      <w:r w:rsidRPr="002E0060">
        <w:rPr>
          <w:rFonts w:ascii="Times New Roman" w:hAnsi="Times New Roman" w:cs="Times New Roman"/>
        </w:rPr>
        <w:t xml:space="preserve"> sample (N = 253). Psychiatric diagnoses were based on DSM-5 criteria. The total number represents the sum of comorbid conditions; overall, 5</w:t>
      </w:r>
      <w:r>
        <w:rPr>
          <w:rFonts w:ascii="Times New Roman" w:hAnsi="Times New Roman" w:cs="Times New Roman" w:hint="eastAsia"/>
        </w:rPr>
        <w:t>2</w:t>
      </w:r>
      <w:r w:rsidRPr="002E0060">
        <w:rPr>
          <w:rFonts w:ascii="Times New Roman" w:hAnsi="Times New Roman" w:cs="Times New Roman"/>
        </w:rPr>
        <w:t xml:space="preserve"> participants had at least one comorbid diagnosis, and some participants had more than one comorbid diagnosis.</w:t>
      </w:r>
    </w:p>
    <w:p w14:paraId="3F65A520" w14:textId="77777777" w:rsidR="00422FC3" w:rsidRDefault="00422FC3" w:rsidP="00422FC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7C9797" w14:textId="77777777" w:rsidR="00422FC3" w:rsidRDefault="00422FC3" w:rsidP="00422FC3">
      <w:pPr>
        <w:widowControl/>
        <w:jc w:val="left"/>
        <w:rPr>
          <w:rFonts w:ascii="Times New Roman" w:hAnsi="Times New Roman" w:cs="Times New Roman"/>
          <w:b/>
          <w:bCs/>
        </w:rPr>
      </w:pPr>
      <w:r w:rsidRPr="008D6B47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2</w:t>
      </w:r>
      <w:r w:rsidRPr="008D6B4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53562A">
        <w:rPr>
          <w:rFonts w:ascii="Times New Roman" w:hAnsi="Times New Roman" w:cs="Times New Roman"/>
          <w:b/>
          <w:bCs/>
        </w:rPr>
        <w:t>Medication categories in the ASD sample (N = 253)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1276"/>
      </w:tblGrid>
      <w:tr w:rsidR="00422FC3" w14:paraId="14B6D6F8" w14:textId="77777777" w:rsidTr="00BC6342">
        <w:tc>
          <w:tcPr>
            <w:tcW w:w="3397" w:type="dxa"/>
            <w:tcBorders>
              <w:left w:val="nil"/>
              <w:bottom w:val="single" w:sz="4" w:space="0" w:color="auto"/>
              <w:right w:val="nil"/>
            </w:tcBorders>
          </w:tcPr>
          <w:p w14:paraId="7BD042F6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E70258">
              <w:rPr>
                <w:rFonts w:ascii="Times New Roman" w:hAnsi="Times New Roman" w:cs="Times New Roman"/>
              </w:rPr>
              <w:t>Medication categories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FA5BFAA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C2F9B">
              <w:rPr>
                <w:rFonts w:ascii="Times New Roman" w:hAnsi="Times New Roman" w:cs="Times New Roman"/>
              </w:rPr>
              <w:t>N</w:t>
            </w:r>
            <w:r w:rsidRPr="00CC2F9B">
              <w:rPr>
                <w:rFonts w:ascii="Times New Roman" w:hAnsi="Times New Roman" w:cs="Times New Roman" w:hint="eastAsia"/>
              </w:rPr>
              <w:t xml:space="preserve"> (%)</w:t>
            </w:r>
          </w:p>
        </w:tc>
      </w:tr>
      <w:tr w:rsidR="00422FC3" w14:paraId="278F1613" w14:textId="77777777" w:rsidTr="00BC6342"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4561A576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Antidepressants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E1570A4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 (32.4%)</w:t>
            </w:r>
          </w:p>
        </w:tc>
      </w:tr>
      <w:tr w:rsidR="00422FC3" w14:paraId="6AEEB2D1" w14:textId="77777777" w:rsidTr="00BC6342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74EB038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Benzodiazepines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CB1B99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 (28.9%)</w:t>
            </w:r>
          </w:p>
        </w:tc>
      </w:tr>
      <w:tr w:rsidR="00422FC3" w14:paraId="3F5C286E" w14:textId="77777777" w:rsidTr="00BC6342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24EEDE4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Atypical antipsychotics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092850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 (19.8%)</w:t>
            </w:r>
          </w:p>
        </w:tc>
      </w:tr>
      <w:tr w:rsidR="00422FC3" w14:paraId="6BCCCAB3" w14:textId="77777777" w:rsidTr="00BC6342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D87D39C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Mood stabilizers / antiepileptic drugs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CDE4BB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 (8.7%)</w:t>
            </w:r>
          </w:p>
        </w:tc>
      </w:tr>
      <w:tr w:rsidR="00422FC3" w14:paraId="31529647" w14:textId="77777777" w:rsidTr="00BC6342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A891D1B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ADHD </w:t>
            </w:r>
            <w:r w:rsidRPr="005D55C6">
              <w:rPr>
                <w:rFonts w:ascii="Times New Roman" w:hAnsi="Times New Roman" w:cs="Times New Roman"/>
              </w:rPr>
              <w:t>medications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2E53D2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 (8.3%)</w:t>
            </w:r>
          </w:p>
        </w:tc>
      </w:tr>
      <w:tr w:rsidR="00422FC3" w14:paraId="20944020" w14:textId="77777777" w:rsidTr="00BC6342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85BE65A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Non-benzodiazepine hypnotics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A0EC41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 (7.9%)</w:t>
            </w:r>
          </w:p>
        </w:tc>
      </w:tr>
      <w:tr w:rsidR="00422FC3" w14:paraId="3FF8A8A1" w14:textId="77777777" w:rsidTr="00BC6342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26CBC2D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Non-benzodiazepine anxiolytics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7BFF29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(3.6%)</w:t>
            </w:r>
          </w:p>
        </w:tc>
      </w:tr>
      <w:tr w:rsidR="00422FC3" w14:paraId="21C416EE" w14:textId="77777777" w:rsidTr="00BC6342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169EF12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Orexin receptor antagonists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05636D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(2.8%)</w:t>
            </w:r>
          </w:p>
        </w:tc>
      </w:tr>
      <w:tr w:rsidR="00422FC3" w14:paraId="00A4A1F8" w14:textId="77777777" w:rsidTr="00BC6342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AB06320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Typical antipsychotics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D7CB71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(2.0%)</w:t>
            </w:r>
          </w:p>
        </w:tc>
      </w:tr>
      <w:tr w:rsidR="00422FC3" w14:paraId="10371515" w14:textId="77777777" w:rsidTr="00BC6342">
        <w:tc>
          <w:tcPr>
            <w:tcW w:w="3397" w:type="dxa"/>
            <w:tcBorders>
              <w:top w:val="nil"/>
              <w:left w:val="nil"/>
              <w:right w:val="nil"/>
            </w:tcBorders>
          </w:tcPr>
          <w:p w14:paraId="46E65A7F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5D55C6">
              <w:rPr>
                <w:rFonts w:ascii="Times New Roman" w:hAnsi="Times New Roman" w:cs="Times New Roman"/>
              </w:rPr>
              <w:t>Antiparkinsonian drugs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E2A84D8" w14:textId="77777777" w:rsidR="00422FC3" w:rsidRPr="00405EDD" w:rsidRDefault="00422FC3" w:rsidP="00BC634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(1.2%)</w:t>
            </w:r>
          </w:p>
        </w:tc>
      </w:tr>
    </w:tbl>
    <w:p w14:paraId="2C308C77" w14:textId="77777777" w:rsidR="00422FC3" w:rsidRDefault="00422FC3" w:rsidP="00422FC3">
      <w:pPr>
        <w:widowControl/>
        <w:jc w:val="left"/>
        <w:rPr>
          <w:rFonts w:ascii="Times New Roman" w:hAnsi="Times New Roman" w:cs="Times New Roman"/>
        </w:rPr>
      </w:pPr>
      <w:r w:rsidRPr="0053562A">
        <w:rPr>
          <w:rFonts w:ascii="Times New Roman" w:hAnsi="Times New Roman" w:cs="Times New Roman"/>
        </w:rPr>
        <w:t xml:space="preserve">Values are presented as n (%). Percentages were calculated based on the total </w:t>
      </w:r>
      <w:r>
        <w:rPr>
          <w:rFonts w:ascii="Times New Roman" w:hAnsi="Times New Roman" w:cs="Times New Roman" w:hint="eastAsia"/>
        </w:rPr>
        <w:t>autism spectrum disorder (</w:t>
      </w:r>
      <w:r w:rsidRPr="002E0060">
        <w:rPr>
          <w:rFonts w:ascii="Times New Roman" w:hAnsi="Times New Roman" w:cs="Times New Roman"/>
        </w:rPr>
        <w:t>ASD</w:t>
      </w:r>
      <w:r>
        <w:rPr>
          <w:rFonts w:ascii="Times New Roman" w:hAnsi="Times New Roman" w:cs="Times New Roman" w:hint="eastAsia"/>
        </w:rPr>
        <w:t>)</w:t>
      </w:r>
      <w:r w:rsidRPr="0053562A">
        <w:rPr>
          <w:rFonts w:ascii="Times New Roman" w:hAnsi="Times New Roman" w:cs="Times New Roman"/>
        </w:rPr>
        <w:t xml:space="preserve"> sample (N = 253). Multiple medications per participant were allowed.</w:t>
      </w:r>
    </w:p>
    <w:p w14:paraId="7C92B248" w14:textId="77777777" w:rsidR="00422FC3" w:rsidRDefault="00422FC3" w:rsidP="00422FC3">
      <w:pPr>
        <w:rPr>
          <w:rFonts w:ascii="Times New Roman" w:hAnsi="Times New Roman" w:cs="Times New Roman"/>
        </w:rPr>
        <w:sectPr w:rsidR="00422FC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8D6B47"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 w:hint="eastAsia"/>
        </w:rPr>
        <w:t xml:space="preserve"> ADHD, </w:t>
      </w:r>
      <w:r w:rsidRPr="00CC2F9B">
        <w:rPr>
          <w:rFonts w:ascii="Times New Roman" w:hAnsi="Times New Roman" w:cs="Times New Roman"/>
        </w:rPr>
        <w:t>Attention-Deficit/Hyperactivity Disorder</w:t>
      </w:r>
      <w:r>
        <w:rPr>
          <w:rFonts w:ascii="Times New Roman" w:hAnsi="Times New Roman" w:cs="Times New Roman" w:hint="eastAsia"/>
        </w:rPr>
        <w:t>.</w:t>
      </w:r>
    </w:p>
    <w:p w14:paraId="506C8E51" w14:textId="77777777" w:rsidR="00422FC3" w:rsidRPr="008D6B47" w:rsidRDefault="00422FC3" w:rsidP="00422FC3">
      <w:pPr>
        <w:spacing w:line="360" w:lineRule="auto"/>
        <w:rPr>
          <w:rFonts w:ascii="Times New Roman" w:hAnsi="Times New Roman" w:cs="Times New Roman"/>
          <w:b/>
          <w:bCs/>
        </w:rPr>
      </w:pPr>
      <w:r w:rsidRPr="008D6B47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3</w:t>
      </w:r>
      <w:r w:rsidRPr="008D6B47">
        <w:rPr>
          <w:rFonts w:ascii="Times New Roman" w:hAnsi="Times New Roman" w:cs="Times New Roman"/>
          <w:b/>
          <w:bCs/>
        </w:rPr>
        <w:t>. Cross-species mapping of human measures and mouse behavioral tasks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  <w:gridCol w:w="3061"/>
        <w:gridCol w:w="3061"/>
      </w:tblGrid>
      <w:tr w:rsidR="00422FC3" w:rsidRPr="008D6B47" w14:paraId="6140EA8C" w14:textId="77777777" w:rsidTr="00BC6342">
        <w:tc>
          <w:tcPr>
            <w:tcW w:w="3060" w:type="dxa"/>
            <w:tcBorders>
              <w:left w:val="nil"/>
              <w:bottom w:val="single" w:sz="4" w:space="0" w:color="auto"/>
              <w:right w:val="nil"/>
            </w:tcBorders>
          </w:tcPr>
          <w:p w14:paraId="6F9CA492" w14:textId="77777777" w:rsidR="00422FC3" w:rsidRPr="008D6B47" w:rsidRDefault="00422FC3" w:rsidP="00BC6342">
            <w:pPr>
              <w:rPr>
                <w:rFonts w:ascii="Times New Roman" w:hAnsi="Times New Roman" w:cs="Times New Roman"/>
                <w:b/>
                <w:bCs/>
              </w:rPr>
            </w:pPr>
            <w:r w:rsidRPr="008D6B47">
              <w:rPr>
                <w:rFonts w:ascii="Times New Roman" w:hAnsi="Times New Roman" w:cs="Times New Roman"/>
                <w:b/>
                <w:bCs/>
              </w:rPr>
              <w:t>Symptom / Domain</w:t>
            </w:r>
          </w:p>
        </w:tc>
        <w:tc>
          <w:tcPr>
            <w:tcW w:w="3061" w:type="dxa"/>
            <w:tcBorders>
              <w:left w:val="nil"/>
              <w:bottom w:val="single" w:sz="4" w:space="0" w:color="auto"/>
              <w:right w:val="nil"/>
            </w:tcBorders>
          </w:tcPr>
          <w:p w14:paraId="67626B80" w14:textId="77777777" w:rsidR="00422FC3" w:rsidRPr="008D6B47" w:rsidRDefault="00422FC3" w:rsidP="00BC6342">
            <w:pPr>
              <w:rPr>
                <w:rFonts w:ascii="Times New Roman" w:hAnsi="Times New Roman" w:cs="Times New Roman"/>
                <w:b/>
                <w:bCs/>
              </w:rPr>
            </w:pPr>
            <w:r w:rsidRPr="008D6B47">
              <w:rPr>
                <w:rFonts w:ascii="Times New Roman" w:hAnsi="Times New Roman" w:cs="Times New Roman"/>
                <w:b/>
                <w:bCs/>
              </w:rPr>
              <w:t>Human Measure</w:t>
            </w:r>
          </w:p>
        </w:tc>
        <w:tc>
          <w:tcPr>
            <w:tcW w:w="3061" w:type="dxa"/>
            <w:tcBorders>
              <w:left w:val="nil"/>
              <w:bottom w:val="single" w:sz="4" w:space="0" w:color="auto"/>
              <w:right w:val="nil"/>
            </w:tcBorders>
          </w:tcPr>
          <w:p w14:paraId="45C2EE15" w14:textId="77777777" w:rsidR="00422FC3" w:rsidRPr="008D6B47" w:rsidRDefault="00422FC3" w:rsidP="00BC6342">
            <w:pPr>
              <w:rPr>
                <w:rFonts w:ascii="Times New Roman" w:hAnsi="Times New Roman" w:cs="Times New Roman"/>
                <w:b/>
                <w:bCs/>
              </w:rPr>
            </w:pPr>
            <w:r w:rsidRPr="008D6B47">
              <w:rPr>
                <w:rFonts w:ascii="Times New Roman" w:hAnsi="Times New Roman" w:cs="Times New Roman"/>
                <w:b/>
                <w:bCs/>
              </w:rPr>
              <w:t>Primary Outcome</w:t>
            </w:r>
          </w:p>
        </w:tc>
        <w:tc>
          <w:tcPr>
            <w:tcW w:w="3061" w:type="dxa"/>
            <w:tcBorders>
              <w:left w:val="nil"/>
              <w:bottom w:val="single" w:sz="4" w:space="0" w:color="auto"/>
              <w:right w:val="nil"/>
            </w:tcBorders>
          </w:tcPr>
          <w:p w14:paraId="62347AA3" w14:textId="77777777" w:rsidR="00422FC3" w:rsidRPr="008D6B47" w:rsidRDefault="00422FC3" w:rsidP="00BC6342">
            <w:pPr>
              <w:rPr>
                <w:rFonts w:ascii="Times New Roman" w:hAnsi="Times New Roman" w:cs="Times New Roman"/>
                <w:b/>
                <w:bCs/>
              </w:rPr>
            </w:pPr>
            <w:r w:rsidRPr="008D6B47">
              <w:rPr>
                <w:rFonts w:ascii="Times New Roman" w:hAnsi="Times New Roman" w:cs="Times New Roman"/>
                <w:b/>
                <w:bCs/>
              </w:rPr>
              <w:t>Mouse Task</w:t>
            </w:r>
          </w:p>
        </w:tc>
        <w:tc>
          <w:tcPr>
            <w:tcW w:w="3061" w:type="dxa"/>
            <w:tcBorders>
              <w:left w:val="nil"/>
              <w:bottom w:val="single" w:sz="4" w:space="0" w:color="auto"/>
              <w:right w:val="nil"/>
            </w:tcBorders>
          </w:tcPr>
          <w:p w14:paraId="1251A558" w14:textId="77777777" w:rsidR="00422FC3" w:rsidRPr="008D6B47" w:rsidRDefault="00422FC3" w:rsidP="00BC6342">
            <w:pPr>
              <w:rPr>
                <w:rFonts w:ascii="Times New Roman" w:hAnsi="Times New Roman" w:cs="Times New Roman"/>
                <w:b/>
                <w:bCs/>
              </w:rPr>
            </w:pPr>
            <w:r w:rsidRPr="008D6B47">
              <w:rPr>
                <w:rFonts w:ascii="Times New Roman" w:hAnsi="Times New Roman" w:cs="Times New Roman"/>
                <w:b/>
                <w:bCs/>
              </w:rPr>
              <w:t>Primary Behavioral Index</w:t>
            </w:r>
          </w:p>
        </w:tc>
      </w:tr>
      <w:tr w:rsidR="00422FC3" w:rsidRPr="008D6B47" w14:paraId="63E7D4F1" w14:textId="77777777" w:rsidTr="00BC6342">
        <w:tc>
          <w:tcPr>
            <w:tcW w:w="3060" w:type="dxa"/>
            <w:tcBorders>
              <w:left w:val="nil"/>
              <w:bottom w:val="nil"/>
              <w:right w:val="nil"/>
            </w:tcBorders>
          </w:tcPr>
          <w:p w14:paraId="1272E4F0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Sensory sensitivity/avoidance</w:t>
            </w: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</w:tcPr>
          <w:p w14:paraId="5CC58A20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AASP (Sensory Sensitivity, Sensation Avoiding)</w:t>
            </w: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</w:tcPr>
          <w:p w14:paraId="2150DDA5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Heightened sensory responsivity</w:t>
            </w: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</w:tcPr>
          <w:p w14:paraId="3653CB9F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Open field test (bright vs dim light conditions)</w:t>
            </w:r>
          </w:p>
        </w:tc>
        <w:tc>
          <w:tcPr>
            <w:tcW w:w="3061" w:type="dxa"/>
            <w:tcBorders>
              <w:left w:val="nil"/>
              <w:bottom w:val="nil"/>
              <w:right w:val="nil"/>
            </w:tcBorders>
          </w:tcPr>
          <w:p w14:paraId="47B773F2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Center time, center distance ratio</w:t>
            </w:r>
          </w:p>
        </w:tc>
      </w:tr>
      <w:tr w:rsidR="00422FC3" w:rsidRPr="008D6B47" w14:paraId="097FCE82" w14:textId="77777777" w:rsidTr="00BC6342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4FE10D12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Light-related sensory response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07BF5E7C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AASP (Sensory Sensitivity)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3986096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Sensitivity to sensory input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17BE3469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Light–dark transition test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76ED526B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Time in light/dark compartments</w:t>
            </w:r>
          </w:p>
        </w:tc>
      </w:tr>
      <w:tr w:rsidR="00422FC3" w:rsidRPr="008D6B47" w14:paraId="7E87D190" w14:textId="77777777" w:rsidTr="00BC6342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721F99E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Social behavior (observational)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D71D234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ADOS-2 (Social Affect)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299EA62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Observable social interaction patterns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75C1951A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Social approach task (AR-LABO)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1E820F0B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Frequency and duration of active social approaches</w:t>
            </w:r>
          </w:p>
        </w:tc>
      </w:tr>
      <w:tr w:rsidR="00422FC3" w:rsidRPr="008D6B47" w14:paraId="42DCE92D" w14:textId="77777777" w:rsidTr="00BC6342">
        <w:tc>
          <w:tcPr>
            <w:tcW w:w="3060" w:type="dxa"/>
            <w:tcBorders>
              <w:top w:val="nil"/>
              <w:left w:val="nil"/>
              <w:right w:val="nil"/>
            </w:tcBorders>
          </w:tcPr>
          <w:p w14:paraId="3B7F86D6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Autistic traits (self-report)</w:t>
            </w:r>
          </w:p>
        </w:tc>
        <w:tc>
          <w:tcPr>
            <w:tcW w:w="3061" w:type="dxa"/>
            <w:tcBorders>
              <w:top w:val="nil"/>
              <w:left w:val="nil"/>
              <w:right w:val="nil"/>
            </w:tcBorders>
          </w:tcPr>
          <w:p w14:paraId="26648D98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AQ-J</w:t>
            </w:r>
          </w:p>
        </w:tc>
        <w:tc>
          <w:tcPr>
            <w:tcW w:w="3061" w:type="dxa"/>
            <w:tcBorders>
              <w:top w:val="nil"/>
              <w:left w:val="nil"/>
              <w:right w:val="nil"/>
            </w:tcBorders>
          </w:tcPr>
          <w:p w14:paraId="7A98CF7D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Subjective autistic traits</w:t>
            </w:r>
          </w:p>
        </w:tc>
        <w:tc>
          <w:tcPr>
            <w:tcW w:w="3061" w:type="dxa"/>
            <w:tcBorders>
              <w:top w:val="nil"/>
              <w:left w:val="nil"/>
              <w:right w:val="nil"/>
            </w:tcBorders>
          </w:tcPr>
          <w:p w14:paraId="535CF55B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061" w:type="dxa"/>
            <w:tcBorders>
              <w:top w:val="nil"/>
              <w:left w:val="nil"/>
              <w:right w:val="nil"/>
            </w:tcBorders>
          </w:tcPr>
          <w:p w14:paraId="303D8325" w14:textId="77777777" w:rsidR="00422FC3" w:rsidRPr="008D6B47" w:rsidRDefault="00422FC3" w:rsidP="00BC6342">
            <w:pPr>
              <w:rPr>
                <w:rFonts w:ascii="Times New Roman" w:hAnsi="Times New Roman" w:cs="Times New Roman"/>
              </w:rPr>
            </w:pPr>
            <w:r w:rsidRPr="008D6B47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2FEA28CF" w14:textId="77777777" w:rsidR="00422FC3" w:rsidRPr="008D6B47" w:rsidRDefault="00422FC3" w:rsidP="00422FC3">
      <w:pPr>
        <w:rPr>
          <w:rFonts w:ascii="Times New Roman" w:hAnsi="Times New Roman" w:cs="Times New Roman"/>
        </w:rPr>
      </w:pPr>
      <w:r w:rsidRPr="008D6B47">
        <w:rPr>
          <w:rFonts w:ascii="Times New Roman" w:hAnsi="Times New Roman" w:cs="Times New Roman"/>
        </w:rPr>
        <w:t xml:space="preserve">This table summarizes the correspondence between human clinical and self-report measures and the behavioral tasks used in the 15q dup/+ mouse model. Human measures are paired with mouse tasks based on shared symptom domains and primary behavioral outcomes, with the aim of facilitating interpretation of the cross-species design. The mappings are phenotype-based and intended to aid conceptual alignment rather than to imply direct mechanistic equivalence across species. </w:t>
      </w:r>
    </w:p>
    <w:p w14:paraId="452C4F49" w14:textId="77777777" w:rsidR="00422FC3" w:rsidRDefault="00422FC3" w:rsidP="00422FC3">
      <w:pPr>
        <w:rPr>
          <w:rFonts w:ascii="Times New Roman" w:hAnsi="Times New Roman" w:cs="Times New Roman"/>
        </w:rPr>
      </w:pPr>
      <w:r w:rsidRPr="008D6B47">
        <w:rPr>
          <w:rFonts w:ascii="Times New Roman" w:hAnsi="Times New Roman" w:cs="Times New Roman"/>
        </w:rPr>
        <w:t>Abbreviations: AASP, Adolescent/Adult Sensory Profile; ADOS-2, Autism Diagnostic Observation Schedule, Second Edition; AQ-J, Autism-Spectrum Quotient, Japanese version.</w:t>
      </w:r>
    </w:p>
    <w:p w14:paraId="25476FDA" w14:textId="5D896FCB" w:rsidR="00422FC3" w:rsidRPr="00422FC3" w:rsidRDefault="00422FC3" w:rsidP="00422FC3">
      <w:pPr>
        <w:rPr>
          <w:rFonts w:hint="eastAsia"/>
        </w:rPr>
      </w:pPr>
    </w:p>
    <w:sectPr w:rsidR="00422FC3" w:rsidRPr="00422FC3" w:rsidSect="00422FC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C3"/>
    <w:rsid w:val="00183583"/>
    <w:rsid w:val="00422FC3"/>
    <w:rsid w:val="006A5E73"/>
    <w:rsid w:val="007072E3"/>
    <w:rsid w:val="00C3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B959F2"/>
  <w15:chartTrackingRefBased/>
  <w15:docId w15:val="{5A309E16-DF03-45FB-A6AD-A1C30E52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F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F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F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F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F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F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F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F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2F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2F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2F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22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2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2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2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2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2F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2F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22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F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22F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F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22F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F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22F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2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22F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22FC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22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和彦 山室</dc:creator>
  <cp:keywords/>
  <dc:description/>
  <cp:lastModifiedBy>和彦 山室</cp:lastModifiedBy>
  <cp:revision>1</cp:revision>
  <dcterms:created xsi:type="dcterms:W3CDTF">2026-03-12T14:27:00Z</dcterms:created>
  <dcterms:modified xsi:type="dcterms:W3CDTF">2026-03-12T14:32:00Z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d0915bad-572e-4b04-bbcc-318266d0830e</vt:lpwstr>
  </property>
</Properties>
</file>