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5D3C" w14:textId="7EAF99C4" w:rsidR="00CF7E30" w:rsidRPr="0001349A" w:rsidRDefault="00CF7E30">
      <w:pPr>
        <w:rPr>
          <w:rFonts w:ascii="Times New Roman" w:hAnsi="Times New Roman" w:cs="Times New Roman"/>
          <w:b/>
          <w:bCs/>
        </w:rPr>
      </w:pPr>
      <w:r w:rsidRPr="0001349A">
        <w:rPr>
          <w:rFonts w:ascii="Times New Roman" w:hAnsi="Times New Roman" w:cs="Times New Roman"/>
          <w:b/>
          <w:bCs/>
        </w:rPr>
        <w:t>Supplementary figure legend</w:t>
      </w:r>
    </w:p>
    <w:p w14:paraId="45A13D9D" w14:textId="77777777" w:rsidR="00174296" w:rsidRPr="0001349A" w:rsidRDefault="00174296" w:rsidP="00174296">
      <w:pPr>
        <w:pStyle w:val="Caption"/>
        <w:jc w:val="left"/>
        <w:rPr>
          <w:rFonts w:ascii="Times New Roman" w:hAnsi="Times New Roman" w:cs="Times New Roman"/>
          <w:b/>
          <w:bCs/>
        </w:rPr>
      </w:pPr>
      <w:r w:rsidRPr="0001349A">
        <w:rPr>
          <w:rFonts w:ascii="Times New Roman" w:hAnsi="Times New Roman" w:cs="Times New Roman"/>
          <w:b/>
          <w:bCs/>
        </w:rPr>
        <w:t>Fig.S</w:t>
      </w:r>
      <w:r w:rsidRPr="0001349A">
        <w:rPr>
          <w:rFonts w:ascii="Times New Roman" w:hAnsi="Times New Roman" w:cs="Times New Roman"/>
          <w:b/>
          <w:bCs/>
        </w:rPr>
        <w:fldChar w:fldCharType="begin"/>
      </w:r>
      <w:r w:rsidRPr="0001349A">
        <w:rPr>
          <w:rFonts w:ascii="Times New Roman" w:hAnsi="Times New Roman" w:cs="Times New Roman"/>
          <w:b/>
          <w:bCs/>
        </w:rPr>
        <w:instrText xml:space="preserve"> SEQ SFigure \* ARABIC </w:instrText>
      </w:r>
      <w:r w:rsidRPr="0001349A">
        <w:rPr>
          <w:rFonts w:ascii="Times New Roman" w:hAnsi="Times New Roman" w:cs="Times New Roman"/>
          <w:b/>
          <w:bCs/>
        </w:rPr>
        <w:fldChar w:fldCharType="separate"/>
      </w:r>
      <w:r w:rsidRPr="0001349A">
        <w:rPr>
          <w:rFonts w:ascii="Times New Roman" w:hAnsi="Times New Roman" w:cs="Times New Roman"/>
          <w:b/>
          <w:bCs/>
          <w:noProof/>
        </w:rPr>
        <w:t>1</w:t>
      </w:r>
      <w:r w:rsidRPr="0001349A">
        <w:rPr>
          <w:rFonts w:ascii="Times New Roman" w:hAnsi="Times New Roman" w:cs="Times New Roman"/>
          <w:b/>
          <w:bCs/>
          <w:noProof/>
        </w:rPr>
        <w:fldChar w:fldCharType="end"/>
      </w:r>
      <w:r w:rsidRPr="0001349A">
        <w:rPr>
          <w:rFonts w:ascii="Times New Roman" w:hAnsi="Times New Roman" w:cs="Times New Roman"/>
          <w:b/>
          <w:bCs/>
        </w:rPr>
        <w:t xml:space="preserve"> General compositions of gut microbiota between groups</w:t>
      </w:r>
    </w:p>
    <w:p w14:paraId="1220A8E2" w14:textId="77777777" w:rsidR="00174296" w:rsidRPr="0001349A" w:rsidRDefault="00174296" w:rsidP="00174296">
      <w:pPr>
        <w:rPr>
          <w:rFonts w:ascii="Times New Roman" w:hAnsi="Times New Roman" w:cs="Times New Roman"/>
          <w:sz w:val="20"/>
          <w:szCs w:val="20"/>
        </w:rPr>
      </w:pPr>
      <w:r w:rsidRPr="0001349A">
        <w:rPr>
          <w:rFonts w:ascii="Times New Roman" w:hAnsi="Times New Roman" w:cs="Times New Roman"/>
          <w:sz w:val="20"/>
          <w:szCs w:val="20"/>
        </w:rPr>
        <w:t>(A) Rarefaction curve. (B)Venn diagram showing the overlap of high-abundance ASVs (relative abundance &gt;1%) among different groups. (C-D) Stacked bar plots illustrating gut microbiota composition at the phylum level (C) and genus level (D).</w:t>
      </w:r>
    </w:p>
    <w:p w14:paraId="041EE62C" w14:textId="77777777" w:rsidR="00CF7E30" w:rsidRPr="0001349A" w:rsidRDefault="00CF7E30">
      <w:pPr>
        <w:rPr>
          <w:rFonts w:ascii="Times New Roman" w:hAnsi="Times New Roman" w:cs="Times New Roman"/>
          <w:b/>
          <w:bCs/>
        </w:rPr>
      </w:pPr>
    </w:p>
    <w:p w14:paraId="41301844" w14:textId="77777777" w:rsidR="00174296" w:rsidRPr="0001349A" w:rsidRDefault="00174296" w:rsidP="00174296">
      <w:pPr>
        <w:pStyle w:val="Caption"/>
        <w:jc w:val="left"/>
        <w:rPr>
          <w:rFonts w:ascii="Times New Roman" w:hAnsi="Times New Roman" w:cs="Times New Roman"/>
          <w:b/>
          <w:bCs/>
        </w:rPr>
      </w:pPr>
      <w:r w:rsidRPr="0001349A">
        <w:rPr>
          <w:rFonts w:ascii="Times New Roman" w:hAnsi="Times New Roman" w:cs="Times New Roman"/>
          <w:b/>
          <w:bCs/>
        </w:rPr>
        <w:t>Fig.S</w:t>
      </w:r>
      <w:r w:rsidRPr="0001349A">
        <w:rPr>
          <w:rFonts w:ascii="Times New Roman" w:hAnsi="Times New Roman" w:cs="Times New Roman"/>
          <w:b/>
          <w:bCs/>
        </w:rPr>
        <w:fldChar w:fldCharType="begin"/>
      </w:r>
      <w:r w:rsidRPr="0001349A">
        <w:rPr>
          <w:rFonts w:ascii="Times New Roman" w:hAnsi="Times New Roman" w:cs="Times New Roman"/>
          <w:b/>
          <w:bCs/>
        </w:rPr>
        <w:instrText xml:space="preserve"> SEQ SFigure \* ARABIC </w:instrText>
      </w:r>
      <w:r w:rsidRPr="0001349A">
        <w:rPr>
          <w:rFonts w:ascii="Times New Roman" w:hAnsi="Times New Roman" w:cs="Times New Roman"/>
          <w:b/>
          <w:bCs/>
        </w:rPr>
        <w:fldChar w:fldCharType="separate"/>
      </w:r>
      <w:r w:rsidRPr="0001349A">
        <w:rPr>
          <w:rFonts w:ascii="Times New Roman" w:hAnsi="Times New Roman" w:cs="Times New Roman"/>
          <w:b/>
          <w:bCs/>
          <w:noProof/>
        </w:rPr>
        <w:t>2</w:t>
      </w:r>
      <w:r w:rsidRPr="0001349A">
        <w:rPr>
          <w:rFonts w:ascii="Times New Roman" w:hAnsi="Times New Roman" w:cs="Times New Roman"/>
          <w:b/>
          <w:bCs/>
          <w:noProof/>
        </w:rPr>
        <w:fldChar w:fldCharType="end"/>
      </w:r>
      <w:r w:rsidRPr="0001349A">
        <w:rPr>
          <w:rFonts w:ascii="Times New Roman" w:hAnsi="Times New Roman" w:cs="Times New Roman"/>
          <w:b/>
          <w:bCs/>
          <w:noProof/>
        </w:rPr>
        <w:t xml:space="preserve"> </w:t>
      </w:r>
      <w:r w:rsidRPr="0001349A">
        <w:rPr>
          <w:rFonts w:ascii="Times New Roman" w:hAnsi="Times New Roman" w:cs="Times New Roman"/>
          <w:b/>
          <w:bCs/>
        </w:rPr>
        <w:t>Diversity analysis of gut microbiota between groups</w:t>
      </w:r>
    </w:p>
    <w:p w14:paraId="6D1FCE27" w14:textId="77777777" w:rsidR="00174296" w:rsidRPr="0001349A" w:rsidRDefault="00174296" w:rsidP="00174296">
      <w:pPr>
        <w:rPr>
          <w:rFonts w:ascii="Times New Roman" w:hAnsi="Times New Roman" w:cs="Times New Roman"/>
          <w:sz w:val="20"/>
          <w:szCs w:val="20"/>
        </w:rPr>
      </w:pPr>
      <w:r w:rsidRPr="0001349A">
        <w:rPr>
          <w:rFonts w:ascii="Times New Roman" w:hAnsi="Times New Roman" w:cs="Times New Roman"/>
          <w:sz w:val="20"/>
          <w:szCs w:val="20"/>
        </w:rPr>
        <w:t>(A-B) Alpha diversity analysis (Shannon index and Simpson index) between groups. (C-E) Beta diversity analysis of microbiota composition in SCZ patients, with figure C showing comparison between schizophrenia with comorbid MetS and without MetS, figure D showing the comparison between SCZ patients using antipsychotics including olanzapine or clozapine and those not receiving either drug, and figure E showing the comparison between SCZ patients receiving drugs to treat metabolic disorders and those not on such medications.</w:t>
      </w:r>
    </w:p>
    <w:p w14:paraId="73F51976" w14:textId="77777777" w:rsidR="00174296" w:rsidRPr="0001349A" w:rsidRDefault="00174296">
      <w:pPr>
        <w:rPr>
          <w:rFonts w:ascii="Times New Roman" w:hAnsi="Times New Roman" w:cs="Times New Roman"/>
          <w:b/>
          <w:bCs/>
        </w:rPr>
      </w:pPr>
    </w:p>
    <w:p w14:paraId="3E6A2BDC" w14:textId="77777777" w:rsidR="00174296" w:rsidRPr="0001349A" w:rsidRDefault="00174296" w:rsidP="00174296">
      <w:pPr>
        <w:pStyle w:val="Caption"/>
        <w:jc w:val="left"/>
        <w:rPr>
          <w:rFonts w:ascii="Times New Roman" w:hAnsi="Times New Roman" w:cs="Times New Roman"/>
          <w:b/>
          <w:bCs/>
        </w:rPr>
      </w:pPr>
      <w:r w:rsidRPr="0001349A">
        <w:rPr>
          <w:rFonts w:ascii="Times New Roman" w:hAnsi="Times New Roman" w:cs="Times New Roman"/>
          <w:b/>
          <w:bCs/>
        </w:rPr>
        <w:t>Fig.S</w:t>
      </w:r>
      <w:r w:rsidRPr="0001349A">
        <w:rPr>
          <w:rFonts w:ascii="Times New Roman" w:hAnsi="Times New Roman" w:cs="Times New Roman"/>
          <w:b/>
          <w:bCs/>
        </w:rPr>
        <w:fldChar w:fldCharType="begin"/>
      </w:r>
      <w:r w:rsidRPr="0001349A">
        <w:rPr>
          <w:rFonts w:ascii="Times New Roman" w:hAnsi="Times New Roman" w:cs="Times New Roman"/>
          <w:b/>
          <w:bCs/>
        </w:rPr>
        <w:instrText xml:space="preserve"> SEQ SFigure \* ARABIC </w:instrText>
      </w:r>
      <w:r w:rsidRPr="0001349A">
        <w:rPr>
          <w:rFonts w:ascii="Times New Roman" w:hAnsi="Times New Roman" w:cs="Times New Roman"/>
          <w:b/>
          <w:bCs/>
        </w:rPr>
        <w:fldChar w:fldCharType="separate"/>
      </w:r>
      <w:r w:rsidRPr="0001349A">
        <w:rPr>
          <w:rFonts w:ascii="Times New Roman" w:hAnsi="Times New Roman" w:cs="Times New Roman"/>
          <w:b/>
          <w:bCs/>
          <w:noProof/>
        </w:rPr>
        <w:t>3</w:t>
      </w:r>
      <w:r w:rsidRPr="0001349A">
        <w:rPr>
          <w:rFonts w:ascii="Times New Roman" w:hAnsi="Times New Roman" w:cs="Times New Roman"/>
          <w:b/>
          <w:bCs/>
          <w:noProof/>
        </w:rPr>
        <w:fldChar w:fldCharType="end"/>
      </w:r>
      <w:r w:rsidRPr="0001349A">
        <w:rPr>
          <w:rFonts w:ascii="Times New Roman" w:hAnsi="Times New Roman" w:cs="Times New Roman"/>
          <w:b/>
          <w:bCs/>
        </w:rPr>
        <w:t xml:space="preserve"> General compositions of plasma metabolite between groups</w:t>
      </w:r>
    </w:p>
    <w:p w14:paraId="0A217B1B" w14:textId="77777777" w:rsidR="00174296" w:rsidRPr="0001349A" w:rsidRDefault="00174296" w:rsidP="00174296">
      <w:pPr>
        <w:rPr>
          <w:rFonts w:ascii="Times New Roman" w:hAnsi="Times New Roman" w:cs="Times New Roman"/>
          <w:sz w:val="20"/>
          <w:szCs w:val="20"/>
        </w:rPr>
      </w:pPr>
      <w:r w:rsidRPr="0001349A">
        <w:rPr>
          <w:rFonts w:ascii="Times New Roman" w:hAnsi="Times New Roman" w:cs="Times New Roman"/>
          <w:sz w:val="20"/>
          <w:szCs w:val="20"/>
        </w:rPr>
        <w:t>(A-B) Principal component analysis (PCA) of plasma metabolites detected by GC-MS (A) and UPLC-MS(B) respectively. (C-D) Main classes of plasma metabolites detected by GC-MS (C) and UPLC-MS(D) respectively.</w:t>
      </w:r>
    </w:p>
    <w:p w14:paraId="760B21C0" w14:textId="77777777" w:rsidR="00CF7E30" w:rsidRPr="0001349A" w:rsidRDefault="00CF7E30">
      <w:pPr>
        <w:rPr>
          <w:rFonts w:ascii="Times New Roman" w:hAnsi="Times New Roman" w:cs="Times New Roman"/>
          <w:b/>
          <w:bCs/>
        </w:rPr>
      </w:pPr>
    </w:p>
    <w:p w14:paraId="23C1B33F" w14:textId="77777777" w:rsidR="00174296" w:rsidRPr="0001349A" w:rsidRDefault="00174296" w:rsidP="00174296">
      <w:pPr>
        <w:pStyle w:val="Caption"/>
        <w:rPr>
          <w:rFonts w:ascii="Times New Roman" w:hAnsi="Times New Roman" w:cs="Times New Roman"/>
          <w:b/>
          <w:bCs/>
        </w:rPr>
      </w:pPr>
      <w:r w:rsidRPr="0001349A">
        <w:rPr>
          <w:rFonts w:ascii="Times New Roman" w:hAnsi="Times New Roman" w:cs="Times New Roman"/>
          <w:b/>
          <w:bCs/>
        </w:rPr>
        <w:t>Fig.S</w:t>
      </w:r>
      <w:r w:rsidRPr="0001349A">
        <w:rPr>
          <w:rFonts w:ascii="Times New Roman" w:hAnsi="Times New Roman" w:cs="Times New Roman"/>
          <w:b/>
          <w:bCs/>
        </w:rPr>
        <w:fldChar w:fldCharType="begin"/>
      </w:r>
      <w:r w:rsidRPr="0001349A">
        <w:rPr>
          <w:rFonts w:ascii="Times New Roman" w:hAnsi="Times New Roman" w:cs="Times New Roman"/>
          <w:b/>
          <w:bCs/>
        </w:rPr>
        <w:instrText xml:space="preserve"> SEQ SFigure \* ARABIC </w:instrText>
      </w:r>
      <w:r w:rsidRPr="0001349A">
        <w:rPr>
          <w:rFonts w:ascii="Times New Roman" w:hAnsi="Times New Roman" w:cs="Times New Roman"/>
          <w:b/>
          <w:bCs/>
        </w:rPr>
        <w:fldChar w:fldCharType="separate"/>
      </w:r>
      <w:r w:rsidRPr="0001349A">
        <w:rPr>
          <w:rFonts w:ascii="Times New Roman" w:hAnsi="Times New Roman" w:cs="Times New Roman"/>
          <w:b/>
          <w:bCs/>
          <w:noProof/>
        </w:rPr>
        <w:t>4</w:t>
      </w:r>
      <w:r w:rsidRPr="0001349A">
        <w:rPr>
          <w:rFonts w:ascii="Times New Roman" w:hAnsi="Times New Roman" w:cs="Times New Roman"/>
          <w:b/>
          <w:bCs/>
        </w:rPr>
        <w:fldChar w:fldCharType="end"/>
      </w:r>
      <w:r w:rsidRPr="0001349A">
        <w:rPr>
          <w:rFonts w:ascii="Times New Roman" w:hAnsi="Times New Roman" w:cs="Times New Roman"/>
          <w:b/>
          <w:bCs/>
        </w:rPr>
        <w:t xml:space="preserve"> Correlation analysis of all differential plasma metabolites with clinical phenotype and gut microbiota</w:t>
      </w:r>
    </w:p>
    <w:p w14:paraId="5906388C" w14:textId="77777777" w:rsidR="00174296" w:rsidRPr="0001349A" w:rsidRDefault="00174296" w:rsidP="00174296">
      <w:pPr>
        <w:rPr>
          <w:rFonts w:ascii="Times New Roman" w:hAnsi="Times New Roman" w:cs="Times New Roman"/>
          <w:sz w:val="20"/>
          <w:szCs w:val="20"/>
        </w:rPr>
      </w:pPr>
      <w:r w:rsidRPr="0001349A">
        <w:rPr>
          <w:rFonts w:ascii="Times New Roman" w:hAnsi="Times New Roman" w:cs="Times New Roman"/>
          <w:sz w:val="20"/>
          <w:szCs w:val="20"/>
        </w:rPr>
        <w:t>(A, C) Spearman partial correlation analyses of differential plasma metabolites with clinical phenotypes, with (A) showing metabolites detected by GC–MS and (C) showing those detected by UPLC–MS. Red indicates positive correlations and blue indicates negative correlations. Darker color intensity reflects stronger correlations, and asterisks denote statistical significance. (B, D) Spearman partial correlation analyses between clinical phenotype–associated gut microbiota and plasma metabolites, with (B) showing metabolites detected by GC–MS and (D) showing those detected by UPLC–MS. Red indicates positive correlations, and blue indicates negative correlations. Darker color intensity reflects stronger correlations, and asterisks denote statistical significance. Note: In Figure C and D, oic Acid was short for 12alpha-Hydroxy-3-oxochola-4,6-dien-24-oic Acid; pentanoic acid was short for (R)-4-((3S,5R,8R,9S,10S,13R,14S,17R)-3-hydroxy-4,4,10,13,14-pentamethyl-7,11-dioxohexadecahydro-1H-cyclopenta[a]phenanthren-17-yl) pentanoic acid; dihydrocholecalciferol was short for (6S)-6,19-epidioxy-1alpha-hydroxy-6,19-dihydrovitaminD3/(6S)-6,19-epidioxy-1alpha-hydroxy-6,19-dihydrocholecalciferol; and benzoic acid was short for 5-Nitro-2-(3-phenylpropylamino)benzoic acid.</w:t>
      </w:r>
    </w:p>
    <w:p w14:paraId="6FD043B0" w14:textId="77777777" w:rsidR="00174296" w:rsidRPr="0001349A" w:rsidRDefault="00174296">
      <w:pPr>
        <w:rPr>
          <w:rFonts w:ascii="Times New Roman" w:hAnsi="Times New Roman" w:cs="Times New Roman"/>
          <w:b/>
          <w:bCs/>
        </w:rPr>
      </w:pPr>
    </w:p>
    <w:p w14:paraId="31A37A8C" w14:textId="77777777" w:rsidR="00174296" w:rsidRPr="0001349A" w:rsidRDefault="00174296" w:rsidP="00174296">
      <w:pPr>
        <w:pStyle w:val="Caption"/>
        <w:rPr>
          <w:rFonts w:ascii="Times New Roman" w:hAnsi="Times New Roman" w:cs="Times New Roman"/>
          <w:b/>
          <w:bCs/>
        </w:rPr>
      </w:pPr>
      <w:r w:rsidRPr="0001349A">
        <w:rPr>
          <w:rFonts w:ascii="Times New Roman" w:hAnsi="Times New Roman" w:cs="Times New Roman"/>
          <w:b/>
          <w:bCs/>
        </w:rPr>
        <w:t>Fig.S5 Correlation analysis of demographic features and medications with differential gut microbiota in schizophrenia patients</w:t>
      </w:r>
    </w:p>
    <w:p w14:paraId="67A11BFB" w14:textId="77777777" w:rsidR="00174296" w:rsidRPr="0001349A" w:rsidRDefault="00174296" w:rsidP="00174296">
      <w:pPr>
        <w:rPr>
          <w:rFonts w:ascii="Times New Roman" w:hAnsi="Times New Roman" w:cs="Times New Roman"/>
        </w:rPr>
      </w:pPr>
      <w:r w:rsidRPr="0001349A">
        <w:rPr>
          <w:rFonts w:ascii="Times New Roman" w:hAnsi="Times New Roman" w:cs="Times New Roman"/>
        </w:rPr>
        <w:t xml:space="preserve">(A) Spearman correlation analysis of age and sex with differential gut microbial genera. (B) Correlations between medication usage and differential gut microbiota. </w:t>
      </w:r>
      <w:r w:rsidRPr="0001349A">
        <w:rPr>
          <w:rFonts w:ascii="Times New Roman" w:hAnsi="Times New Roman" w:cs="Times New Roman"/>
          <w:sz w:val="20"/>
          <w:szCs w:val="20"/>
        </w:rPr>
        <w:t>Red indicates positive correlations, and blue indicates negative correlations. Darker color intensity reflects stronger correlations, and asterisks denote statistical significance.</w:t>
      </w:r>
    </w:p>
    <w:p w14:paraId="2ABB6532" w14:textId="77777777" w:rsidR="00174296" w:rsidRPr="0001349A" w:rsidRDefault="00174296" w:rsidP="00174296">
      <w:pPr>
        <w:rPr>
          <w:rFonts w:ascii="Times New Roman" w:hAnsi="Times New Roman" w:cs="Times New Roman"/>
        </w:rPr>
      </w:pPr>
      <w:r w:rsidRPr="0001349A">
        <w:rPr>
          <w:rFonts w:ascii="Times New Roman" w:hAnsi="Times New Roman" w:cs="Times New Roman"/>
        </w:rPr>
        <w:t xml:space="preserve">Pdrug: different types of antipsychotics classified as treatment containing olanzapine or clozapine and those not; Edrug: medications for the treatment of extrapyramidal side effects (on medications or not); Idrug: sedative drugs (on medications or not); Mdrug: medications to treat metabolic </w:t>
      </w:r>
      <w:r w:rsidRPr="0001349A">
        <w:rPr>
          <w:rFonts w:ascii="Times New Roman" w:hAnsi="Times New Roman" w:cs="Times New Roman"/>
        </w:rPr>
        <w:lastRenderedPageBreak/>
        <w:t>disorders (on medications or not); DC: disease duration.</w:t>
      </w:r>
    </w:p>
    <w:p w14:paraId="2F239A14" w14:textId="77777777" w:rsidR="00CF7E30" w:rsidRPr="0001349A" w:rsidRDefault="00CF7E30">
      <w:pPr>
        <w:rPr>
          <w:rFonts w:ascii="Times New Roman" w:hAnsi="Times New Roman" w:cs="Times New Roman"/>
          <w:b/>
          <w:bCs/>
        </w:rPr>
      </w:pPr>
    </w:p>
    <w:p w14:paraId="18BF7B59" w14:textId="77777777" w:rsidR="00174296" w:rsidRPr="0001349A" w:rsidRDefault="00174296" w:rsidP="00174296">
      <w:pPr>
        <w:pStyle w:val="Caption"/>
        <w:rPr>
          <w:rFonts w:ascii="Times New Roman" w:hAnsi="Times New Roman" w:cs="Times New Roman"/>
          <w:b/>
          <w:bCs/>
        </w:rPr>
      </w:pPr>
      <w:r w:rsidRPr="0001349A">
        <w:rPr>
          <w:rFonts w:ascii="Times New Roman" w:hAnsi="Times New Roman" w:cs="Times New Roman"/>
          <w:b/>
          <w:bCs/>
        </w:rPr>
        <w:t>Fig.S6 Correlation analysis of demographic features and medications with differential plasma metabolites in schizophrenia patients</w:t>
      </w:r>
    </w:p>
    <w:p w14:paraId="04EBBC09" w14:textId="77777777" w:rsidR="00174296" w:rsidRPr="0001349A" w:rsidRDefault="00174296" w:rsidP="00174296">
      <w:pPr>
        <w:rPr>
          <w:rFonts w:ascii="Times New Roman" w:hAnsi="Times New Roman" w:cs="Times New Roman"/>
          <w:sz w:val="20"/>
          <w:szCs w:val="20"/>
        </w:rPr>
      </w:pPr>
      <w:r w:rsidRPr="0001349A">
        <w:rPr>
          <w:rFonts w:ascii="Times New Roman" w:hAnsi="Times New Roman" w:cs="Times New Roman"/>
        </w:rPr>
        <w:t xml:space="preserve">(A, C) Spearman correlation analysis of age and sex with differential plasma metabolites. (B, D) Correlations between medication use and differential plasma metabolites. </w:t>
      </w:r>
      <w:r w:rsidRPr="0001349A">
        <w:rPr>
          <w:rFonts w:ascii="Times New Roman" w:eastAsia="黑体" w:hAnsi="Times New Roman" w:cs="Times New Roman"/>
          <w:sz w:val="20"/>
          <w:szCs w:val="20"/>
        </w:rPr>
        <w:t xml:space="preserve">The metabolites shown in A and B were detected by GC–MS, whereas those shown in C and D were detected by UPLC–MS. </w:t>
      </w:r>
      <w:r w:rsidRPr="0001349A">
        <w:rPr>
          <w:rFonts w:ascii="Times New Roman" w:hAnsi="Times New Roman" w:cs="Times New Roman"/>
          <w:sz w:val="20"/>
          <w:szCs w:val="20"/>
        </w:rPr>
        <w:t xml:space="preserve">Red indicates positive correlations, and blue indicates negative correlations. Darker color intensity reflects stronger correlations, and asterisks denote statistical significance. </w:t>
      </w:r>
    </w:p>
    <w:p w14:paraId="6299494F" w14:textId="77777777" w:rsidR="00174296" w:rsidRPr="0001349A" w:rsidRDefault="00174296" w:rsidP="00174296">
      <w:pPr>
        <w:rPr>
          <w:rFonts w:ascii="Times New Roman" w:hAnsi="Times New Roman" w:cs="Times New Roman"/>
        </w:rPr>
      </w:pPr>
      <w:r w:rsidRPr="0001349A">
        <w:rPr>
          <w:rFonts w:ascii="Times New Roman" w:hAnsi="Times New Roman" w:cs="Times New Roman"/>
          <w:sz w:val="20"/>
          <w:szCs w:val="20"/>
        </w:rPr>
        <w:t>Note: In Figure C and D, oic Acid was short for 12alpha-Hydroxy-3-oxochola-4,6-dien-24-oic Acid; pentanoic acid was short for (R)-4-((3S,5R,8R,9S,10S,13R,14S,17R)-3-hydroxy-4,4,10,13,14-pentamethyl-7,11-dioxohexadecahydro-1H-cyclopenta[a]phenanthren-17-yl) pentanoic acid; dihydrocholecalciferol was short for (6S)-6,19-epidioxy-1alpha-hydroxy-6,19-dihydrovitaminD3/(6S)-6,19-epidioxy-1alpha-hydroxy-6,19-dihydrocholecalciferol; and benzoic acid was short for 5-Nitro-2-(3-phenylpropylamino)benzoic acid.</w:t>
      </w:r>
      <w:r w:rsidRPr="0001349A">
        <w:rPr>
          <w:rFonts w:ascii="Times New Roman" w:hAnsi="Times New Roman" w:cs="Times New Roman"/>
        </w:rPr>
        <w:t xml:space="preserve"> Pdrug: different types of antipsychotics classified as treatment containing olanzapine or clozapine and those not; Edrug: medications for the treatment of extrapyramidal side effects (on medications or not); Idrug: sedative drugs (on medications or not); Mdrug: medications to treat metabolic disorders (on medications or not); DC: disease duration. </w:t>
      </w:r>
    </w:p>
    <w:p w14:paraId="2909BA07" w14:textId="77777777" w:rsidR="00174296" w:rsidRPr="0001349A" w:rsidRDefault="00174296">
      <w:pPr>
        <w:rPr>
          <w:rFonts w:ascii="Times New Roman" w:hAnsi="Times New Roman" w:cs="Times New Roman"/>
          <w:b/>
          <w:bCs/>
        </w:rPr>
      </w:pPr>
    </w:p>
    <w:p w14:paraId="19435266" w14:textId="77777777" w:rsidR="00163AF9" w:rsidRPr="0001349A" w:rsidRDefault="00163AF9" w:rsidP="00163AF9">
      <w:pPr>
        <w:pStyle w:val="Caption"/>
        <w:rPr>
          <w:rFonts w:ascii="Times New Roman" w:hAnsi="Times New Roman" w:cs="Times New Roman"/>
          <w:b/>
          <w:bCs/>
        </w:rPr>
      </w:pPr>
      <w:r w:rsidRPr="0001349A">
        <w:rPr>
          <w:rFonts w:ascii="Times New Roman" w:hAnsi="Times New Roman" w:cs="Times New Roman"/>
          <w:b/>
          <w:bCs/>
        </w:rPr>
        <w:t xml:space="preserve">Fig.S7 WGCNA of plasma metabolites </w:t>
      </w:r>
    </w:p>
    <w:p w14:paraId="46BCC256" w14:textId="77777777" w:rsidR="00163AF9" w:rsidRPr="0001349A" w:rsidRDefault="00163AF9" w:rsidP="00163AF9">
      <w:pPr>
        <w:rPr>
          <w:rFonts w:ascii="Times New Roman" w:hAnsi="Times New Roman" w:cs="Times New Roman"/>
          <w:sz w:val="20"/>
          <w:szCs w:val="20"/>
        </w:rPr>
      </w:pPr>
      <w:r w:rsidRPr="0001349A">
        <w:rPr>
          <w:rFonts w:ascii="Times New Roman" w:hAnsi="Times New Roman" w:cs="Times New Roman"/>
          <w:sz w:val="20"/>
          <w:szCs w:val="20"/>
        </w:rPr>
        <w:t>Soft threshold selection (A &amp; C). Metabolites modules generation (B &amp; D). A and B was for GC-MS, whereas C and D was for UPLC-MS.</w:t>
      </w:r>
    </w:p>
    <w:p w14:paraId="1BA12C9F" w14:textId="77777777" w:rsidR="00163AF9" w:rsidRPr="0001349A" w:rsidRDefault="00163AF9" w:rsidP="00163AF9">
      <w:pPr>
        <w:rPr>
          <w:rFonts w:ascii="Times New Roman" w:hAnsi="Times New Roman" w:cs="Times New Roman"/>
          <w:sz w:val="20"/>
          <w:szCs w:val="20"/>
        </w:rPr>
      </w:pPr>
    </w:p>
    <w:p w14:paraId="7B9E95C6" w14:textId="77777777" w:rsidR="00163AF9" w:rsidRPr="0001349A" w:rsidRDefault="00163AF9" w:rsidP="00163AF9">
      <w:pPr>
        <w:pStyle w:val="Caption"/>
        <w:rPr>
          <w:rFonts w:ascii="Times New Roman" w:hAnsi="Times New Roman" w:cs="Times New Roman"/>
          <w:b/>
          <w:bCs/>
        </w:rPr>
      </w:pPr>
      <w:r w:rsidRPr="0001349A">
        <w:rPr>
          <w:rFonts w:ascii="Times New Roman" w:hAnsi="Times New Roman" w:cs="Times New Roman"/>
          <w:b/>
          <w:bCs/>
        </w:rPr>
        <w:t xml:space="preserve">Fig.S8 </w:t>
      </w:r>
      <w:bookmarkStart w:id="0" w:name="_Hlk131953245"/>
      <w:r w:rsidRPr="0001349A">
        <w:rPr>
          <w:rFonts w:ascii="Times New Roman" w:hAnsi="Times New Roman" w:cs="Times New Roman"/>
          <w:b/>
          <w:bCs/>
        </w:rPr>
        <w:t>Correlation analysis of clusters of plasma metabolites with clinical phenotype and gut microbiota</w:t>
      </w:r>
      <w:bookmarkEnd w:id="0"/>
      <w:r w:rsidRPr="0001349A">
        <w:rPr>
          <w:rFonts w:ascii="Times New Roman" w:hAnsi="Times New Roman" w:cs="Times New Roman"/>
          <w:b/>
          <w:bCs/>
        </w:rPr>
        <w:t xml:space="preserve"> </w:t>
      </w:r>
    </w:p>
    <w:p w14:paraId="0DE4BA41" w14:textId="77777777" w:rsidR="00163AF9" w:rsidRPr="0001349A" w:rsidRDefault="00163AF9" w:rsidP="00163AF9">
      <w:pPr>
        <w:rPr>
          <w:rFonts w:ascii="Times New Roman" w:eastAsia="黑体" w:hAnsi="Times New Roman" w:cs="Times New Roman"/>
          <w:sz w:val="20"/>
          <w:szCs w:val="20"/>
        </w:rPr>
      </w:pPr>
      <w:r w:rsidRPr="0001349A">
        <w:rPr>
          <w:rFonts w:ascii="Times New Roman" w:hAnsi="Times New Roman" w:cs="Times New Roman"/>
          <w:sz w:val="20"/>
          <w:szCs w:val="20"/>
        </w:rPr>
        <w:t xml:space="preserve">(A-D) Sperman correlation analysis between all metabolic clusters represented by different colors and clinical indicators and gut microbiota. </w:t>
      </w:r>
      <w:r w:rsidRPr="0001349A">
        <w:rPr>
          <w:rFonts w:ascii="Times New Roman" w:eastAsia="黑体" w:hAnsi="Times New Roman" w:cs="Times New Roman"/>
          <w:sz w:val="20"/>
          <w:szCs w:val="20"/>
        </w:rPr>
        <w:t>The metabolite clusters shown in A and B were detected by GC–MS, whereas those shown in C and D were detected by UPLC–MS</w:t>
      </w:r>
      <w:r w:rsidRPr="0001349A">
        <w:rPr>
          <w:rFonts w:ascii="Times New Roman" w:hAnsi="Times New Roman" w:cs="Times New Roman"/>
          <w:sz w:val="20"/>
          <w:szCs w:val="20"/>
        </w:rPr>
        <w:t xml:space="preserve">. </w:t>
      </w:r>
      <w:r w:rsidRPr="0001349A">
        <w:rPr>
          <w:rFonts w:ascii="Times New Roman" w:eastAsia="黑体" w:hAnsi="Times New Roman" w:cs="Times New Roman"/>
          <w:sz w:val="20"/>
          <w:szCs w:val="20"/>
        </w:rPr>
        <w:t>Red indicates a positive correlation, whereas blue indicates a negative correlation. Darker colors represent stronger correlations. The correlation coefficient (upper) and significant level (lower) were shown in each cell.</w:t>
      </w:r>
    </w:p>
    <w:p w14:paraId="6A0A2330" w14:textId="77777777" w:rsidR="00163AF9" w:rsidRPr="0001349A" w:rsidRDefault="00163AF9" w:rsidP="00163AF9">
      <w:pPr>
        <w:rPr>
          <w:rFonts w:ascii="Times New Roman" w:eastAsia="黑体" w:hAnsi="Times New Roman" w:cs="Times New Roman"/>
          <w:sz w:val="20"/>
          <w:szCs w:val="20"/>
        </w:rPr>
      </w:pPr>
    </w:p>
    <w:p w14:paraId="4FB4D888" w14:textId="77777777" w:rsidR="00163AF9" w:rsidRPr="0001349A" w:rsidRDefault="00163AF9" w:rsidP="00163AF9">
      <w:pPr>
        <w:pStyle w:val="Caption"/>
        <w:rPr>
          <w:rFonts w:ascii="Times New Roman" w:hAnsi="Times New Roman" w:cs="Times New Roman"/>
          <w:b/>
          <w:bCs/>
        </w:rPr>
      </w:pPr>
      <w:r w:rsidRPr="0001349A">
        <w:rPr>
          <w:rFonts w:ascii="Times New Roman" w:hAnsi="Times New Roman" w:cs="Times New Roman"/>
          <w:b/>
          <w:bCs/>
        </w:rPr>
        <w:t>Fig.S9 Function prediction of gut microbiota</w:t>
      </w:r>
    </w:p>
    <w:p w14:paraId="67E3A947" w14:textId="77777777" w:rsidR="00163AF9" w:rsidRPr="0001349A" w:rsidRDefault="00163AF9" w:rsidP="00163AF9">
      <w:pPr>
        <w:rPr>
          <w:rFonts w:ascii="Times New Roman" w:hAnsi="Times New Roman" w:cs="Times New Roman"/>
        </w:rPr>
      </w:pPr>
      <w:r w:rsidRPr="0001349A">
        <w:rPr>
          <w:rFonts w:ascii="Times New Roman" w:hAnsi="Times New Roman" w:cs="Times New Roman"/>
        </w:rPr>
        <w:t>Linear Discriminant Analysis Effect Size (LEfSe) analysis to identify microbial functions that significantly differed between groups with LDA score threshold of ≥2.</w:t>
      </w:r>
    </w:p>
    <w:p w14:paraId="48185515" w14:textId="77777777" w:rsidR="00163AF9" w:rsidRPr="0001349A" w:rsidRDefault="00163AF9" w:rsidP="00163AF9">
      <w:pPr>
        <w:rPr>
          <w:rFonts w:ascii="Times New Roman" w:hAnsi="Times New Roman" w:cs="Times New Roman"/>
          <w:sz w:val="20"/>
          <w:szCs w:val="20"/>
        </w:rPr>
      </w:pPr>
    </w:p>
    <w:p w14:paraId="3A16DA3C" w14:textId="77777777" w:rsidR="00163AF9" w:rsidRPr="0001349A" w:rsidRDefault="00163AF9" w:rsidP="00163AF9">
      <w:pPr>
        <w:pStyle w:val="Caption"/>
        <w:rPr>
          <w:rFonts w:ascii="Times New Roman" w:hAnsi="Times New Roman" w:cs="Times New Roman"/>
          <w:b/>
          <w:bCs/>
        </w:rPr>
      </w:pPr>
      <w:r w:rsidRPr="0001349A">
        <w:rPr>
          <w:rFonts w:ascii="Times New Roman" w:hAnsi="Times New Roman" w:cs="Times New Roman"/>
          <w:b/>
          <w:bCs/>
        </w:rPr>
        <w:t>Fig.S10 Pathway analysis of differential plasma metabolites and co-occurrence metabolites</w:t>
      </w:r>
    </w:p>
    <w:p w14:paraId="19BEFF00" w14:textId="77777777" w:rsidR="00163AF9" w:rsidRPr="0001349A" w:rsidRDefault="00163AF9" w:rsidP="00163AF9">
      <w:pPr>
        <w:rPr>
          <w:rFonts w:ascii="Times New Roman" w:hAnsi="Times New Roman" w:cs="Times New Roman"/>
        </w:rPr>
      </w:pPr>
      <w:r w:rsidRPr="0001349A">
        <w:rPr>
          <w:rFonts w:ascii="Times New Roman" w:hAnsi="Times New Roman" w:cs="Times New Roman"/>
        </w:rPr>
        <w:t>Differential metabolites screened by the consistent-direction strategy and co-occurrence metabolites obtained through WGCNA were collapsed to pathway enrichment analysis based on KEGG (A) and the Small Molecule Pathway Database (B). Over-representation analysis was utilized to test the significance of statistics (</w:t>
      </w:r>
      <w:r w:rsidRPr="0001349A">
        <w:rPr>
          <w:rFonts w:ascii="Times New Roman" w:hAnsi="Times New Roman" w:cs="Times New Roman"/>
          <w:i/>
          <w:iCs/>
        </w:rPr>
        <w:t>P</w:t>
      </w:r>
      <w:r w:rsidRPr="0001349A">
        <w:rPr>
          <w:rFonts w:ascii="Times New Roman" w:hAnsi="Times New Roman" w:cs="Times New Roman"/>
        </w:rPr>
        <w:t xml:space="preserve"> &lt; 0.05).</w:t>
      </w:r>
    </w:p>
    <w:p w14:paraId="7F31D6E6" w14:textId="77777777" w:rsidR="007B4727" w:rsidRPr="0001349A" w:rsidRDefault="007B4727" w:rsidP="00163AF9">
      <w:pPr>
        <w:rPr>
          <w:rFonts w:ascii="Times New Roman" w:hAnsi="Times New Roman" w:cs="Times New Roman"/>
        </w:rPr>
      </w:pPr>
    </w:p>
    <w:p w14:paraId="184FF57A" w14:textId="77777777" w:rsidR="007B4727" w:rsidRPr="0001349A" w:rsidRDefault="007B4727" w:rsidP="00163AF9">
      <w:pPr>
        <w:rPr>
          <w:rFonts w:ascii="Times New Roman" w:hAnsi="Times New Roman" w:cs="Times New Roman"/>
          <w:b/>
          <w:bCs/>
        </w:rPr>
      </w:pPr>
    </w:p>
    <w:p w14:paraId="7CAC7DDC" w14:textId="77777777" w:rsidR="007B4727" w:rsidRPr="0001349A" w:rsidRDefault="007B4727" w:rsidP="00163AF9">
      <w:pPr>
        <w:rPr>
          <w:rFonts w:ascii="Times New Roman" w:hAnsi="Times New Roman" w:cs="Times New Roman"/>
          <w:b/>
          <w:bCs/>
        </w:rPr>
      </w:pPr>
    </w:p>
    <w:p w14:paraId="498E79ED" w14:textId="77777777" w:rsidR="007B4727" w:rsidRPr="0001349A" w:rsidRDefault="007B4727" w:rsidP="00163AF9">
      <w:pPr>
        <w:rPr>
          <w:rFonts w:ascii="Times New Roman" w:hAnsi="Times New Roman" w:cs="Times New Roman"/>
          <w:b/>
          <w:bCs/>
        </w:rPr>
      </w:pPr>
    </w:p>
    <w:p w14:paraId="59F7A7CF" w14:textId="00654ED9" w:rsidR="007B4727" w:rsidRPr="0001349A" w:rsidRDefault="007B4727" w:rsidP="00163AF9">
      <w:pPr>
        <w:rPr>
          <w:rFonts w:ascii="Times New Roman" w:hAnsi="Times New Roman" w:cs="Times New Roman"/>
          <w:b/>
          <w:bCs/>
        </w:rPr>
      </w:pPr>
      <w:r w:rsidRPr="0001349A">
        <w:rPr>
          <w:rFonts w:ascii="Times New Roman" w:hAnsi="Times New Roman" w:cs="Times New Roman"/>
          <w:b/>
          <w:bCs/>
        </w:rPr>
        <w:lastRenderedPageBreak/>
        <w:t>Supplementary table legend</w:t>
      </w:r>
    </w:p>
    <w:p w14:paraId="49AD6F2F" w14:textId="7A5AD266" w:rsidR="007B4727" w:rsidRPr="0001349A" w:rsidRDefault="0001349A" w:rsidP="00163AF9">
      <w:pPr>
        <w:rPr>
          <w:rFonts w:ascii="Times New Roman" w:hAnsi="Times New Roman" w:cs="Times New Roman"/>
          <w:b/>
          <w:bCs/>
        </w:rPr>
      </w:pPr>
      <w:r w:rsidRPr="0001349A">
        <w:rPr>
          <w:rFonts w:ascii="Times New Roman" w:hAnsi="Times New Roman" w:cs="Times New Roman"/>
          <w:b/>
          <w:bCs/>
        </w:rPr>
        <w:t>Supplementary Table 1 Researches about gut microbiota in Schizophrenia patients</w:t>
      </w:r>
    </w:p>
    <w:p w14:paraId="664682DA" w14:textId="77777777" w:rsidR="00163AF9" w:rsidRDefault="00163AF9" w:rsidP="00163AF9">
      <w:pPr>
        <w:rPr>
          <w:rFonts w:ascii="Times New Roman" w:hAnsi="Times New Roman" w:cs="Times New Roman"/>
          <w:sz w:val="20"/>
          <w:szCs w:val="20"/>
        </w:rPr>
      </w:pPr>
    </w:p>
    <w:p w14:paraId="752CE9E5" w14:textId="272740DD" w:rsidR="0001349A" w:rsidRPr="0001349A" w:rsidRDefault="0001349A" w:rsidP="00163AF9">
      <w:pPr>
        <w:rPr>
          <w:rFonts w:ascii="Times New Roman" w:hAnsi="Times New Roman" w:cs="Times New Roman" w:hint="eastAsia"/>
          <w:b/>
          <w:bCs/>
          <w:sz w:val="20"/>
          <w:szCs w:val="20"/>
        </w:rPr>
      </w:pPr>
      <w:r w:rsidRPr="0001349A">
        <w:rPr>
          <w:rFonts w:ascii="Times New Roman" w:hAnsi="Times New Roman" w:cs="Times New Roman"/>
          <w:b/>
          <w:bCs/>
          <w:sz w:val="20"/>
          <w:szCs w:val="20"/>
        </w:rPr>
        <w:t>Supplementary Table 2 Researches about gut microbiota in metabolic disorders</w:t>
      </w:r>
    </w:p>
    <w:p w14:paraId="16B0D761" w14:textId="77777777" w:rsidR="00163AF9" w:rsidRDefault="00163AF9">
      <w:pPr>
        <w:rPr>
          <w:rFonts w:ascii="Times New Roman" w:hAnsi="Times New Roman" w:cs="Times New Roman"/>
          <w:b/>
          <w:bCs/>
        </w:rPr>
      </w:pPr>
    </w:p>
    <w:p w14:paraId="43C30B06" w14:textId="7B2F435C" w:rsidR="0001349A" w:rsidRDefault="0001349A">
      <w:pPr>
        <w:rPr>
          <w:rFonts w:ascii="Times New Roman" w:hAnsi="Times New Roman" w:cs="Times New Roman"/>
          <w:b/>
          <w:bCs/>
        </w:rPr>
      </w:pPr>
      <w:r w:rsidRPr="0001349A">
        <w:rPr>
          <w:rFonts w:ascii="Times New Roman" w:hAnsi="Times New Roman" w:cs="Times New Roman"/>
          <w:b/>
          <w:bCs/>
        </w:rPr>
        <w:t>Supplementary Table 3 Researches about gut microbiota in schizophrenia with metabolic changes</w:t>
      </w:r>
    </w:p>
    <w:p w14:paraId="0753EB5C" w14:textId="77777777" w:rsidR="0001349A" w:rsidRDefault="0001349A">
      <w:pPr>
        <w:rPr>
          <w:rFonts w:ascii="Times New Roman" w:hAnsi="Times New Roman" w:cs="Times New Roman"/>
          <w:b/>
          <w:bCs/>
        </w:rPr>
      </w:pPr>
    </w:p>
    <w:p w14:paraId="6B1A896D" w14:textId="2B102F3C" w:rsidR="0001349A" w:rsidRDefault="0001349A">
      <w:pPr>
        <w:rPr>
          <w:rFonts w:ascii="Times New Roman" w:hAnsi="Times New Roman" w:cs="Times New Roman"/>
          <w:b/>
          <w:bCs/>
        </w:rPr>
      </w:pPr>
      <w:r w:rsidRPr="0001349A">
        <w:rPr>
          <w:rFonts w:ascii="Times New Roman" w:hAnsi="Times New Roman" w:cs="Times New Roman"/>
          <w:b/>
          <w:bCs/>
        </w:rPr>
        <w:t xml:space="preserve">Supplementary Table 4 Statistics for 16S rRNA </w:t>
      </w:r>
      <w:r>
        <w:rPr>
          <w:rFonts w:ascii="Times New Roman" w:hAnsi="Times New Roman" w:cs="Times New Roman" w:hint="eastAsia"/>
          <w:b/>
          <w:bCs/>
        </w:rPr>
        <w:t>g</w:t>
      </w:r>
      <w:r w:rsidRPr="0001349A">
        <w:rPr>
          <w:rFonts w:ascii="Times New Roman" w:hAnsi="Times New Roman" w:cs="Times New Roman"/>
          <w:b/>
          <w:bCs/>
        </w:rPr>
        <w:t xml:space="preserve">ene </w:t>
      </w:r>
      <w:r>
        <w:rPr>
          <w:rFonts w:ascii="Times New Roman" w:hAnsi="Times New Roman" w:cs="Times New Roman" w:hint="eastAsia"/>
          <w:b/>
          <w:bCs/>
        </w:rPr>
        <w:t>s</w:t>
      </w:r>
      <w:r w:rsidRPr="0001349A">
        <w:rPr>
          <w:rFonts w:ascii="Times New Roman" w:hAnsi="Times New Roman" w:cs="Times New Roman"/>
          <w:b/>
          <w:bCs/>
        </w:rPr>
        <w:t>equencing</w:t>
      </w:r>
    </w:p>
    <w:p w14:paraId="77DD8744" w14:textId="77777777" w:rsidR="0001349A" w:rsidRDefault="0001349A">
      <w:pPr>
        <w:rPr>
          <w:rFonts w:ascii="Times New Roman" w:hAnsi="Times New Roman" w:cs="Times New Roman"/>
          <w:b/>
          <w:bCs/>
        </w:rPr>
      </w:pPr>
    </w:p>
    <w:p w14:paraId="027A8B7F" w14:textId="65642D9B" w:rsidR="0001349A" w:rsidRPr="0001349A" w:rsidRDefault="0001349A">
      <w:pPr>
        <w:rPr>
          <w:rFonts w:ascii="Times New Roman" w:hAnsi="Times New Roman" w:cs="Times New Roman" w:hint="eastAsia"/>
          <w:b/>
          <w:bCs/>
        </w:rPr>
      </w:pPr>
      <w:r w:rsidRPr="0001349A">
        <w:rPr>
          <w:rFonts w:ascii="Times New Roman" w:hAnsi="Times New Roman" w:cs="Times New Roman"/>
          <w:b/>
          <w:bCs/>
        </w:rPr>
        <w:t>Supplementary Table 5 Differential metabolites (GC-MS) between groups</w:t>
      </w:r>
    </w:p>
    <w:p w14:paraId="2638C871" w14:textId="77777777" w:rsidR="0001349A" w:rsidRDefault="0001349A">
      <w:pPr>
        <w:rPr>
          <w:rFonts w:ascii="Times New Roman" w:hAnsi="Times New Roman" w:cs="Times New Roman"/>
          <w:b/>
          <w:bCs/>
        </w:rPr>
      </w:pPr>
    </w:p>
    <w:p w14:paraId="42B86EAC" w14:textId="03D2C4DD" w:rsidR="0001349A" w:rsidRDefault="0001349A">
      <w:pPr>
        <w:rPr>
          <w:rFonts w:ascii="Times New Roman" w:hAnsi="Times New Roman" w:cs="Times New Roman"/>
          <w:b/>
          <w:bCs/>
        </w:rPr>
      </w:pPr>
      <w:r w:rsidRPr="0001349A">
        <w:rPr>
          <w:rFonts w:ascii="Times New Roman" w:hAnsi="Times New Roman" w:cs="Times New Roman"/>
          <w:b/>
          <w:bCs/>
        </w:rPr>
        <w:t>Supplementary Table 6 Differential metabolites (UPLC-MS) between groups</w:t>
      </w:r>
    </w:p>
    <w:p w14:paraId="72BEA861" w14:textId="77777777" w:rsidR="0001349A" w:rsidRDefault="0001349A">
      <w:pPr>
        <w:rPr>
          <w:rFonts w:ascii="Times New Roman" w:hAnsi="Times New Roman" w:cs="Times New Roman"/>
          <w:b/>
          <w:bCs/>
        </w:rPr>
      </w:pPr>
    </w:p>
    <w:p w14:paraId="6FCBD8DA" w14:textId="6053B1A1" w:rsidR="0001349A" w:rsidRDefault="0001349A">
      <w:pPr>
        <w:rPr>
          <w:rFonts w:ascii="Times New Roman" w:hAnsi="Times New Roman" w:cs="Times New Roman"/>
          <w:b/>
          <w:bCs/>
        </w:rPr>
      </w:pPr>
      <w:r w:rsidRPr="0001349A">
        <w:rPr>
          <w:rFonts w:ascii="Times New Roman" w:hAnsi="Times New Roman" w:cs="Times New Roman"/>
          <w:b/>
          <w:bCs/>
        </w:rPr>
        <w:t>Supplementary Table 7 Modules of individual metabolites identified by WGCNA (GC–MS)</w:t>
      </w:r>
    </w:p>
    <w:p w14:paraId="440C143C" w14:textId="77777777" w:rsidR="0001349A" w:rsidRDefault="0001349A">
      <w:pPr>
        <w:rPr>
          <w:rFonts w:ascii="Times New Roman" w:hAnsi="Times New Roman" w:cs="Times New Roman"/>
          <w:b/>
          <w:bCs/>
        </w:rPr>
      </w:pPr>
    </w:p>
    <w:p w14:paraId="1F4CB848" w14:textId="131871F9" w:rsidR="0001349A" w:rsidRDefault="0001349A">
      <w:pPr>
        <w:rPr>
          <w:rFonts w:ascii="Times New Roman" w:hAnsi="Times New Roman" w:cs="Times New Roman"/>
          <w:b/>
          <w:bCs/>
        </w:rPr>
      </w:pPr>
      <w:r w:rsidRPr="0001349A">
        <w:rPr>
          <w:rFonts w:ascii="Times New Roman" w:hAnsi="Times New Roman" w:cs="Times New Roman"/>
          <w:b/>
          <w:bCs/>
        </w:rPr>
        <w:t>Supplementary Table 8 Modules of individual metabolites identified by WGCNA (UPLC–MS)</w:t>
      </w:r>
    </w:p>
    <w:p w14:paraId="736397B6" w14:textId="77777777" w:rsidR="0001349A" w:rsidRDefault="0001349A">
      <w:pPr>
        <w:rPr>
          <w:rFonts w:ascii="Times New Roman" w:hAnsi="Times New Roman" w:cs="Times New Roman"/>
          <w:b/>
          <w:bCs/>
        </w:rPr>
      </w:pPr>
    </w:p>
    <w:p w14:paraId="174E7BA4" w14:textId="18BA2FCE" w:rsidR="0001349A" w:rsidRDefault="0001349A">
      <w:pPr>
        <w:rPr>
          <w:rFonts w:ascii="Times New Roman" w:hAnsi="Times New Roman" w:cs="Times New Roman"/>
          <w:b/>
          <w:bCs/>
        </w:rPr>
        <w:sectPr w:rsidR="0001349A">
          <w:pgSz w:w="11906" w:h="16838"/>
          <w:pgMar w:top="1440" w:right="1800" w:bottom="1440" w:left="1800" w:header="851" w:footer="992" w:gutter="0"/>
          <w:cols w:space="425"/>
          <w:docGrid w:type="lines" w:linePitch="312"/>
        </w:sectPr>
      </w:pPr>
      <w:r w:rsidRPr="0001349A">
        <w:rPr>
          <w:rFonts w:ascii="Times New Roman" w:hAnsi="Times New Roman" w:cs="Times New Roman"/>
          <w:b/>
          <w:bCs/>
        </w:rPr>
        <w:t xml:space="preserve">Supplementary Table </w:t>
      </w:r>
      <w:r>
        <w:rPr>
          <w:rFonts w:ascii="Times New Roman" w:hAnsi="Times New Roman" w:cs="Times New Roman" w:hint="eastAsia"/>
          <w:b/>
          <w:bCs/>
        </w:rPr>
        <w:t>9</w:t>
      </w:r>
      <w:r w:rsidRPr="0001349A">
        <w:rPr>
          <w:rFonts w:ascii="Times New Roman" w:hAnsi="Times New Roman" w:cs="Times New Roman"/>
          <w:b/>
          <w:bCs/>
        </w:rPr>
        <w:t xml:space="preserve"> Combined features of gut microbiota and plasma metabolites used to build the random forest </w:t>
      </w:r>
      <w:r w:rsidRPr="0001349A">
        <w:rPr>
          <w:rFonts w:ascii="Times New Roman" w:hAnsi="Times New Roman" w:cs="Times New Roman"/>
          <w:b/>
          <w:bCs/>
        </w:rPr>
        <w:t>classifier</w:t>
      </w:r>
    </w:p>
    <w:p w14:paraId="36B61CBA" w14:textId="0CC5404C" w:rsidR="00836F3D" w:rsidRPr="0001349A" w:rsidRDefault="00E2045B">
      <w:pPr>
        <w:rPr>
          <w:rFonts w:ascii="Times New Roman" w:hAnsi="Times New Roman" w:cs="Times New Roman"/>
          <w:b/>
          <w:bCs/>
        </w:rPr>
      </w:pPr>
      <w:r w:rsidRPr="0001349A">
        <w:rPr>
          <w:rFonts w:ascii="Times New Roman" w:hAnsi="Times New Roman" w:cs="Times New Roman"/>
          <w:b/>
          <w:bCs/>
        </w:rPr>
        <w:lastRenderedPageBreak/>
        <w:t>Supplementary method</w:t>
      </w:r>
    </w:p>
    <w:p w14:paraId="7DE32979" w14:textId="3119D882" w:rsidR="00E2045B" w:rsidRPr="0001349A" w:rsidRDefault="007D5E5C" w:rsidP="007D5E5C">
      <w:pPr>
        <w:rPr>
          <w:rFonts w:ascii="Times New Roman" w:hAnsi="Times New Roman" w:cs="Times New Roman"/>
          <w:b/>
          <w:bCs/>
        </w:rPr>
      </w:pPr>
      <w:r w:rsidRPr="0001349A">
        <w:rPr>
          <w:rFonts w:ascii="Times New Roman" w:hAnsi="Times New Roman" w:cs="Times New Roman"/>
          <w:b/>
          <w:bCs/>
        </w:rPr>
        <w:t>Meso-scale discovery electrochemiluminescence testing</w:t>
      </w:r>
    </w:p>
    <w:p w14:paraId="15F26806" w14:textId="666D0C60" w:rsidR="00FC6280" w:rsidRPr="0001349A" w:rsidRDefault="001925AA" w:rsidP="00FC6280">
      <w:pPr>
        <w:rPr>
          <w:rFonts w:ascii="Times New Roman" w:hAnsi="Times New Roman" w:cs="Times New Roman"/>
        </w:rPr>
      </w:pPr>
      <w:r w:rsidRPr="0001349A">
        <w:rPr>
          <w:rFonts w:ascii="Times New Roman" w:hAnsi="Times New Roman" w:cs="Times New Roman"/>
        </w:rPr>
        <w:t>The Meso Scale Discovery kit (</w:t>
      </w:r>
      <w:r w:rsidR="00FC6280" w:rsidRPr="0001349A">
        <w:rPr>
          <w:rFonts w:ascii="Times New Roman" w:hAnsi="Times New Roman" w:cs="Times New Roman"/>
        </w:rPr>
        <w:t>K15396S-1</w:t>
      </w:r>
      <w:r w:rsidRPr="0001349A">
        <w:rPr>
          <w:rFonts w:ascii="Times New Roman" w:hAnsi="Times New Roman" w:cs="Times New Roman"/>
        </w:rPr>
        <w:t>, Rockville, MD, USA) was used for</w:t>
      </w:r>
      <w:r w:rsidR="00FC6280" w:rsidRPr="0001349A">
        <w:rPr>
          <w:rFonts w:ascii="Times New Roman" w:hAnsi="Times New Roman" w:cs="Times New Roman"/>
        </w:rPr>
        <w:t xml:space="preserve"> inflammatory factor</w:t>
      </w:r>
      <w:r w:rsidRPr="0001349A">
        <w:rPr>
          <w:rFonts w:ascii="Times New Roman" w:hAnsi="Times New Roman" w:cs="Times New Roman"/>
        </w:rPr>
        <w:t xml:space="preserve"> separation following the manufacturer’s instructions. </w:t>
      </w:r>
      <w:r w:rsidR="00FC6280" w:rsidRPr="0001349A">
        <w:rPr>
          <w:rFonts w:ascii="Times New Roman" w:hAnsi="Times New Roman" w:cs="Times New Roman"/>
        </w:rPr>
        <w:t>Inflammatory factor</w:t>
      </w:r>
      <w:r w:rsidRPr="0001349A">
        <w:rPr>
          <w:rFonts w:ascii="Times New Roman" w:hAnsi="Times New Roman" w:cs="Times New Roman"/>
        </w:rPr>
        <w:t xml:space="preserve"> levels were determined</w:t>
      </w:r>
      <w:r w:rsidR="00FC6280" w:rsidRPr="0001349A">
        <w:rPr>
          <w:rFonts w:ascii="Times New Roman" w:hAnsi="Times New Roman" w:cs="Times New Roman"/>
        </w:rPr>
        <w:t xml:space="preserve"> </w:t>
      </w:r>
      <w:r w:rsidRPr="0001349A">
        <w:rPr>
          <w:rFonts w:ascii="Times New Roman" w:hAnsi="Times New Roman" w:cs="Times New Roman"/>
        </w:rPr>
        <w:t xml:space="preserve">using </w:t>
      </w:r>
      <w:r w:rsidR="00FC6280" w:rsidRPr="0001349A">
        <w:rPr>
          <w:rFonts w:ascii="Times New Roman" w:hAnsi="Times New Roman" w:cs="Times New Roman"/>
        </w:rPr>
        <w:t>the</w:t>
      </w:r>
      <w:r w:rsidRPr="0001349A">
        <w:rPr>
          <w:rFonts w:ascii="Times New Roman" w:hAnsi="Times New Roman" w:cs="Times New Roman"/>
        </w:rPr>
        <w:t xml:space="preserve"> MESOTM QuickPlex SQ 120 (Meso Scale Diagnostics, Rockville, MD, USA)</w:t>
      </w:r>
      <w:r w:rsidR="00FC6280" w:rsidRPr="0001349A">
        <w:rPr>
          <w:rFonts w:ascii="Times New Roman" w:hAnsi="Times New Roman" w:cs="Times New Roman"/>
        </w:rPr>
        <w:t xml:space="preserve"> and performed by Univ, Shanghai, China. Data were then analyzed using MSD DISCOVERY WORKBENCH software (v4.0). The intra-assay coefficient of variation </w:t>
      </w:r>
      <w:r w:rsidR="00BC4F10" w:rsidRPr="0001349A">
        <w:rPr>
          <w:rFonts w:ascii="Times New Roman" w:hAnsi="Times New Roman" w:cs="Times New Roman"/>
        </w:rPr>
        <w:t>of</w:t>
      </w:r>
      <w:r w:rsidR="00FC6280" w:rsidRPr="0001349A">
        <w:rPr>
          <w:rFonts w:ascii="Times New Roman" w:hAnsi="Times New Roman" w:cs="Times New Roman"/>
        </w:rPr>
        <w:t xml:space="preserve"> each cytokine standard was &lt;25%. Concentrations of inflammatory factors in samples were calculated from the standard curves. </w:t>
      </w:r>
      <w:r w:rsidR="004B4E6E" w:rsidRPr="0001349A">
        <w:rPr>
          <w:rFonts w:ascii="Times New Roman" w:hAnsi="Times New Roman" w:cs="Times New Roman"/>
        </w:rPr>
        <w:t xml:space="preserve">For subsequent statistical analyses, one control sample with an IL-1β level below the limit of detection was excluded. IL-4 was also excluded from the statistical analysis because the majority of samples had detected concentrations below the limit of detection. </w:t>
      </w:r>
      <w:r w:rsidR="00FC6280" w:rsidRPr="0001349A">
        <w:rPr>
          <w:rFonts w:ascii="Times New Roman" w:hAnsi="Times New Roman" w:cs="Times New Roman"/>
        </w:rPr>
        <w:t xml:space="preserve">Differences in inflammatory factor concentrations between groups were assessed using the Kruskal–Wallis test, followed by Bonferroni correction for multiple comparisons with threshold set as &lt;0.05. </w:t>
      </w:r>
    </w:p>
    <w:p w14:paraId="75983A31" w14:textId="77777777" w:rsidR="005C4397" w:rsidRPr="0001349A" w:rsidRDefault="005C4397" w:rsidP="005C4397">
      <w:pPr>
        <w:rPr>
          <w:rFonts w:ascii="Times New Roman" w:hAnsi="Times New Roman" w:cs="Times New Roman"/>
        </w:rPr>
      </w:pPr>
    </w:p>
    <w:p w14:paraId="0149CBD8" w14:textId="0BDDE079" w:rsidR="002B3933" w:rsidRPr="0001349A" w:rsidRDefault="002B3933" w:rsidP="002B3933">
      <w:pPr>
        <w:rPr>
          <w:rFonts w:ascii="Times New Roman" w:hAnsi="Times New Roman" w:cs="Times New Roman"/>
          <w:b/>
          <w:bCs/>
        </w:rPr>
      </w:pPr>
      <w:r w:rsidRPr="0001349A">
        <w:rPr>
          <w:rFonts w:ascii="Times New Roman" w:hAnsi="Times New Roman" w:cs="Times New Roman"/>
          <w:b/>
          <w:bCs/>
        </w:rPr>
        <w:t>Gas chromatography-mass spectrometry (GC-MS) untargeted metabolomics</w:t>
      </w:r>
    </w:p>
    <w:p w14:paraId="2D40D372" w14:textId="41D0C607" w:rsidR="002B3933" w:rsidRPr="0001349A" w:rsidRDefault="002B3933" w:rsidP="002B3933">
      <w:pPr>
        <w:rPr>
          <w:rFonts w:ascii="Times New Roman" w:hAnsi="Times New Roman" w:cs="Times New Roman"/>
        </w:rPr>
      </w:pPr>
      <w:r w:rsidRPr="0001349A">
        <w:rPr>
          <w:rFonts w:ascii="Times New Roman" w:hAnsi="Times New Roman" w:cs="Times New Roman"/>
        </w:rPr>
        <w:t>150 μL of sample was added into a 1.5 mL Eppendorf tube with 450 μL of methanol and acetonitrile (2/1, v/v, containing L-2-chlorophenylalanine, 2 μg/mL). After vortexing for 1 min, the samples were extracted by ultrasonic for 10 min in an ice-water bath and then stored at -40 ℃ for 10 min. Samples were centrifuged (13000 rmp) for 10 min at 4 ℃, and the 150 μL of supernatant was transferred to a glass vial to be dried in a freeze-concentration centrifugal dryer. The quality control sample was prepared by mixing aliquots of all samples. 80 μL of the methoxamine hydrochloride pyridine solution (15 mg/mL) was added to the glass vial. The mixture was vortexed for 2 min and then incubated at 37 ℃ for 60 min. 50 μL of BSTFA (with 1% TMCS), 20 μL of n-hexane and 10 μL of internal standard (Methyl Octanoate (C8:0) / Methyl Nonanoate (C9:0) / Methyl Decanoate (C10:0) / Dodecanoate (C12:0) / Tetradecanoate (C14:0) / Hexadecanoate (C16:0) / Octadecanoate (C18:0) / Eicosanoate (C20:0) / Docosanoate (C22:0) / Tetracosanoate (C24:0), prepared with chloroform) were added. After vortexed for 2 min and derivatized at 70 ℃ for 60 min, the mixture was placed at room temperature for 30 min for further analysis.</w:t>
      </w:r>
    </w:p>
    <w:p w14:paraId="00A77411" w14:textId="50A7EC1E" w:rsidR="00A54292" w:rsidRPr="0001349A" w:rsidRDefault="002E67FF" w:rsidP="00A54292">
      <w:pPr>
        <w:rPr>
          <w:rFonts w:ascii="Times New Roman" w:hAnsi="Times New Roman" w:cs="Times New Roman"/>
        </w:rPr>
      </w:pPr>
      <w:r w:rsidRPr="0001349A">
        <w:rPr>
          <w:rFonts w:ascii="Times New Roman" w:hAnsi="Times New Roman" w:cs="Times New Roman"/>
        </w:rPr>
        <w:t xml:space="preserve">When running the GC-MS test, </w:t>
      </w:r>
      <w:r w:rsidR="00A54292" w:rsidRPr="0001349A">
        <w:rPr>
          <w:rFonts w:ascii="Times New Roman" w:hAnsi="Times New Roman" w:cs="Times New Roman"/>
        </w:rPr>
        <w:t>Helium (&gt;99.999%) was used as carrier gas at a constant flow rate of 1 mL/min. The injector temperature was kept at 260 ℃, and injection volume was 1μL by splitless mode with solvent delayed 5 min. The initial temperature of the column was 60 ℃ and was maintained for 0.5 min, then heated to 125 ℃ at a rate of 8 ℃/min, to 210 ℃ at a rate of 8 ℃/min, to 270 ℃ at a rate of 15 ℃/min, to 305 ℃ at a rate of 20 ℃/min, and finally maintained for 5 min. The temperature of the MS quadrupole and ion source (electron impact ionization) was set to 150 ℃ and 230 ℃, respectively. The collision energy was 70 eV. Mass spectrometric data was acquired in a full-scan mode (m/z50-500).</w:t>
      </w:r>
    </w:p>
    <w:p w14:paraId="33BADECB" w14:textId="77777777" w:rsidR="00262E85" w:rsidRPr="0001349A" w:rsidRDefault="00262E85" w:rsidP="007D5E5C">
      <w:pPr>
        <w:rPr>
          <w:rFonts w:ascii="Times New Roman" w:hAnsi="Times New Roman" w:cs="Times New Roman"/>
        </w:rPr>
      </w:pPr>
    </w:p>
    <w:p w14:paraId="0A962D58" w14:textId="7DB9D70C" w:rsidR="000F3AF5" w:rsidRPr="0001349A" w:rsidRDefault="000F3AF5" w:rsidP="000F3AF5">
      <w:pPr>
        <w:rPr>
          <w:rFonts w:ascii="Times New Roman" w:hAnsi="Times New Roman" w:cs="Times New Roman"/>
          <w:b/>
          <w:bCs/>
        </w:rPr>
      </w:pPr>
      <w:r w:rsidRPr="0001349A">
        <w:rPr>
          <w:rFonts w:ascii="Times New Roman" w:hAnsi="Times New Roman" w:cs="Times New Roman"/>
          <w:b/>
          <w:bCs/>
        </w:rPr>
        <w:t>Ultra-performance liquid chromatography-mass (UPLC-MS) untargeted metabolomics</w:t>
      </w:r>
    </w:p>
    <w:p w14:paraId="52601F37" w14:textId="6E1A8611" w:rsidR="000F3AF5" w:rsidRPr="0001349A" w:rsidRDefault="000F3AF5" w:rsidP="000F3AF5">
      <w:pPr>
        <w:rPr>
          <w:rFonts w:ascii="Times New Roman" w:hAnsi="Times New Roman" w:cs="Times New Roman"/>
        </w:rPr>
      </w:pPr>
      <w:r w:rsidRPr="0001349A">
        <w:rPr>
          <w:rFonts w:ascii="Times New Roman" w:hAnsi="Times New Roman" w:cs="Times New Roman"/>
        </w:rPr>
        <w:t>150 μL of sample were added into a 1.5 mL Eppendorf tube with 450 μL of methanol and acetonitrile (2/1, v/v, containing L-2-chlorophenylalanine, 2 μg/mL). After vortexed for 1 min, the samples were extracted by ultrasonic for 10 min in an ice-water bath and then stored at -40 ℃ for 2 h. Samples were centrifuged (13000 rmp) for 10 minutes at 4 ℃. The 150 μL of supernatant was filtered through 0.22 μm microfilters and then transferred to LC vials for further analysis. The quality control sample was prepared by mixing aliquots of all samples.</w:t>
      </w:r>
    </w:p>
    <w:p w14:paraId="34D97193" w14:textId="53E82B55" w:rsidR="00A54292" w:rsidRPr="0001349A" w:rsidRDefault="002E67FF" w:rsidP="00A54292">
      <w:pPr>
        <w:rPr>
          <w:rFonts w:ascii="Times New Roman" w:hAnsi="Times New Roman" w:cs="Times New Roman"/>
        </w:rPr>
      </w:pPr>
      <w:r w:rsidRPr="0001349A">
        <w:rPr>
          <w:rFonts w:ascii="Times New Roman" w:hAnsi="Times New Roman" w:cs="Times New Roman"/>
        </w:rPr>
        <w:lastRenderedPageBreak/>
        <w:t>When running the UPLC-MS test, t</w:t>
      </w:r>
      <w:r w:rsidR="00A54292" w:rsidRPr="0001349A">
        <w:rPr>
          <w:rFonts w:ascii="Times New Roman" w:hAnsi="Times New Roman" w:cs="Times New Roman"/>
        </w:rPr>
        <w:t xml:space="preserve">he column temperature was 45 ℃ and the flow rate was 0.35 mL/min. 2 μL of sample was injected. The binary gradient elution system consisted of (A) water (containing 0.1 % formic acid) and (B) acetonitrile (containing 0.1 % formic acid). Separation was achieved using the elution gradient as follows: 0.01 min, 5% B; 2 min, 5% B; 4 min, 30% B; 8 min, 50% B; 10 min, 80% B; 14 min, 100% B; 15 min, 100% B; 15.1 min, 5% B and 18 min, 5% B. </w:t>
      </w:r>
    </w:p>
    <w:p w14:paraId="14E6F058" w14:textId="6D43AF40" w:rsidR="00A54292" w:rsidRPr="0001349A" w:rsidRDefault="00A54292" w:rsidP="00A54292">
      <w:pPr>
        <w:rPr>
          <w:rFonts w:ascii="Times New Roman" w:hAnsi="Times New Roman" w:cs="Times New Roman"/>
        </w:rPr>
      </w:pPr>
      <w:r w:rsidRPr="0001349A">
        <w:rPr>
          <w:rFonts w:ascii="Times New Roman" w:hAnsi="Times New Roman" w:cs="Times New Roman"/>
        </w:rPr>
        <w:t>The mass range was from m/z 70 to 1000. The resolution was set at 70,000 for the full MS scans and 17,500 for HCD MS/MS scans. The mass spectrometer was set as follows: spray voltage, 3800 V (positive ion mode) and 3000 V (negative ion mode); sheath gas flow rate, 35 arbitrary units; auxiliary gas flow rate, 8 arbitrary units; capillary temperature, 320°C.</w:t>
      </w:r>
    </w:p>
    <w:p w14:paraId="79A29F77" w14:textId="77777777" w:rsidR="00A54292" w:rsidRPr="0001349A" w:rsidRDefault="00A54292" w:rsidP="000F3AF5">
      <w:pPr>
        <w:rPr>
          <w:rFonts w:ascii="Times New Roman" w:hAnsi="Times New Roman" w:cs="Times New Roman"/>
        </w:rPr>
      </w:pPr>
    </w:p>
    <w:p w14:paraId="1E80E865" w14:textId="77777777" w:rsidR="000F3AF5" w:rsidRPr="0001349A" w:rsidRDefault="000F3AF5" w:rsidP="007D5E5C">
      <w:pPr>
        <w:rPr>
          <w:rFonts w:ascii="Times New Roman" w:hAnsi="Times New Roman" w:cs="Times New Roman"/>
        </w:rPr>
      </w:pPr>
    </w:p>
    <w:sectPr w:rsidR="000F3AF5" w:rsidRPr="000134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DD41D" w14:textId="77777777" w:rsidR="00722B15" w:rsidRDefault="00722B15" w:rsidP="004B4E6E">
      <w:r>
        <w:separator/>
      </w:r>
    </w:p>
  </w:endnote>
  <w:endnote w:type="continuationSeparator" w:id="0">
    <w:p w14:paraId="011A8F22" w14:textId="77777777" w:rsidR="00722B15" w:rsidRDefault="00722B15" w:rsidP="004B4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4D795" w14:textId="77777777" w:rsidR="00722B15" w:rsidRDefault="00722B15" w:rsidP="004B4E6E">
      <w:r>
        <w:separator/>
      </w:r>
    </w:p>
  </w:footnote>
  <w:footnote w:type="continuationSeparator" w:id="0">
    <w:p w14:paraId="6EB66F59" w14:textId="77777777" w:rsidR="00722B15" w:rsidRDefault="00722B15" w:rsidP="004B4E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3635A9"/>
    <w:multiLevelType w:val="hybridMultilevel"/>
    <w:tmpl w:val="C164D194"/>
    <w:lvl w:ilvl="0" w:tplc="74D0ACB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43332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45B"/>
    <w:rsid w:val="00004910"/>
    <w:rsid w:val="0001349A"/>
    <w:rsid w:val="000A56A2"/>
    <w:rsid w:val="000F3AF5"/>
    <w:rsid w:val="00163AF9"/>
    <w:rsid w:val="00174296"/>
    <w:rsid w:val="001925AA"/>
    <w:rsid w:val="00221335"/>
    <w:rsid w:val="00262E85"/>
    <w:rsid w:val="002801B2"/>
    <w:rsid w:val="002B3933"/>
    <w:rsid w:val="002E67FF"/>
    <w:rsid w:val="002E69F5"/>
    <w:rsid w:val="00344960"/>
    <w:rsid w:val="003A4CD6"/>
    <w:rsid w:val="004A7308"/>
    <w:rsid w:val="004B4E6E"/>
    <w:rsid w:val="004C0C01"/>
    <w:rsid w:val="004D0309"/>
    <w:rsid w:val="00520C80"/>
    <w:rsid w:val="005652C9"/>
    <w:rsid w:val="0057496D"/>
    <w:rsid w:val="005A6A2B"/>
    <w:rsid w:val="005C4397"/>
    <w:rsid w:val="00722B15"/>
    <w:rsid w:val="007B4727"/>
    <w:rsid w:val="007D5E5C"/>
    <w:rsid w:val="00836F3D"/>
    <w:rsid w:val="009B4A43"/>
    <w:rsid w:val="009D2FC4"/>
    <w:rsid w:val="00A54292"/>
    <w:rsid w:val="00A84690"/>
    <w:rsid w:val="00BC4F10"/>
    <w:rsid w:val="00C14D8D"/>
    <w:rsid w:val="00C469C8"/>
    <w:rsid w:val="00C711A1"/>
    <w:rsid w:val="00CF7E30"/>
    <w:rsid w:val="00D57D00"/>
    <w:rsid w:val="00E2045B"/>
    <w:rsid w:val="00E57B8D"/>
    <w:rsid w:val="00E850BD"/>
    <w:rsid w:val="00F362D5"/>
    <w:rsid w:val="00F45C1D"/>
    <w:rsid w:val="00F741EC"/>
    <w:rsid w:val="00F83D12"/>
    <w:rsid w:val="00FC6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C78EF"/>
  <w15:chartTrackingRefBased/>
  <w15:docId w15:val="{B12F55CF-C201-4274-8CDD-1B55B8DDB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E2045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E2045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E2045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E2045B"/>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E2045B"/>
    <w:pPr>
      <w:keepNext/>
      <w:keepLines/>
      <w:spacing w:before="80" w:after="40"/>
      <w:outlineLvl w:val="4"/>
    </w:pPr>
    <w:rPr>
      <w:rFonts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E2045B"/>
    <w:pPr>
      <w:keepNext/>
      <w:keepLines/>
      <w:spacing w:before="4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rsid w:val="00E2045B"/>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E2045B"/>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E2045B"/>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45B"/>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E2045B"/>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E2045B"/>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E2045B"/>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E2045B"/>
    <w:rPr>
      <w:rFonts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E2045B"/>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E2045B"/>
    <w:rPr>
      <w:rFonts w:cstheme="majorBidi"/>
      <w:b/>
      <w:bCs/>
      <w:color w:val="595959" w:themeColor="text1" w:themeTint="A6"/>
    </w:rPr>
  </w:style>
  <w:style w:type="character" w:customStyle="1" w:styleId="Heading8Char">
    <w:name w:val="Heading 8 Char"/>
    <w:basedOn w:val="DefaultParagraphFont"/>
    <w:link w:val="Heading8"/>
    <w:uiPriority w:val="9"/>
    <w:semiHidden/>
    <w:rsid w:val="00E2045B"/>
    <w:rPr>
      <w:rFonts w:cstheme="majorBidi"/>
      <w:color w:val="595959" w:themeColor="text1" w:themeTint="A6"/>
    </w:rPr>
  </w:style>
  <w:style w:type="character" w:customStyle="1" w:styleId="Heading9Char">
    <w:name w:val="Heading 9 Char"/>
    <w:basedOn w:val="DefaultParagraphFont"/>
    <w:link w:val="Heading9"/>
    <w:uiPriority w:val="9"/>
    <w:semiHidden/>
    <w:rsid w:val="00E2045B"/>
    <w:rPr>
      <w:rFonts w:eastAsiaTheme="majorEastAsia" w:cstheme="majorBidi"/>
      <w:color w:val="595959" w:themeColor="text1" w:themeTint="A6"/>
    </w:rPr>
  </w:style>
  <w:style w:type="paragraph" w:styleId="Title">
    <w:name w:val="Title"/>
    <w:basedOn w:val="Normal"/>
    <w:next w:val="Normal"/>
    <w:link w:val="TitleChar"/>
    <w:uiPriority w:val="10"/>
    <w:qFormat/>
    <w:rsid w:val="00E2045B"/>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4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45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45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E2045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045B"/>
    <w:rPr>
      <w:i/>
      <w:iCs/>
      <w:color w:val="404040" w:themeColor="text1" w:themeTint="BF"/>
    </w:rPr>
  </w:style>
  <w:style w:type="paragraph" w:styleId="ListParagraph">
    <w:name w:val="List Paragraph"/>
    <w:basedOn w:val="Normal"/>
    <w:uiPriority w:val="34"/>
    <w:qFormat/>
    <w:rsid w:val="00E2045B"/>
    <w:pPr>
      <w:ind w:left="720"/>
      <w:contextualSpacing/>
    </w:pPr>
  </w:style>
  <w:style w:type="character" w:styleId="IntenseEmphasis">
    <w:name w:val="Intense Emphasis"/>
    <w:basedOn w:val="DefaultParagraphFont"/>
    <w:uiPriority w:val="21"/>
    <w:qFormat/>
    <w:rsid w:val="00E2045B"/>
    <w:rPr>
      <w:i/>
      <w:iCs/>
      <w:color w:val="2F5496" w:themeColor="accent1" w:themeShade="BF"/>
    </w:rPr>
  </w:style>
  <w:style w:type="paragraph" w:styleId="IntenseQuote">
    <w:name w:val="Intense Quote"/>
    <w:basedOn w:val="Normal"/>
    <w:next w:val="Normal"/>
    <w:link w:val="IntenseQuoteChar"/>
    <w:uiPriority w:val="30"/>
    <w:qFormat/>
    <w:rsid w:val="00E204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045B"/>
    <w:rPr>
      <w:i/>
      <w:iCs/>
      <w:color w:val="2F5496" w:themeColor="accent1" w:themeShade="BF"/>
    </w:rPr>
  </w:style>
  <w:style w:type="character" w:styleId="IntenseReference">
    <w:name w:val="Intense Reference"/>
    <w:basedOn w:val="DefaultParagraphFont"/>
    <w:uiPriority w:val="32"/>
    <w:qFormat/>
    <w:rsid w:val="00E2045B"/>
    <w:rPr>
      <w:b/>
      <w:bCs/>
      <w:smallCaps/>
      <w:color w:val="2F5496" w:themeColor="accent1" w:themeShade="BF"/>
      <w:spacing w:val="5"/>
    </w:rPr>
  </w:style>
  <w:style w:type="paragraph" w:styleId="Header">
    <w:name w:val="header"/>
    <w:basedOn w:val="Normal"/>
    <w:link w:val="HeaderChar"/>
    <w:uiPriority w:val="99"/>
    <w:unhideWhenUsed/>
    <w:rsid w:val="004B4E6E"/>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4B4E6E"/>
    <w:rPr>
      <w:sz w:val="18"/>
      <w:szCs w:val="18"/>
    </w:rPr>
  </w:style>
  <w:style w:type="paragraph" w:styleId="Footer">
    <w:name w:val="footer"/>
    <w:basedOn w:val="Normal"/>
    <w:link w:val="FooterChar"/>
    <w:uiPriority w:val="99"/>
    <w:unhideWhenUsed/>
    <w:rsid w:val="004B4E6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4B4E6E"/>
    <w:rPr>
      <w:sz w:val="18"/>
      <w:szCs w:val="18"/>
    </w:rPr>
  </w:style>
  <w:style w:type="paragraph" w:styleId="Caption">
    <w:name w:val="caption"/>
    <w:basedOn w:val="Normal"/>
    <w:next w:val="Normal"/>
    <w:uiPriority w:val="35"/>
    <w:unhideWhenUsed/>
    <w:qFormat/>
    <w:rsid w:val="00174296"/>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5</Pages>
  <Words>1739</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Ningning Li</dc:creator>
  <cp:keywords/>
  <dc:description/>
  <cp:lastModifiedBy>Ningning Li</cp:lastModifiedBy>
  <cp:revision>20</cp:revision>
  <dcterms:created xsi:type="dcterms:W3CDTF">2026-03-21T05:54:00Z</dcterms:created>
  <dcterms:modified xsi:type="dcterms:W3CDTF">2026-06-05T11:31:00Z</dcterms:modified>
</cp:coreProperties>
</file>