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A92AE" w14:textId="77777777" w:rsidR="00321DF4" w:rsidRDefault="00321DF4">
      <w:pPr>
        <w:jc w:val="both"/>
        <w:rPr>
          <w:rFonts w:ascii="Arial" w:eastAsia="Arial" w:hAnsi="Arial" w:cs="Arial"/>
          <w:color w:val="4C94D8"/>
          <w:sz w:val="40"/>
          <w:szCs w:val="40"/>
        </w:rPr>
      </w:pPr>
      <w:bookmarkStart w:id="0" w:name="_heading=h.i12f4tmk4e10" w:colFirst="0" w:colLast="0"/>
      <w:bookmarkEnd w:id="0"/>
    </w:p>
    <w:p w14:paraId="75BA1B16" w14:textId="77777777" w:rsidR="00321DF4" w:rsidRPr="00D549EC" w:rsidRDefault="00000000">
      <w:pPr>
        <w:spacing w:line="360" w:lineRule="auto"/>
        <w:jc w:val="center"/>
        <w:rPr>
          <w:color w:val="4C94D8"/>
        </w:rPr>
      </w:pPr>
      <w:r w:rsidRPr="00D549EC">
        <w:rPr>
          <w:rFonts w:ascii="Arial" w:eastAsia="Arial" w:hAnsi="Arial" w:cs="Arial"/>
          <w:b/>
          <w:bCs/>
          <w:sz w:val="28"/>
          <w:szCs w:val="28"/>
        </w:rPr>
        <w:t>Early deviations from normative brain morphology and cortical microstructure in schizophrenia spectrum disorders</w:t>
      </w:r>
    </w:p>
    <w:p w14:paraId="7FAE212F" w14:textId="77777777" w:rsidR="00321DF4" w:rsidRPr="00D549EC" w:rsidRDefault="00321DF4">
      <w:pPr>
        <w:rPr>
          <w:rFonts w:ascii="Arial" w:eastAsia="Arial" w:hAnsi="Arial" w:cs="Arial"/>
          <w:color w:val="4C94D8"/>
          <w:sz w:val="36"/>
          <w:szCs w:val="36"/>
        </w:rPr>
      </w:pPr>
    </w:p>
    <w:p w14:paraId="563C1490" w14:textId="77777777" w:rsidR="00321DF4" w:rsidRPr="00D549EC" w:rsidRDefault="00000000">
      <w:pPr>
        <w:jc w:val="center"/>
        <w:rPr>
          <w:rFonts w:ascii="Arial" w:eastAsia="Arial" w:hAnsi="Arial" w:cs="Arial"/>
          <w:sz w:val="40"/>
          <w:szCs w:val="40"/>
        </w:rPr>
      </w:pPr>
      <w:r w:rsidRPr="00D549EC">
        <w:rPr>
          <w:rFonts w:ascii="Arial" w:eastAsia="Arial" w:hAnsi="Arial" w:cs="Arial"/>
          <w:sz w:val="40"/>
          <w:szCs w:val="40"/>
        </w:rPr>
        <w:t>Supplementary Material</w:t>
      </w:r>
    </w:p>
    <w:p w14:paraId="60FDE36A" w14:textId="29286B32" w:rsidR="00321DF4" w:rsidRPr="00D549EC" w:rsidRDefault="00321DF4">
      <w:pPr>
        <w:widowControl w:val="0"/>
        <w:tabs>
          <w:tab w:val="right" w:pos="12000"/>
        </w:tabs>
        <w:spacing w:before="60" w:after="0" w:line="240" w:lineRule="auto"/>
        <w:rPr>
          <w:rFonts w:ascii="Arial" w:eastAsia="Arial" w:hAnsi="Arial" w:cs="Arial"/>
          <w:b/>
          <w:bCs/>
        </w:rPr>
      </w:pPr>
    </w:p>
    <w:p w14:paraId="070A4BC7" w14:textId="77777777" w:rsidR="00321DF4" w:rsidRPr="00D549EC" w:rsidRDefault="00321DF4">
      <w:pPr>
        <w:jc w:val="both"/>
        <w:rPr>
          <w:rFonts w:ascii="Arial" w:eastAsia="Arial" w:hAnsi="Arial" w:cs="Arial"/>
        </w:rPr>
      </w:pPr>
    </w:p>
    <w:p w14:paraId="3109C4D8" w14:textId="77777777" w:rsidR="00321DF4" w:rsidRPr="00D549EC" w:rsidRDefault="00000000">
      <w:pPr>
        <w:pStyle w:val="Ttulo2"/>
        <w:rPr>
          <w:rFonts w:ascii="Arial" w:eastAsia="Arial" w:hAnsi="Arial" w:cs="Arial"/>
          <w:color w:val="4C94D8"/>
        </w:rPr>
      </w:pPr>
      <w:bookmarkStart w:id="1" w:name="_heading=h.xlk6cox55bur" w:colFirst="0" w:colLast="0"/>
      <w:bookmarkEnd w:id="1"/>
      <w:r w:rsidRPr="00D549EC">
        <w:rPr>
          <w:rFonts w:ascii="Arial" w:eastAsia="Arial" w:hAnsi="Arial" w:cs="Arial"/>
          <w:color w:val="4C94D8"/>
        </w:rPr>
        <w:t>Participants</w:t>
      </w:r>
    </w:p>
    <w:p w14:paraId="5ED16B1B" w14:textId="77777777" w:rsidR="00321DF4" w:rsidRPr="00D549EC" w:rsidRDefault="00000000">
      <w:pPr>
        <w:jc w:val="both"/>
        <w:rPr>
          <w:rFonts w:ascii="Arial" w:eastAsia="Arial" w:hAnsi="Arial" w:cs="Arial"/>
        </w:rPr>
      </w:pPr>
      <w:r w:rsidRPr="00D549EC">
        <w:rPr>
          <w:rFonts w:ascii="Arial" w:eastAsia="Arial" w:hAnsi="Arial" w:cs="Arial"/>
        </w:rPr>
        <w:t>Data for the present study were drawn from a large cohort of individuals with a first episode of psychosis (FEP) in Cantabria, a region in northern Spain with epidemiological representativeness. Participants were enrolled in PAFIP (</w:t>
      </w:r>
      <w:proofErr w:type="spellStart"/>
      <w:r w:rsidRPr="00D549EC">
        <w:rPr>
          <w:rFonts w:ascii="Arial" w:eastAsia="Arial" w:hAnsi="Arial" w:cs="Arial"/>
        </w:rPr>
        <w:t>Programa</w:t>
      </w:r>
      <w:proofErr w:type="spellEnd"/>
      <w:r w:rsidRPr="00D549EC">
        <w:rPr>
          <w:rFonts w:ascii="Arial" w:eastAsia="Arial" w:hAnsi="Arial" w:cs="Arial"/>
        </w:rPr>
        <w:t xml:space="preserve"> de </w:t>
      </w:r>
      <w:proofErr w:type="spellStart"/>
      <w:r w:rsidRPr="00D549EC">
        <w:rPr>
          <w:rFonts w:ascii="Arial" w:eastAsia="Arial" w:hAnsi="Arial" w:cs="Arial"/>
        </w:rPr>
        <w:t>Atención</w:t>
      </w:r>
      <w:proofErr w:type="spellEnd"/>
      <w:r w:rsidRPr="00D549EC">
        <w:rPr>
          <w:rFonts w:ascii="Arial" w:eastAsia="Arial" w:hAnsi="Arial" w:cs="Arial"/>
        </w:rPr>
        <w:t xml:space="preserve"> a las </w:t>
      </w:r>
      <w:proofErr w:type="spellStart"/>
      <w:r w:rsidRPr="00D549EC">
        <w:rPr>
          <w:rFonts w:ascii="Arial" w:eastAsia="Arial" w:hAnsi="Arial" w:cs="Arial"/>
        </w:rPr>
        <w:t>Fases</w:t>
      </w:r>
      <w:proofErr w:type="spellEnd"/>
      <w:r w:rsidRPr="00D549EC">
        <w:rPr>
          <w:rFonts w:ascii="Arial" w:eastAsia="Arial" w:hAnsi="Arial" w:cs="Arial"/>
        </w:rPr>
        <w:t xml:space="preserve"> </w:t>
      </w:r>
      <w:proofErr w:type="spellStart"/>
      <w:r w:rsidRPr="00D549EC">
        <w:rPr>
          <w:rFonts w:ascii="Arial" w:eastAsia="Arial" w:hAnsi="Arial" w:cs="Arial"/>
        </w:rPr>
        <w:t>Iniciales</w:t>
      </w:r>
      <w:proofErr w:type="spellEnd"/>
      <w:r w:rsidRPr="00D549EC">
        <w:rPr>
          <w:rFonts w:ascii="Arial" w:eastAsia="Arial" w:hAnsi="Arial" w:cs="Arial"/>
        </w:rPr>
        <w:t xml:space="preserve"> de </w:t>
      </w:r>
      <w:proofErr w:type="spellStart"/>
      <w:r w:rsidRPr="00D549EC">
        <w:rPr>
          <w:rFonts w:ascii="Arial" w:eastAsia="Arial" w:hAnsi="Arial" w:cs="Arial"/>
        </w:rPr>
        <w:t>Psicosis</w:t>
      </w:r>
      <w:proofErr w:type="spellEnd"/>
      <w:r w:rsidRPr="00D549EC">
        <w:rPr>
          <w:rFonts w:ascii="Arial" w:eastAsia="Arial" w:hAnsi="Arial" w:cs="Arial"/>
        </w:rPr>
        <w:t xml:space="preserve">), a multidisciplinary intervention program conducted at the University Hospital Marqués de </w:t>
      </w:r>
      <w:proofErr w:type="spellStart"/>
      <w:r w:rsidRPr="00D549EC">
        <w:rPr>
          <w:rFonts w:ascii="Arial" w:eastAsia="Arial" w:hAnsi="Arial" w:cs="Arial"/>
        </w:rPr>
        <w:t>Valdecilla</w:t>
      </w:r>
      <w:proofErr w:type="spellEnd"/>
      <w:r w:rsidRPr="00D549EC">
        <w:rPr>
          <w:rFonts w:ascii="Arial" w:eastAsia="Arial" w:hAnsi="Arial" w:cs="Arial"/>
        </w:rPr>
        <w:t>. Referrals came from inpatient units, emergency services, mental health services, and other healthcare workers across the region.</w:t>
      </w:r>
    </w:p>
    <w:p w14:paraId="2306E671" w14:textId="77777777" w:rsidR="00321DF4" w:rsidRPr="00D549EC" w:rsidRDefault="00000000">
      <w:pPr>
        <w:jc w:val="both"/>
        <w:rPr>
          <w:rFonts w:ascii="Arial" w:eastAsia="Arial" w:hAnsi="Arial" w:cs="Arial"/>
        </w:rPr>
      </w:pPr>
      <w:r w:rsidRPr="00D549EC">
        <w:rPr>
          <w:rFonts w:ascii="Arial" w:eastAsia="Arial" w:hAnsi="Arial" w:cs="Arial"/>
        </w:rPr>
        <w:t>Inclusion criteria included: age 15–60 years, residence within the catchment area, FEP diagnosis, and either no prior or minimal antipsychotic exposure (less than six weeks). Exclusion criteria were DSM-IV diagnoses of drug or alcohol dependence, intellectual disability, or history of neurological disease or head injury. Diagnoses were confirmed using the Structured Clinical Interview for DSM-IV (SCID-I) conducted by an experienced psychiatrist within 6 months of first episode of psychosis visit.</w:t>
      </w:r>
    </w:p>
    <w:p w14:paraId="5AC34BA6" w14:textId="77777777" w:rsidR="00321DF4" w:rsidRPr="00D549EC" w:rsidRDefault="00000000">
      <w:pPr>
        <w:jc w:val="both"/>
        <w:rPr>
          <w:rFonts w:ascii="Arial" w:eastAsia="Arial" w:hAnsi="Arial" w:cs="Arial"/>
        </w:rPr>
      </w:pPr>
      <w:r w:rsidRPr="00D549EC">
        <w:rPr>
          <w:rFonts w:ascii="Arial" w:eastAsia="Arial" w:hAnsi="Arial" w:cs="Arial"/>
        </w:rPr>
        <w:t>Sociodemographic and clinical data were obtained from interviews and medical records. Symptom dimensions were evaluated using the Scale for the Assessment of Positive Symptoms (SAPS), the Scale for the Assessment of Negative Symptoms (SANS) and the Brief Psychiatric Rating Scale (BPRS).</w:t>
      </w:r>
    </w:p>
    <w:p w14:paraId="113A0DE7" w14:textId="77777777" w:rsidR="00321DF4" w:rsidRPr="00D549EC" w:rsidRDefault="00000000">
      <w:pPr>
        <w:jc w:val="both"/>
        <w:rPr>
          <w:rFonts w:ascii="Arial" w:eastAsia="Arial" w:hAnsi="Arial" w:cs="Arial"/>
        </w:rPr>
      </w:pPr>
      <w:r w:rsidRPr="00D549EC">
        <w:rPr>
          <w:rFonts w:ascii="Arial" w:eastAsia="Arial" w:hAnsi="Arial" w:cs="Arial"/>
        </w:rPr>
        <w:t>Healthy controls were assessed using a condensed version of the Comprehensive Assessment of Symptoms and History, ensuring absence of psychiatric or neurological disorders, significant medical conditions, or substance dependence.</w:t>
      </w:r>
    </w:p>
    <w:p w14:paraId="7B340E49" w14:textId="77777777" w:rsidR="00321DF4" w:rsidRPr="00D549EC" w:rsidRDefault="00000000">
      <w:pPr>
        <w:rPr>
          <w:rFonts w:ascii="Arial" w:eastAsia="Arial" w:hAnsi="Arial" w:cs="Arial"/>
          <w:color w:val="4C94D8"/>
          <w:sz w:val="32"/>
          <w:szCs w:val="32"/>
        </w:rPr>
      </w:pPr>
      <w:r w:rsidRPr="00D549EC">
        <w:br w:type="page"/>
      </w:r>
    </w:p>
    <w:p w14:paraId="17150FA4" w14:textId="77777777" w:rsidR="00321DF4" w:rsidRPr="00D549EC" w:rsidRDefault="00000000">
      <w:pPr>
        <w:pStyle w:val="Ttulo2"/>
        <w:rPr>
          <w:rFonts w:ascii="Arial" w:eastAsia="Arial" w:hAnsi="Arial" w:cs="Arial"/>
          <w:color w:val="4C94D8"/>
        </w:rPr>
      </w:pPr>
      <w:bookmarkStart w:id="2" w:name="_heading=h.fn8hvw6lfdny" w:colFirst="0" w:colLast="0"/>
      <w:bookmarkEnd w:id="2"/>
      <w:r w:rsidRPr="00D549EC">
        <w:rPr>
          <w:rFonts w:ascii="Arial" w:eastAsia="Arial" w:hAnsi="Arial" w:cs="Arial"/>
          <w:color w:val="4C94D8"/>
        </w:rPr>
        <w:lastRenderedPageBreak/>
        <w:t>Supplementary tables</w:t>
      </w:r>
    </w:p>
    <w:p w14:paraId="34B2C43D" w14:textId="77777777" w:rsidR="00CD592E" w:rsidRPr="00D549EC" w:rsidRDefault="00CD592E" w:rsidP="00CD592E">
      <w:pPr>
        <w:spacing w:line="240" w:lineRule="auto"/>
        <w:rPr>
          <w:rFonts w:ascii="Arial" w:eastAsia="Arial" w:hAnsi="Arial" w:cs="Arial"/>
          <w:sz w:val="24"/>
          <w:szCs w:val="24"/>
        </w:rPr>
      </w:pPr>
    </w:p>
    <w:tbl>
      <w:tblPr>
        <w:tblW w:w="8589" w:type="dxa"/>
        <w:tblLook w:val="04A0" w:firstRow="1" w:lastRow="0" w:firstColumn="1" w:lastColumn="0" w:noHBand="0" w:noVBand="1"/>
      </w:tblPr>
      <w:tblGrid>
        <w:gridCol w:w="2072"/>
        <w:gridCol w:w="1467"/>
        <w:gridCol w:w="2126"/>
        <w:gridCol w:w="2924"/>
      </w:tblGrid>
      <w:tr w:rsidR="00CD592E" w:rsidRPr="00D549EC" w14:paraId="540F44D8" w14:textId="77777777" w:rsidTr="00C010EA">
        <w:trPr>
          <w:trHeight w:val="262"/>
        </w:trPr>
        <w:tc>
          <w:tcPr>
            <w:tcW w:w="2072" w:type="dxa"/>
            <w:tcBorders>
              <w:top w:val="single" w:sz="4" w:space="0" w:color="000000"/>
              <w:left w:val="single" w:sz="4" w:space="0" w:color="000000"/>
              <w:bottom w:val="single" w:sz="4" w:space="0" w:color="000000"/>
              <w:right w:val="nil"/>
            </w:tcBorders>
            <w:shd w:val="clear" w:color="000000" w:fill="000000"/>
            <w:noWrap/>
            <w:vAlign w:val="bottom"/>
            <w:hideMark/>
          </w:tcPr>
          <w:p w14:paraId="491F29E8" w14:textId="77777777" w:rsidR="00CD592E" w:rsidRPr="00D549EC" w:rsidRDefault="00CD592E" w:rsidP="00CD592E">
            <w:pPr>
              <w:spacing w:after="0" w:line="240" w:lineRule="auto"/>
              <w:jc w:val="right"/>
              <w:rPr>
                <w:rFonts w:ascii="Aptos Narrow" w:eastAsia="Times New Roman" w:hAnsi="Aptos Narrow" w:cs="Times New Roman"/>
                <w:b/>
                <w:bCs/>
                <w:color w:val="FFFFFF"/>
              </w:rPr>
            </w:pPr>
            <w:r w:rsidRPr="00D549EC">
              <w:rPr>
                <w:rFonts w:ascii="Aptos Narrow" w:eastAsia="Times New Roman" w:hAnsi="Aptos Narrow" w:cs="Times New Roman"/>
                <w:b/>
                <w:bCs/>
                <w:color w:val="FFFFFF"/>
              </w:rPr>
              <w:t>Previous Treatment</w:t>
            </w:r>
          </w:p>
        </w:tc>
        <w:tc>
          <w:tcPr>
            <w:tcW w:w="1467" w:type="dxa"/>
            <w:tcBorders>
              <w:top w:val="single" w:sz="4" w:space="0" w:color="000000"/>
              <w:left w:val="nil"/>
              <w:bottom w:val="single" w:sz="4" w:space="0" w:color="000000"/>
              <w:right w:val="nil"/>
            </w:tcBorders>
            <w:shd w:val="clear" w:color="000000" w:fill="000000"/>
            <w:noWrap/>
            <w:vAlign w:val="bottom"/>
            <w:hideMark/>
          </w:tcPr>
          <w:p w14:paraId="4B9789A3" w14:textId="77777777" w:rsidR="00CD592E" w:rsidRPr="00D549EC" w:rsidRDefault="00CD592E" w:rsidP="00CD592E">
            <w:pPr>
              <w:spacing w:after="0" w:line="240" w:lineRule="auto"/>
              <w:jc w:val="right"/>
              <w:rPr>
                <w:rFonts w:ascii="Aptos Narrow" w:eastAsia="Times New Roman" w:hAnsi="Aptos Narrow" w:cs="Times New Roman"/>
                <w:b/>
                <w:bCs/>
                <w:color w:val="FFFFFF"/>
              </w:rPr>
            </w:pPr>
            <w:r w:rsidRPr="00D549EC">
              <w:rPr>
                <w:rFonts w:ascii="Aptos Narrow" w:eastAsia="Times New Roman" w:hAnsi="Aptos Narrow" w:cs="Times New Roman"/>
                <w:b/>
                <w:bCs/>
                <w:color w:val="FFFFFF"/>
              </w:rPr>
              <w:t>Nº of patients</w:t>
            </w:r>
          </w:p>
        </w:tc>
        <w:tc>
          <w:tcPr>
            <w:tcW w:w="2126" w:type="dxa"/>
            <w:tcBorders>
              <w:top w:val="single" w:sz="4" w:space="0" w:color="000000"/>
              <w:left w:val="nil"/>
              <w:bottom w:val="single" w:sz="4" w:space="0" w:color="000000"/>
              <w:right w:val="nil"/>
            </w:tcBorders>
            <w:shd w:val="clear" w:color="000000" w:fill="000000"/>
            <w:noWrap/>
            <w:vAlign w:val="bottom"/>
            <w:hideMark/>
          </w:tcPr>
          <w:p w14:paraId="0F8822AF" w14:textId="69C67FA5" w:rsidR="00CD592E" w:rsidRPr="00D549EC" w:rsidRDefault="00CD592E" w:rsidP="00CD592E">
            <w:pPr>
              <w:spacing w:after="0" w:line="240" w:lineRule="auto"/>
              <w:jc w:val="right"/>
              <w:rPr>
                <w:rFonts w:ascii="Aptos Narrow" w:eastAsia="Times New Roman" w:hAnsi="Aptos Narrow" w:cs="Times New Roman"/>
                <w:b/>
                <w:bCs/>
                <w:color w:val="FFFFFF"/>
              </w:rPr>
            </w:pPr>
            <w:r w:rsidRPr="00D549EC">
              <w:rPr>
                <w:rFonts w:ascii="Aptos Narrow" w:eastAsia="Times New Roman" w:hAnsi="Aptos Narrow" w:cs="Times New Roman"/>
                <w:b/>
                <w:bCs/>
                <w:color w:val="FFFFFF"/>
              </w:rPr>
              <w:t>Duration (days)</w:t>
            </w:r>
          </w:p>
        </w:tc>
        <w:tc>
          <w:tcPr>
            <w:tcW w:w="2924" w:type="dxa"/>
            <w:tcBorders>
              <w:top w:val="single" w:sz="4" w:space="0" w:color="000000"/>
              <w:left w:val="nil"/>
              <w:bottom w:val="single" w:sz="4" w:space="0" w:color="000000"/>
              <w:right w:val="single" w:sz="4" w:space="0" w:color="000000"/>
            </w:tcBorders>
            <w:shd w:val="clear" w:color="000000" w:fill="000000"/>
            <w:noWrap/>
            <w:vAlign w:val="bottom"/>
            <w:hideMark/>
          </w:tcPr>
          <w:p w14:paraId="74A75FB3" w14:textId="77777777" w:rsidR="00CD592E" w:rsidRPr="00D549EC" w:rsidRDefault="00CD592E" w:rsidP="00CD592E">
            <w:pPr>
              <w:spacing w:after="0" w:line="240" w:lineRule="auto"/>
              <w:jc w:val="right"/>
              <w:rPr>
                <w:rFonts w:ascii="Aptos Narrow" w:eastAsia="Times New Roman" w:hAnsi="Aptos Narrow" w:cs="Times New Roman"/>
                <w:b/>
                <w:bCs/>
                <w:color w:val="FFFFFF"/>
              </w:rPr>
            </w:pPr>
            <w:r w:rsidRPr="00D549EC">
              <w:rPr>
                <w:rFonts w:ascii="Aptos Narrow" w:eastAsia="Times New Roman" w:hAnsi="Aptos Narrow" w:cs="Times New Roman"/>
                <w:b/>
                <w:bCs/>
                <w:color w:val="FFFFFF"/>
              </w:rPr>
              <w:t>Standard deviation (days)</w:t>
            </w:r>
          </w:p>
        </w:tc>
      </w:tr>
      <w:tr w:rsidR="00CD592E" w:rsidRPr="00D549EC" w14:paraId="73F052B3" w14:textId="77777777" w:rsidTr="00C010EA">
        <w:trPr>
          <w:trHeight w:val="262"/>
        </w:trPr>
        <w:tc>
          <w:tcPr>
            <w:tcW w:w="2072" w:type="dxa"/>
            <w:tcBorders>
              <w:top w:val="single" w:sz="4" w:space="0" w:color="000000"/>
              <w:left w:val="single" w:sz="4" w:space="0" w:color="000000"/>
              <w:bottom w:val="single" w:sz="4" w:space="0" w:color="000000"/>
              <w:right w:val="nil"/>
            </w:tcBorders>
            <w:shd w:val="clear" w:color="D9D9D9" w:fill="D9D9D9"/>
            <w:noWrap/>
            <w:vAlign w:val="bottom"/>
            <w:hideMark/>
          </w:tcPr>
          <w:p w14:paraId="68D1052F" w14:textId="77777777" w:rsidR="00CD592E" w:rsidRPr="00D549EC" w:rsidRDefault="00CD592E" w:rsidP="00C010EA">
            <w:pPr>
              <w:spacing w:after="0" w:line="240" w:lineRule="auto"/>
              <w:rPr>
                <w:rFonts w:eastAsia="Times New Roman" w:cs="Times New Roman"/>
                <w:color w:val="000000"/>
              </w:rPr>
            </w:pPr>
            <w:r w:rsidRPr="00D549EC">
              <w:rPr>
                <w:rFonts w:eastAsia="Times New Roman" w:cs="Times New Roman"/>
                <w:color w:val="000000"/>
              </w:rPr>
              <w:t>Aripiprazole</w:t>
            </w:r>
          </w:p>
        </w:tc>
        <w:tc>
          <w:tcPr>
            <w:tcW w:w="1467" w:type="dxa"/>
            <w:tcBorders>
              <w:top w:val="single" w:sz="4" w:space="0" w:color="000000"/>
              <w:left w:val="nil"/>
              <w:bottom w:val="single" w:sz="4" w:space="0" w:color="000000"/>
              <w:right w:val="nil"/>
            </w:tcBorders>
            <w:shd w:val="clear" w:color="D9D9D9" w:fill="D9D9D9"/>
            <w:noWrap/>
            <w:vAlign w:val="bottom"/>
            <w:hideMark/>
          </w:tcPr>
          <w:p w14:paraId="35C0B970" w14:textId="77777777" w:rsidR="00CD592E" w:rsidRPr="00D549EC" w:rsidRDefault="00CD592E" w:rsidP="00C010EA">
            <w:pPr>
              <w:spacing w:after="0" w:line="240" w:lineRule="auto"/>
              <w:jc w:val="right"/>
              <w:rPr>
                <w:rFonts w:eastAsia="Times New Roman" w:cs="Times New Roman"/>
                <w:color w:val="000000"/>
              </w:rPr>
            </w:pPr>
            <w:r w:rsidRPr="00D549EC">
              <w:rPr>
                <w:rFonts w:eastAsia="Times New Roman" w:cs="Times New Roman"/>
                <w:color w:val="000000"/>
              </w:rPr>
              <w:t>2</w:t>
            </w:r>
          </w:p>
        </w:tc>
        <w:tc>
          <w:tcPr>
            <w:tcW w:w="2126" w:type="dxa"/>
            <w:tcBorders>
              <w:top w:val="single" w:sz="4" w:space="0" w:color="000000"/>
              <w:left w:val="nil"/>
              <w:bottom w:val="single" w:sz="4" w:space="0" w:color="000000"/>
              <w:right w:val="nil"/>
            </w:tcBorders>
            <w:shd w:val="clear" w:color="D9D9D9" w:fill="D9D9D9"/>
            <w:noWrap/>
            <w:vAlign w:val="bottom"/>
            <w:hideMark/>
          </w:tcPr>
          <w:p w14:paraId="3D96BD9A" w14:textId="77777777" w:rsidR="00CD592E" w:rsidRPr="00D549EC" w:rsidRDefault="00CD592E" w:rsidP="00C010EA">
            <w:pPr>
              <w:spacing w:after="0" w:line="240" w:lineRule="auto"/>
              <w:jc w:val="right"/>
              <w:rPr>
                <w:rFonts w:eastAsia="Times New Roman" w:cs="Times New Roman"/>
                <w:color w:val="000000"/>
              </w:rPr>
            </w:pPr>
            <w:r w:rsidRPr="00D549EC">
              <w:rPr>
                <w:rFonts w:eastAsia="Times New Roman" w:cs="Times New Roman"/>
                <w:color w:val="000000"/>
              </w:rPr>
              <w:t>5.5</w:t>
            </w:r>
          </w:p>
        </w:tc>
        <w:tc>
          <w:tcPr>
            <w:tcW w:w="2924" w:type="dxa"/>
            <w:tcBorders>
              <w:top w:val="single" w:sz="4" w:space="0" w:color="000000"/>
              <w:left w:val="nil"/>
              <w:bottom w:val="single" w:sz="4" w:space="0" w:color="000000"/>
              <w:right w:val="single" w:sz="4" w:space="0" w:color="000000"/>
            </w:tcBorders>
            <w:shd w:val="clear" w:color="D9D9D9" w:fill="D9D9D9"/>
            <w:noWrap/>
            <w:vAlign w:val="bottom"/>
            <w:hideMark/>
          </w:tcPr>
          <w:p w14:paraId="5AF49476" w14:textId="77777777" w:rsidR="00CD592E" w:rsidRPr="00D549EC" w:rsidRDefault="00CD592E" w:rsidP="00C010EA">
            <w:pPr>
              <w:spacing w:after="0" w:line="240" w:lineRule="auto"/>
              <w:jc w:val="right"/>
              <w:rPr>
                <w:rFonts w:eastAsia="Times New Roman" w:cs="Times New Roman"/>
                <w:color w:val="000000"/>
              </w:rPr>
            </w:pPr>
            <w:r w:rsidRPr="00D549EC">
              <w:rPr>
                <w:rFonts w:eastAsia="Times New Roman" w:cs="Times New Roman"/>
                <w:color w:val="000000"/>
              </w:rPr>
              <w:t>3.54</w:t>
            </w:r>
          </w:p>
        </w:tc>
      </w:tr>
      <w:tr w:rsidR="00CD592E" w:rsidRPr="00D549EC" w14:paraId="69BB7BDB" w14:textId="77777777" w:rsidTr="00C010EA">
        <w:trPr>
          <w:trHeight w:val="262"/>
        </w:trPr>
        <w:tc>
          <w:tcPr>
            <w:tcW w:w="2072" w:type="dxa"/>
            <w:tcBorders>
              <w:top w:val="single" w:sz="4" w:space="0" w:color="000000"/>
              <w:left w:val="single" w:sz="4" w:space="0" w:color="000000"/>
              <w:bottom w:val="single" w:sz="4" w:space="0" w:color="000000"/>
              <w:right w:val="nil"/>
            </w:tcBorders>
            <w:noWrap/>
            <w:vAlign w:val="bottom"/>
            <w:hideMark/>
          </w:tcPr>
          <w:p w14:paraId="65A18314" w14:textId="77777777" w:rsidR="00CD592E" w:rsidRPr="00D549EC" w:rsidRDefault="00CD592E" w:rsidP="00C010EA">
            <w:pPr>
              <w:spacing w:after="0" w:line="240" w:lineRule="auto"/>
              <w:rPr>
                <w:rFonts w:eastAsia="Times New Roman" w:cs="Times New Roman"/>
                <w:color w:val="000000"/>
              </w:rPr>
            </w:pPr>
            <w:r w:rsidRPr="00D549EC">
              <w:rPr>
                <w:rFonts w:eastAsia="Times New Roman" w:cs="Times New Roman"/>
                <w:color w:val="000000"/>
              </w:rPr>
              <w:t>Risperidone</w:t>
            </w:r>
          </w:p>
        </w:tc>
        <w:tc>
          <w:tcPr>
            <w:tcW w:w="1467" w:type="dxa"/>
            <w:tcBorders>
              <w:top w:val="single" w:sz="4" w:space="0" w:color="000000"/>
              <w:left w:val="nil"/>
              <w:bottom w:val="single" w:sz="4" w:space="0" w:color="000000"/>
              <w:right w:val="nil"/>
            </w:tcBorders>
            <w:noWrap/>
            <w:vAlign w:val="bottom"/>
            <w:hideMark/>
          </w:tcPr>
          <w:p w14:paraId="002E7F65" w14:textId="77777777" w:rsidR="00CD592E" w:rsidRPr="00D549EC" w:rsidRDefault="00CD592E" w:rsidP="00C010EA">
            <w:pPr>
              <w:spacing w:after="0" w:line="240" w:lineRule="auto"/>
              <w:jc w:val="right"/>
              <w:rPr>
                <w:rFonts w:eastAsia="Times New Roman" w:cs="Times New Roman"/>
                <w:color w:val="000000"/>
              </w:rPr>
            </w:pPr>
            <w:r w:rsidRPr="00D549EC">
              <w:rPr>
                <w:rFonts w:eastAsia="Times New Roman" w:cs="Times New Roman"/>
                <w:color w:val="000000"/>
              </w:rPr>
              <w:t>5</w:t>
            </w:r>
          </w:p>
        </w:tc>
        <w:tc>
          <w:tcPr>
            <w:tcW w:w="2126" w:type="dxa"/>
            <w:tcBorders>
              <w:top w:val="single" w:sz="4" w:space="0" w:color="000000"/>
              <w:left w:val="nil"/>
              <w:bottom w:val="single" w:sz="4" w:space="0" w:color="000000"/>
              <w:right w:val="nil"/>
            </w:tcBorders>
            <w:noWrap/>
            <w:vAlign w:val="bottom"/>
            <w:hideMark/>
          </w:tcPr>
          <w:p w14:paraId="12D9F31A" w14:textId="77777777" w:rsidR="00CD592E" w:rsidRPr="00D549EC" w:rsidRDefault="00CD592E" w:rsidP="00C010EA">
            <w:pPr>
              <w:spacing w:after="0" w:line="240" w:lineRule="auto"/>
              <w:jc w:val="right"/>
              <w:rPr>
                <w:rFonts w:eastAsia="Times New Roman" w:cs="Times New Roman"/>
                <w:color w:val="000000"/>
              </w:rPr>
            </w:pPr>
            <w:r w:rsidRPr="00D549EC">
              <w:rPr>
                <w:rFonts w:eastAsia="Times New Roman" w:cs="Times New Roman"/>
                <w:color w:val="000000"/>
              </w:rPr>
              <w:t>8.2</w:t>
            </w:r>
          </w:p>
        </w:tc>
        <w:tc>
          <w:tcPr>
            <w:tcW w:w="2924" w:type="dxa"/>
            <w:tcBorders>
              <w:top w:val="single" w:sz="4" w:space="0" w:color="000000"/>
              <w:left w:val="nil"/>
              <w:bottom w:val="single" w:sz="4" w:space="0" w:color="000000"/>
              <w:right w:val="single" w:sz="4" w:space="0" w:color="000000"/>
            </w:tcBorders>
            <w:noWrap/>
            <w:vAlign w:val="bottom"/>
            <w:hideMark/>
          </w:tcPr>
          <w:p w14:paraId="4E4FE2C5" w14:textId="77777777" w:rsidR="00CD592E" w:rsidRPr="00D549EC" w:rsidRDefault="00CD592E" w:rsidP="00C010EA">
            <w:pPr>
              <w:spacing w:after="0" w:line="240" w:lineRule="auto"/>
              <w:jc w:val="right"/>
              <w:rPr>
                <w:rFonts w:eastAsia="Times New Roman" w:cs="Times New Roman"/>
                <w:color w:val="000000"/>
              </w:rPr>
            </w:pPr>
            <w:r w:rsidRPr="00D549EC">
              <w:rPr>
                <w:rFonts w:eastAsia="Times New Roman" w:cs="Times New Roman"/>
                <w:color w:val="000000"/>
              </w:rPr>
              <w:t>5.54</w:t>
            </w:r>
          </w:p>
        </w:tc>
      </w:tr>
      <w:tr w:rsidR="00CD592E" w:rsidRPr="00D549EC" w14:paraId="1E86BF0F" w14:textId="77777777" w:rsidTr="00C010EA">
        <w:trPr>
          <w:trHeight w:val="262"/>
        </w:trPr>
        <w:tc>
          <w:tcPr>
            <w:tcW w:w="2072" w:type="dxa"/>
            <w:tcBorders>
              <w:top w:val="single" w:sz="4" w:space="0" w:color="000000"/>
              <w:left w:val="single" w:sz="4" w:space="0" w:color="000000"/>
              <w:bottom w:val="single" w:sz="4" w:space="0" w:color="000000"/>
              <w:right w:val="nil"/>
            </w:tcBorders>
            <w:shd w:val="clear" w:color="D9D9D9" w:fill="D9D9D9"/>
            <w:noWrap/>
            <w:vAlign w:val="bottom"/>
            <w:hideMark/>
          </w:tcPr>
          <w:p w14:paraId="588B803C" w14:textId="77777777" w:rsidR="00CD592E" w:rsidRPr="00D549EC" w:rsidRDefault="00CD592E" w:rsidP="00C010EA">
            <w:pPr>
              <w:spacing w:after="0" w:line="240" w:lineRule="auto"/>
              <w:rPr>
                <w:rFonts w:eastAsia="Times New Roman" w:cs="Times New Roman"/>
                <w:color w:val="000000"/>
              </w:rPr>
            </w:pPr>
            <w:r w:rsidRPr="00D549EC">
              <w:rPr>
                <w:rFonts w:eastAsia="Times New Roman" w:cs="Times New Roman"/>
                <w:color w:val="000000"/>
              </w:rPr>
              <w:t>Olanzapine</w:t>
            </w:r>
          </w:p>
        </w:tc>
        <w:tc>
          <w:tcPr>
            <w:tcW w:w="1467" w:type="dxa"/>
            <w:tcBorders>
              <w:top w:val="single" w:sz="4" w:space="0" w:color="000000"/>
              <w:left w:val="nil"/>
              <w:bottom w:val="single" w:sz="4" w:space="0" w:color="000000"/>
              <w:right w:val="nil"/>
            </w:tcBorders>
            <w:shd w:val="clear" w:color="D9D9D9" w:fill="D9D9D9"/>
            <w:noWrap/>
            <w:vAlign w:val="bottom"/>
            <w:hideMark/>
          </w:tcPr>
          <w:p w14:paraId="7AC36B6A" w14:textId="77777777" w:rsidR="00CD592E" w:rsidRPr="00D549EC" w:rsidRDefault="00CD592E" w:rsidP="00C010EA">
            <w:pPr>
              <w:spacing w:after="0" w:line="240" w:lineRule="auto"/>
              <w:jc w:val="right"/>
              <w:rPr>
                <w:rFonts w:eastAsia="Times New Roman" w:cs="Times New Roman"/>
                <w:color w:val="000000"/>
              </w:rPr>
            </w:pPr>
            <w:r w:rsidRPr="00D549EC">
              <w:rPr>
                <w:rFonts w:eastAsia="Times New Roman" w:cs="Times New Roman"/>
                <w:color w:val="000000"/>
              </w:rPr>
              <w:t>6</w:t>
            </w:r>
          </w:p>
        </w:tc>
        <w:tc>
          <w:tcPr>
            <w:tcW w:w="2126" w:type="dxa"/>
            <w:tcBorders>
              <w:top w:val="single" w:sz="4" w:space="0" w:color="000000"/>
              <w:left w:val="nil"/>
              <w:bottom w:val="single" w:sz="4" w:space="0" w:color="000000"/>
              <w:right w:val="nil"/>
            </w:tcBorders>
            <w:shd w:val="clear" w:color="D9D9D9" w:fill="D9D9D9"/>
            <w:noWrap/>
            <w:vAlign w:val="bottom"/>
            <w:hideMark/>
          </w:tcPr>
          <w:p w14:paraId="35FCB7BF" w14:textId="77777777" w:rsidR="00CD592E" w:rsidRPr="00D549EC" w:rsidRDefault="00CD592E" w:rsidP="00C010EA">
            <w:pPr>
              <w:spacing w:after="0" w:line="240" w:lineRule="auto"/>
              <w:jc w:val="right"/>
              <w:rPr>
                <w:rFonts w:eastAsia="Times New Roman" w:cs="Times New Roman"/>
                <w:color w:val="000000"/>
              </w:rPr>
            </w:pPr>
            <w:r w:rsidRPr="00D549EC">
              <w:rPr>
                <w:rFonts w:eastAsia="Times New Roman" w:cs="Times New Roman"/>
                <w:color w:val="000000"/>
              </w:rPr>
              <w:t>7.17</w:t>
            </w:r>
          </w:p>
        </w:tc>
        <w:tc>
          <w:tcPr>
            <w:tcW w:w="2924" w:type="dxa"/>
            <w:tcBorders>
              <w:top w:val="single" w:sz="4" w:space="0" w:color="000000"/>
              <w:left w:val="nil"/>
              <w:bottom w:val="single" w:sz="4" w:space="0" w:color="000000"/>
              <w:right w:val="single" w:sz="4" w:space="0" w:color="000000"/>
            </w:tcBorders>
            <w:shd w:val="clear" w:color="D9D9D9" w:fill="D9D9D9"/>
            <w:noWrap/>
            <w:vAlign w:val="bottom"/>
            <w:hideMark/>
          </w:tcPr>
          <w:p w14:paraId="3B21E624" w14:textId="77777777" w:rsidR="00CD592E" w:rsidRPr="00D549EC" w:rsidRDefault="00CD592E" w:rsidP="00C010EA">
            <w:pPr>
              <w:spacing w:after="0" w:line="240" w:lineRule="auto"/>
              <w:jc w:val="right"/>
              <w:rPr>
                <w:rFonts w:eastAsia="Times New Roman" w:cs="Times New Roman"/>
                <w:color w:val="000000"/>
              </w:rPr>
            </w:pPr>
            <w:r w:rsidRPr="00D549EC">
              <w:rPr>
                <w:rFonts w:eastAsia="Times New Roman" w:cs="Times New Roman"/>
                <w:color w:val="000000"/>
              </w:rPr>
              <w:t>10.4</w:t>
            </w:r>
          </w:p>
        </w:tc>
      </w:tr>
      <w:tr w:rsidR="00CD592E" w:rsidRPr="00D549EC" w14:paraId="3F77E4DF" w14:textId="77777777" w:rsidTr="00C010EA">
        <w:trPr>
          <w:trHeight w:val="262"/>
        </w:trPr>
        <w:tc>
          <w:tcPr>
            <w:tcW w:w="2072" w:type="dxa"/>
            <w:tcBorders>
              <w:top w:val="single" w:sz="4" w:space="0" w:color="000000"/>
              <w:left w:val="single" w:sz="4" w:space="0" w:color="000000"/>
              <w:bottom w:val="single" w:sz="4" w:space="0" w:color="000000"/>
              <w:right w:val="nil"/>
            </w:tcBorders>
            <w:noWrap/>
            <w:vAlign w:val="bottom"/>
            <w:hideMark/>
          </w:tcPr>
          <w:p w14:paraId="325C5CF8" w14:textId="77777777" w:rsidR="00CD592E" w:rsidRPr="00D549EC" w:rsidRDefault="00CD592E" w:rsidP="00C010EA">
            <w:pPr>
              <w:spacing w:after="0" w:line="240" w:lineRule="auto"/>
              <w:rPr>
                <w:rFonts w:eastAsia="Times New Roman" w:cs="Times New Roman"/>
                <w:color w:val="000000"/>
              </w:rPr>
            </w:pPr>
            <w:r w:rsidRPr="00D549EC">
              <w:rPr>
                <w:rFonts w:eastAsia="Times New Roman" w:cs="Times New Roman"/>
                <w:color w:val="000000"/>
              </w:rPr>
              <w:t>Unknow</w:t>
            </w:r>
          </w:p>
        </w:tc>
        <w:tc>
          <w:tcPr>
            <w:tcW w:w="1467" w:type="dxa"/>
            <w:tcBorders>
              <w:top w:val="single" w:sz="4" w:space="0" w:color="000000"/>
              <w:left w:val="nil"/>
              <w:bottom w:val="single" w:sz="4" w:space="0" w:color="000000"/>
              <w:right w:val="nil"/>
            </w:tcBorders>
            <w:noWrap/>
            <w:vAlign w:val="bottom"/>
            <w:hideMark/>
          </w:tcPr>
          <w:p w14:paraId="1C676A9E" w14:textId="77777777" w:rsidR="00CD592E" w:rsidRPr="00D549EC" w:rsidRDefault="00CD592E" w:rsidP="00C010EA">
            <w:pPr>
              <w:spacing w:after="0" w:line="240" w:lineRule="auto"/>
              <w:jc w:val="right"/>
              <w:rPr>
                <w:rFonts w:eastAsia="Times New Roman" w:cs="Times New Roman"/>
                <w:color w:val="000000"/>
              </w:rPr>
            </w:pPr>
            <w:r w:rsidRPr="00D549EC">
              <w:rPr>
                <w:rFonts w:eastAsia="Times New Roman" w:cs="Times New Roman"/>
                <w:color w:val="000000"/>
              </w:rPr>
              <w:t>1</w:t>
            </w:r>
          </w:p>
        </w:tc>
        <w:tc>
          <w:tcPr>
            <w:tcW w:w="2126" w:type="dxa"/>
            <w:tcBorders>
              <w:top w:val="single" w:sz="4" w:space="0" w:color="000000"/>
              <w:left w:val="nil"/>
              <w:bottom w:val="single" w:sz="4" w:space="0" w:color="000000"/>
              <w:right w:val="nil"/>
            </w:tcBorders>
            <w:noWrap/>
            <w:vAlign w:val="bottom"/>
            <w:hideMark/>
          </w:tcPr>
          <w:p w14:paraId="4671DEAE" w14:textId="77777777" w:rsidR="00CD592E" w:rsidRPr="00D549EC" w:rsidRDefault="00CD592E" w:rsidP="00C010EA">
            <w:pPr>
              <w:spacing w:after="0" w:line="240" w:lineRule="auto"/>
              <w:jc w:val="right"/>
              <w:rPr>
                <w:rFonts w:eastAsia="Times New Roman" w:cs="Times New Roman"/>
                <w:color w:val="000000"/>
              </w:rPr>
            </w:pPr>
            <w:r w:rsidRPr="00D549EC">
              <w:rPr>
                <w:rFonts w:eastAsia="Times New Roman" w:cs="Times New Roman"/>
                <w:color w:val="000000"/>
              </w:rPr>
              <w:t>1</w:t>
            </w:r>
          </w:p>
        </w:tc>
        <w:tc>
          <w:tcPr>
            <w:tcW w:w="2924" w:type="dxa"/>
            <w:tcBorders>
              <w:top w:val="single" w:sz="4" w:space="0" w:color="000000"/>
              <w:left w:val="nil"/>
              <w:bottom w:val="single" w:sz="4" w:space="0" w:color="000000"/>
              <w:right w:val="single" w:sz="4" w:space="0" w:color="000000"/>
            </w:tcBorders>
            <w:noWrap/>
            <w:vAlign w:val="bottom"/>
            <w:hideMark/>
          </w:tcPr>
          <w:p w14:paraId="1978844B" w14:textId="77777777" w:rsidR="00CD592E" w:rsidRPr="00D549EC" w:rsidRDefault="00CD592E" w:rsidP="00C010EA">
            <w:pPr>
              <w:spacing w:after="0" w:line="240" w:lineRule="auto"/>
              <w:jc w:val="right"/>
              <w:rPr>
                <w:rFonts w:eastAsia="Times New Roman" w:cs="Times New Roman"/>
                <w:color w:val="000000"/>
              </w:rPr>
            </w:pPr>
            <w:r w:rsidRPr="00D549EC">
              <w:rPr>
                <w:rFonts w:eastAsia="Times New Roman" w:cs="Times New Roman"/>
                <w:color w:val="000000"/>
              </w:rPr>
              <w:t>0</w:t>
            </w:r>
          </w:p>
        </w:tc>
      </w:tr>
      <w:tr w:rsidR="00CD592E" w:rsidRPr="00D549EC" w14:paraId="19238021" w14:textId="77777777" w:rsidTr="00C010EA">
        <w:trPr>
          <w:trHeight w:val="262"/>
        </w:trPr>
        <w:tc>
          <w:tcPr>
            <w:tcW w:w="2072" w:type="dxa"/>
            <w:tcBorders>
              <w:top w:val="single" w:sz="4" w:space="0" w:color="000000"/>
              <w:left w:val="single" w:sz="4" w:space="0" w:color="000000"/>
              <w:bottom w:val="single" w:sz="4" w:space="0" w:color="000000"/>
              <w:right w:val="nil"/>
            </w:tcBorders>
            <w:shd w:val="clear" w:color="D9D9D9" w:fill="D9D9D9"/>
            <w:noWrap/>
            <w:vAlign w:val="bottom"/>
            <w:hideMark/>
          </w:tcPr>
          <w:p w14:paraId="75941E9E" w14:textId="77777777" w:rsidR="00CD592E" w:rsidRPr="00D549EC" w:rsidRDefault="00CD592E" w:rsidP="00C010EA">
            <w:pPr>
              <w:spacing w:after="0" w:line="240" w:lineRule="auto"/>
              <w:jc w:val="right"/>
              <w:rPr>
                <w:rFonts w:eastAsia="Times New Roman" w:cs="Times New Roman"/>
                <w:color w:val="000000"/>
              </w:rPr>
            </w:pPr>
          </w:p>
        </w:tc>
        <w:tc>
          <w:tcPr>
            <w:tcW w:w="1467" w:type="dxa"/>
            <w:tcBorders>
              <w:top w:val="single" w:sz="4" w:space="0" w:color="000000"/>
              <w:left w:val="nil"/>
              <w:bottom w:val="single" w:sz="4" w:space="0" w:color="000000"/>
              <w:right w:val="nil"/>
            </w:tcBorders>
            <w:shd w:val="clear" w:color="D9D9D9" w:fill="D9D9D9"/>
            <w:noWrap/>
            <w:vAlign w:val="bottom"/>
            <w:hideMark/>
          </w:tcPr>
          <w:p w14:paraId="4E678AE9" w14:textId="77777777" w:rsidR="00CD592E" w:rsidRPr="00D549EC" w:rsidRDefault="00CD592E" w:rsidP="00C010EA">
            <w:pPr>
              <w:spacing w:after="0" w:line="240" w:lineRule="auto"/>
              <w:rPr>
                <w:rFonts w:eastAsia="Times New Roman" w:cs="Times New Roman"/>
              </w:rPr>
            </w:pPr>
          </w:p>
        </w:tc>
        <w:tc>
          <w:tcPr>
            <w:tcW w:w="2126" w:type="dxa"/>
            <w:tcBorders>
              <w:top w:val="single" w:sz="4" w:space="0" w:color="000000"/>
              <w:left w:val="nil"/>
              <w:bottom w:val="single" w:sz="4" w:space="0" w:color="000000"/>
              <w:right w:val="nil"/>
            </w:tcBorders>
            <w:shd w:val="clear" w:color="D9D9D9" w:fill="D9D9D9"/>
            <w:noWrap/>
            <w:vAlign w:val="bottom"/>
            <w:hideMark/>
          </w:tcPr>
          <w:p w14:paraId="7548DBB1" w14:textId="77777777" w:rsidR="00CD592E" w:rsidRPr="00D549EC" w:rsidRDefault="00CD592E" w:rsidP="00C010EA">
            <w:pPr>
              <w:spacing w:after="0" w:line="240" w:lineRule="auto"/>
              <w:rPr>
                <w:rFonts w:eastAsia="Times New Roman" w:cs="Times New Roman"/>
              </w:rPr>
            </w:pPr>
          </w:p>
        </w:tc>
        <w:tc>
          <w:tcPr>
            <w:tcW w:w="2924" w:type="dxa"/>
            <w:tcBorders>
              <w:top w:val="single" w:sz="4" w:space="0" w:color="000000"/>
              <w:left w:val="nil"/>
              <w:bottom w:val="single" w:sz="4" w:space="0" w:color="000000"/>
              <w:right w:val="single" w:sz="4" w:space="0" w:color="000000"/>
            </w:tcBorders>
            <w:shd w:val="clear" w:color="D9D9D9" w:fill="D9D9D9"/>
            <w:noWrap/>
            <w:vAlign w:val="bottom"/>
            <w:hideMark/>
          </w:tcPr>
          <w:p w14:paraId="07210758" w14:textId="77777777" w:rsidR="00CD592E" w:rsidRPr="00D549EC" w:rsidRDefault="00CD592E" w:rsidP="00C010EA">
            <w:pPr>
              <w:spacing w:after="0" w:line="240" w:lineRule="auto"/>
              <w:rPr>
                <w:rFonts w:eastAsia="Times New Roman" w:cs="Times New Roman"/>
              </w:rPr>
            </w:pPr>
          </w:p>
        </w:tc>
      </w:tr>
      <w:tr w:rsidR="00CD592E" w:rsidRPr="00D549EC" w14:paraId="6D78B6E5" w14:textId="77777777" w:rsidTr="00C010EA">
        <w:trPr>
          <w:trHeight w:val="262"/>
        </w:trPr>
        <w:tc>
          <w:tcPr>
            <w:tcW w:w="2072" w:type="dxa"/>
            <w:tcBorders>
              <w:top w:val="single" w:sz="4" w:space="0" w:color="000000"/>
              <w:left w:val="single" w:sz="4" w:space="0" w:color="000000"/>
              <w:bottom w:val="single" w:sz="4" w:space="0" w:color="000000"/>
              <w:right w:val="nil"/>
            </w:tcBorders>
            <w:noWrap/>
            <w:vAlign w:val="bottom"/>
            <w:hideMark/>
          </w:tcPr>
          <w:p w14:paraId="01F73E92" w14:textId="77777777" w:rsidR="00CD592E" w:rsidRPr="00D549EC" w:rsidRDefault="00CD592E" w:rsidP="00C010EA">
            <w:pPr>
              <w:spacing w:after="0" w:line="240" w:lineRule="auto"/>
              <w:rPr>
                <w:rFonts w:eastAsia="Times New Roman" w:cs="Times New Roman"/>
                <w:color w:val="000000"/>
              </w:rPr>
            </w:pPr>
            <w:r w:rsidRPr="00D549EC">
              <w:rPr>
                <w:rFonts w:eastAsia="Times New Roman" w:cs="Times New Roman"/>
                <w:color w:val="000000"/>
              </w:rPr>
              <w:t xml:space="preserve">Total </w:t>
            </w:r>
          </w:p>
        </w:tc>
        <w:tc>
          <w:tcPr>
            <w:tcW w:w="1467" w:type="dxa"/>
            <w:tcBorders>
              <w:top w:val="single" w:sz="4" w:space="0" w:color="000000"/>
              <w:left w:val="nil"/>
              <w:bottom w:val="single" w:sz="4" w:space="0" w:color="000000"/>
              <w:right w:val="nil"/>
            </w:tcBorders>
            <w:noWrap/>
            <w:vAlign w:val="bottom"/>
            <w:hideMark/>
          </w:tcPr>
          <w:p w14:paraId="05280C95" w14:textId="77777777" w:rsidR="00CD592E" w:rsidRPr="00D549EC" w:rsidRDefault="00CD592E" w:rsidP="00C010EA">
            <w:pPr>
              <w:spacing w:after="0" w:line="240" w:lineRule="auto"/>
              <w:jc w:val="right"/>
              <w:rPr>
                <w:rFonts w:eastAsia="Times New Roman" w:cs="Times New Roman"/>
                <w:color w:val="000000"/>
              </w:rPr>
            </w:pPr>
            <w:r w:rsidRPr="00D549EC">
              <w:rPr>
                <w:rFonts w:eastAsia="Times New Roman" w:cs="Times New Roman"/>
                <w:color w:val="000000"/>
              </w:rPr>
              <w:t>14</w:t>
            </w:r>
          </w:p>
        </w:tc>
        <w:tc>
          <w:tcPr>
            <w:tcW w:w="2126" w:type="dxa"/>
            <w:tcBorders>
              <w:top w:val="single" w:sz="4" w:space="0" w:color="000000"/>
              <w:left w:val="nil"/>
              <w:bottom w:val="single" w:sz="4" w:space="0" w:color="000000"/>
              <w:right w:val="nil"/>
            </w:tcBorders>
            <w:noWrap/>
            <w:vAlign w:val="bottom"/>
            <w:hideMark/>
          </w:tcPr>
          <w:p w14:paraId="6C7763AE" w14:textId="77777777" w:rsidR="00CD592E" w:rsidRPr="00D549EC" w:rsidRDefault="00CD592E" w:rsidP="00C010EA">
            <w:pPr>
              <w:spacing w:after="0" w:line="240" w:lineRule="auto"/>
              <w:jc w:val="right"/>
              <w:rPr>
                <w:rFonts w:eastAsia="Times New Roman" w:cs="Times New Roman"/>
                <w:color w:val="000000"/>
              </w:rPr>
            </w:pPr>
          </w:p>
        </w:tc>
        <w:tc>
          <w:tcPr>
            <w:tcW w:w="2924" w:type="dxa"/>
            <w:tcBorders>
              <w:top w:val="single" w:sz="4" w:space="0" w:color="000000"/>
              <w:left w:val="nil"/>
              <w:bottom w:val="single" w:sz="4" w:space="0" w:color="000000"/>
              <w:right w:val="single" w:sz="4" w:space="0" w:color="000000"/>
            </w:tcBorders>
            <w:noWrap/>
            <w:vAlign w:val="bottom"/>
            <w:hideMark/>
          </w:tcPr>
          <w:p w14:paraId="3B37F9D8" w14:textId="77777777" w:rsidR="00CD592E" w:rsidRPr="00D549EC" w:rsidRDefault="00CD592E" w:rsidP="00C010EA">
            <w:pPr>
              <w:spacing w:after="0" w:line="240" w:lineRule="auto"/>
              <w:rPr>
                <w:rFonts w:eastAsia="Times New Roman" w:cs="Times New Roman"/>
              </w:rPr>
            </w:pPr>
          </w:p>
        </w:tc>
      </w:tr>
    </w:tbl>
    <w:p w14:paraId="4B0D70D1" w14:textId="77777777" w:rsidR="00CD592E" w:rsidRPr="00D549EC" w:rsidRDefault="00CD592E" w:rsidP="00CD592E">
      <w:pPr>
        <w:spacing w:line="240" w:lineRule="auto"/>
        <w:rPr>
          <w:rFonts w:eastAsia="Arial" w:cs="Arial"/>
        </w:rPr>
      </w:pPr>
    </w:p>
    <w:p w14:paraId="5DADE50E" w14:textId="7CE77772" w:rsidR="00CD592E" w:rsidRPr="00D549EC" w:rsidRDefault="00CD592E" w:rsidP="00CD592E">
      <w:pPr>
        <w:spacing w:line="240" w:lineRule="auto"/>
        <w:rPr>
          <w:rFonts w:ascii="Arial" w:eastAsia="Arial" w:hAnsi="Arial" w:cs="Arial"/>
          <w:sz w:val="24"/>
          <w:szCs w:val="24"/>
        </w:rPr>
      </w:pPr>
      <w:r w:rsidRPr="00D549EC">
        <w:rPr>
          <w:rFonts w:ascii="Arial" w:eastAsia="Arial" w:hAnsi="Arial" w:cs="Arial"/>
          <w:b/>
          <w:bCs/>
          <w:sz w:val="24"/>
          <w:szCs w:val="24"/>
        </w:rPr>
        <w:t>Table S1.</w:t>
      </w:r>
      <w:r w:rsidR="00F46EC4" w:rsidRPr="00D549EC">
        <w:rPr>
          <w:rFonts w:ascii="Arial" w:eastAsia="Arial" w:hAnsi="Arial" w:cs="Arial"/>
          <w:sz w:val="24"/>
          <w:szCs w:val="24"/>
        </w:rPr>
        <w:t xml:space="preserve"> </w:t>
      </w:r>
      <w:r w:rsidR="00D549EC" w:rsidRPr="00D549EC">
        <w:rPr>
          <w:rFonts w:ascii="Arial" w:eastAsia="Arial" w:hAnsi="Arial" w:cs="Arial"/>
          <w:sz w:val="24"/>
          <w:szCs w:val="24"/>
        </w:rPr>
        <w:t>Exposure to p</w:t>
      </w:r>
      <w:r w:rsidRPr="00D549EC">
        <w:rPr>
          <w:rFonts w:ascii="Arial" w:eastAsia="Arial" w:hAnsi="Arial" w:cs="Arial"/>
          <w:sz w:val="24"/>
          <w:szCs w:val="24"/>
        </w:rPr>
        <w:t xml:space="preserve">revious antipsychotic treatment. </w:t>
      </w:r>
    </w:p>
    <w:p w14:paraId="7FF3528C" w14:textId="77777777" w:rsidR="00CD592E" w:rsidRPr="00D549EC" w:rsidRDefault="00CD592E" w:rsidP="00CD592E"/>
    <w:p w14:paraId="1E05C9A4" w14:textId="77777777" w:rsidR="00321DF4" w:rsidRPr="00D549EC" w:rsidRDefault="00321DF4"/>
    <w:tbl>
      <w:tblPr>
        <w:tblStyle w:val="a0"/>
        <w:tblW w:w="85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65"/>
        <w:gridCol w:w="1500"/>
        <w:gridCol w:w="1260"/>
        <w:gridCol w:w="1170"/>
        <w:gridCol w:w="1155"/>
      </w:tblGrid>
      <w:tr w:rsidR="00321DF4" w:rsidRPr="00D549EC" w14:paraId="0DAB40CE" w14:textId="77777777" w:rsidTr="00321DF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tcBorders>
              <w:top w:val="nil"/>
              <w:left w:val="nil"/>
              <w:bottom w:val="single" w:sz="4" w:space="0" w:color="000000"/>
            </w:tcBorders>
            <w:vAlign w:val="center"/>
          </w:tcPr>
          <w:p w14:paraId="5F1561DB" w14:textId="77777777" w:rsidR="00321DF4" w:rsidRPr="00D549EC" w:rsidRDefault="00321DF4">
            <w:pPr>
              <w:jc w:val="center"/>
              <w:rPr>
                <w:rFonts w:ascii="Arial" w:eastAsia="Arial" w:hAnsi="Arial" w:cs="Arial"/>
                <w:sz w:val="16"/>
                <w:szCs w:val="16"/>
              </w:rPr>
            </w:pPr>
          </w:p>
        </w:tc>
        <w:tc>
          <w:tcPr>
            <w:tcW w:w="1500" w:type="dxa"/>
            <w:tcBorders>
              <w:bottom w:val="nil"/>
            </w:tcBorders>
            <w:vAlign w:val="center"/>
          </w:tcPr>
          <w:p w14:paraId="52580120" w14:textId="77777777" w:rsidR="00321DF4" w:rsidRPr="00D549EC" w:rsidRDefault="00000000">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Male</w:t>
            </w:r>
          </w:p>
          <w:p w14:paraId="152FF80D" w14:textId="77777777" w:rsidR="00321DF4" w:rsidRPr="00D549EC" w:rsidRDefault="00000000">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 xml:space="preserve"> Control</w:t>
            </w:r>
          </w:p>
        </w:tc>
        <w:tc>
          <w:tcPr>
            <w:tcW w:w="1260" w:type="dxa"/>
            <w:tcBorders>
              <w:bottom w:val="nil"/>
            </w:tcBorders>
            <w:vAlign w:val="center"/>
          </w:tcPr>
          <w:p w14:paraId="6C4BD2E0" w14:textId="77777777" w:rsidR="00321DF4" w:rsidRPr="00D549EC" w:rsidRDefault="00000000">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Female Control</w:t>
            </w:r>
          </w:p>
        </w:tc>
        <w:tc>
          <w:tcPr>
            <w:tcW w:w="1170" w:type="dxa"/>
            <w:tcBorders>
              <w:bottom w:val="nil"/>
            </w:tcBorders>
            <w:vAlign w:val="center"/>
          </w:tcPr>
          <w:p w14:paraId="33E5D882" w14:textId="77777777" w:rsidR="00321DF4" w:rsidRPr="00D549EC" w:rsidRDefault="00000000">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 xml:space="preserve">Male </w:t>
            </w:r>
          </w:p>
          <w:p w14:paraId="13AFB3E5" w14:textId="77777777" w:rsidR="00321DF4" w:rsidRPr="00D549EC" w:rsidRDefault="00000000">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SSD</w:t>
            </w:r>
          </w:p>
        </w:tc>
        <w:tc>
          <w:tcPr>
            <w:tcW w:w="1155" w:type="dxa"/>
            <w:tcBorders>
              <w:bottom w:val="nil"/>
            </w:tcBorders>
            <w:vAlign w:val="center"/>
          </w:tcPr>
          <w:p w14:paraId="5695024D" w14:textId="77777777" w:rsidR="00321DF4" w:rsidRPr="00D549EC" w:rsidRDefault="00000000">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 xml:space="preserve">Female </w:t>
            </w:r>
          </w:p>
          <w:p w14:paraId="2D8620F6" w14:textId="77777777" w:rsidR="00321DF4" w:rsidRPr="00D549EC" w:rsidRDefault="00000000">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SSD</w:t>
            </w:r>
          </w:p>
        </w:tc>
      </w:tr>
      <w:tr w:rsidR="00321DF4" w:rsidRPr="00D549EC" w14:paraId="08548E77"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tcBorders>
              <w:top w:val="single" w:sz="4" w:space="0" w:color="000000"/>
            </w:tcBorders>
            <w:vAlign w:val="center"/>
          </w:tcPr>
          <w:p w14:paraId="7DE1E497"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Age</w:t>
            </w:r>
          </w:p>
        </w:tc>
        <w:tc>
          <w:tcPr>
            <w:tcW w:w="1500" w:type="dxa"/>
            <w:vAlign w:val="center"/>
          </w:tcPr>
          <w:p w14:paraId="5E0B792D"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29.47 ± 6.52</w:t>
            </w:r>
          </w:p>
        </w:tc>
        <w:tc>
          <w:tcPr>
            <w:tcW w:w="1260" w:type="dxa"/>
            <w:vAlign w:val="center"/>
          </w:tcPr>
          <w:p w14:paraId="7934AB28"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30.12 ± 8.69</w:t>
            </w:r>
          </w:p>
        </w:tc>
        <w:tc>
          <w:tcPr>
            <w:tcW w:w="1170" w:type="dxa"/>
            <w:vAlign w:val="center"/>
          </w:tcPr>
          <w:p w14:paraId="74970860"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28.57 ± 8.37</w:t>
            </w:r>
          </w:p>
        </w:tc>
        <w:tc>
          <w:tcPr>
            <w:tcW w:w="1155" w:type="dxa"/>
            <w:vAlign w:val="center"/>
          </w:tcPr>
          <w:p w14:paraId="61294BFA"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32.18 ± 8.91</w:t>
            </w:r>
          </w:p>
        </w:tc>
      </w:tr>
      <w:tr w:rsidR="00321DF4" w:rsidRPr="00D549EC" w14:paraId="4E4F5D47"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2EEA1A23"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Age of onset</w:t>
            </w:r>
          </w:p>
        </w:tc>
        <w:tc>
          <w:tcPr>
            <w:tcW w:w="1500" w:type="dxa"/>
            <w:vAlign w:val="center"/>
          </w:tcPr>
          <w:p w14:paraId="65F97F50"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2F960EA8"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2ABD20C5"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27.78 ± 8.33</w:t>
            </w:r>
          </w:p>
        </w:tc>
        <w:tc>
          <w:tcPr>
            <w:tcW w:w="1155" w:type="dxa"/>
            <w:vAlign w:val="center"/>
          </w:tcPr>
          <w:p w14:paraId="349EE1F6"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32.08 ± 8.87</w:t>
            </w:r>
          </w:p>
        </w:tc>
      </w:tr>
      <w:tr w:rsidR="00321DF4" w:rsidRPr="00D549EC" w14:paraId="5CBBC228"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55BA4E80"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CPZ equivalent</w:t>
            </w:r>
          </w:p>
        </w:tc>
        <w:tc>
          <w:tcPr>
            <w:tcW w:w="1500" w:type="dxa"/>
            <w:vAlign w:val="center"/>
          </w:tcPr>
          <w:p w14:paraId="676258F1"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42FB0A97"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33D2120E"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159.19 ± 61.28</w:t>
            </w:r>
          </w:p>
        </w:tc>
        <w:tc>
          <w:tcPr>
            <w:tcW w:w="1155" w:type="dxa"/>
            <w:vAlign w:val="center"/>
          </w:tcPr>
          <w:p w14:paraId="1D0B7CB4"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158.59 ± 49.27</w:t>
            </w:r>
          </w:p>
        </w:tc>
      </w:tr>
      <w:tr w:rsidR="00321DF4" w:rsidRPr="00D549EC" w14:paraId="51BF893A"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2A145E49"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Unchanging Facial Expression</w:t>
            </w:r>
          </w:p>
        </w:tc>
        <w:tc>
          <w:tcPr>
            <w:tcW w:w="1500" w:type="dxa"/>
            <w:vAlign w:val="center"/>
          </w:tcPr>
          <w:p w14:paraId="6A71E39E"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2E362115"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6D9FDFB1"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0.86 ± 1.39</w:t>
            </w:r>
          </w:p>
        </w:tc>
        <w:tc>
          <w:tcPr>
            <w:tcW w:w="1155" w:type="dxa"/>
            <w:vAlign w:val="center"/>
          </w:tcPr>
          <w:p w14:paraId="29558AEE"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0.43 ± 1.04</w:t>
            </w:r>
          </w:p>
        </w:tc>
      </w:tr>
      <w:tr w:rsidR="00321DF4" w:rsidRPr="00D549EC" w14:paraId="153699D7"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3C005BD3"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Decreased Spontaneous Movements</w:t>
            </w:r>
          </w:p>
        </w:tc>
        <w:tc>
          <w:tcPr>
            <w:tcW w:w="1500" w:type="dxa"/>
            <w:vAlign w:val="center"/>
          </w:tcPr>
          <w:p w14:paraId="74CF7AC0"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56A5146E"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160DA365"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0.33 ± 0.98</w:t>
            </w:r>
          </w:p>
        </w:tc>
        <w:tc>
          <w:tcPr>
            <w:tcW w:w="1155" w:type="dxa"/>
            <w:vAlign w:val="center"/>
          </w:tcPr>
          <w:p w14:paraId="24420E98"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0.05 ± 0.33</w:t>
            </w:r>
          </w:p>
        </w:tc>
      </w:tr>
      <w:tr w:rsidR="00321DF4" w:rsidRPr="00D549EC" w14:paraId="40155C79"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6AB87E8E"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Paucity of Expressive Gestures</w:t>
            </w:r>
          </w:p>
        </w:tc>
        <w:tc>
          <w:tcPr>
            <w:tcW w:w="1500" w:type="dxa"/>
            <w:vAlign w:val="center"/>
          </w:tcPr>
          <w:p w14:paraId="42DC094B"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0E5D57D1"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2DFEB109"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0.17 ± 0.68</w:t>
            </w:r>
          </w:p>
        </w:tc>
        <w:tc>
          <w:tcPr>
            <w:tcW w:w="1155" w:type="dxa"/>
            <w:vAlign w:val="center"/>
          </w:tcPr>
          <w:p w14:paraId="1EDA8462"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0.05 ± 0.33</w:t>
            </w:r>
          </w:p>
        </w:tc>
      </w:tr>
      <w:tr w:rsidR="00321DF4" w:rsidRPr="00D549EC" w14:paraId="0FE2D453"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0E8962A1"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Poor Eye Contact</w:t>
            </w:r>
          </w:p>
        </w:tc>
        <w:tc>
          <w:tcPr>
            <w:tcW w:w="1500" w:type="dxa"/>
            <w:vAlign w:val="center"/>
          </w:tcPr>
          <w:p w14:paraId="479977B4"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65921D97"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31860498"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0.39 ± 1.11</w:t>
            </w:r>
          </w:p>
        </w:tc>
        <w:tc>
          <w:tcPr>
            <w:tcW w:w="1155" w:type="dxa"/>
            <w:vAlign w:val="center"/>
          </w:tcPr>
          <w:p w14:paraId="7D6B13C8"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0.08 ± 0.36</w:t>
            </w:r>
          </w:p>
        </w:tc>
      </w:tr>
      <w:tr w:rsidR="00321DF4" w:rsidRPr="00D549EC" w14:paraId="6A144FEC"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0BF82097"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Affective Non responsivity</w:t>
            </w:r>
          </w:p>
        </w:tc>
        <w:tc>
          <w:tcPr>
            <w:tcW w:w="1500" w:type="dxa"/>
            <w:vAlign w:val="center"/>
          </w:tcPr>
          <w:p w14:paraId="4906E951"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2931A590"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70A956AF"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0.25 ± 0.85</w:t>
            </w:r>
          </w:p>
        </w:tc>
        <w:tc>
          <w:tcPr>
            <w:tcW w:w="1155" w:type="dxa"/>
            <w:vAlign w:val="center"/>
          </w:tcPr>
          <w:p w14:paraId="2B6F5B75"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0.11 ± 0.46</w:t>
            </w:r>
          </w:p>
        </w:tc>
      </w:tr>
      <w:tr w:rsidR="00321DF4" w:rsidRPr="00D549EC" w14:paraId="387AD4F4"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284B0852"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Inappropriate Affect</w:t>
            </w:r>
          </w:p>
        </w:tc>
        <w:tc>
          <w:tcPr>
            <w:tcW w:w="1500" w:type="dxa"/>
            <w:vAlign w:val="center"/>
          </w:tcPr>
          <w:p w14:paraId="618B07BB"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2DB477E3"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7F6808F7"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1.3 ± 1.83</w:t>
            </w:r>
          </w:p>
        </w:tc>
        <w:tc>
          <w:tcPr>
            <w:tcW w:w="1155" w:type="dxa"/>
            <w:vAlign w:val="center"/>
          </w:tcPr>
          <w:p w14:paraId="552CF333"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1.69 ± 2.04</w:t>
            </w:r>
          </w:p>
        </w:tc>
      </w:tr>
      <w:tr w:rsidR="00321DF4" w:rsidRPr="00D549EC" w14:paraId="665146D9"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5B485DEB"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Lack of Vocal Inflections</w:t>
            </w:r>
          </w:p>
        </w:tc>
        <w:tc>
          <w:tcPr>
            <w:tcW w:w="1500" w:type="dxa"/>
            <w:vAlign w:val="center"/>
          </w:tcPr>
          <w:p w14:paraId="0247F2F1"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1D3FB09D"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2F673F32"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0.34 ± 1.03</w:t>
            </w:r>
          </w:p>
        </w:tc>
        <w:tc>
          <w:tcPr>
            <w:tcW w:w="1155" w:type="dxa"/>
            <w:vAlign w:val="center"/>
          </w:tcPr>
          <w:p w14:paraId="26F02893"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0.16 ± 0.73</w:t>
            </w:r>
          </w:p>
        </w:tc>
      </w:tr>
      <w:tr w:rsidR="00321DF4" w:rsidRPr="00D549EC" w14:paraId="364A2868"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5717DC8E"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Global Rating of Affective Flattening</w:t>
            </w:r>
          </w:p>
        </w:tc>
        <w:tc>
          <w:tcPr>
            <w:tcW w:w="1500" w:type="dxa"/>
            <w:vAlign w:val="center"/>
          </w:tcPr>
          <w:p w14:paraId="497518BD"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2C42ECBE"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1E8105F3"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1.22 ± 1.55</w:t>
            </w:r>
          </w:p>
        </w:tc>
        <w:tc>
          <w:tcPr>
            <w:tcW w:w="1155" w:type="dxa"/>
            <w:vAlign w:val="center"/>
          </w:tcPr>
          <w:p w14:paraId="56CDF559"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0.49 ± 1.05</w:t>
            </w:r>
          </w:p>
        </w:tc>
      </w:tr>
      <w:tr w:rsidR="00321DF4" w:rsidRPr="00D549EC" w14:paraId="1C6B8337"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55FCE5C9"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Poverty of Speech</w:t>
            </w:r>
          </w:p>
        </w:tc>
        <w:tc>
          <w:tcPr>
            <w:tcW w:w="1500" w:type="dxa"/>
            <w:vAlign w:val="center"/>
          </w:tcPr>
          <w:p w14:paraId="62083F36"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716DE9BC"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20ACB973"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0.45 ± 1.25</w:t>
            </w:r>
          </w:p>
        </w:tc>
        <w:tc>
          <w:tcPr>
            <w:tcW w:w="1155" w:type="dxa"/>
            <w:vAlign w:val="center"/>
          </w:tcPr>
          <w:p w14:paraId="1D5336D6"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0.29 ± 0.84</w:t>
            </w:r>
          </w:p>
        </w:tc>
      </w:tr>
      <w:tr w:rsidR="00321DF4" w:rsidRPr="00D549EC" w14:paraId="18E82490"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639595CB"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Poverty of Content of Speech</w:t>
            </w:r>
          </w:p>
        </w:tc>
        <w:tc>
          <w:tcPr>
            <w:tcW w:w="1500" w:type="dxa"/>
            <w:vAlign w:val="center"/>
          </w:tcPr>
          <w:p w14:paraId="7CA06B27"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313BB247"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5A33120D"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0.22 ± 0.86</w:t>
            </w:r>
          </w:p>
        </w:tc>
        <w:tc>
          <w:tcPr>
            <w:tcW w:w="1155" w:type="dxa"/>
            <w:vAlign w:val="center"/>
          </w:tcPr>
          <w:p w14:paraId="744868C4"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0.03 ± 0.16</w:t>
            </w:r>
          </w:p>
        </w:tc>
      </w:tr>
      <w:tr w:rsidR="00321DF4" w:rsidRPr="00D549EC" w14:paraId="16E2DE2F"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1CCF5772"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Blocking</w:t>
            </w:r>
          </w:p>
        </w:tc>
        <w:tc>
          <w:tcPr>
            <w:tcW w:w="1500" w:type="dxa"/>
            <w:vAlign w:val="center"/>
          </w:tcPr>
          <w:p w14:paraId="595A6D8E"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7D29C2D0"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4623AAC9"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0.32 ± 1.05</w:t>
            </w:r>
          </w:p>
        </w:tc>
        <w:tc>
          <w:tcPr>
            <w:tcW w:w="1155" w:type="dxa"/>
            <w:vAlign w:val="center"/>
          </w:tcPr>
          <w:p w14:paraId="615BB95C"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0.13 ± 0.66</w:t>
            </w:r>
          </w:p>
        </w:tc>
      </w:tr>
      <w:tr w:rsidR="00321DF4" w:rsidRPr="00D549EC" w14:paraId="602D4CE1"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187269CC"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Increased Latency of Response</w:t>
            </w:r>
          </w:p>
        </w:tc>
        <w:tc>
          <w:tcPr>
            <w:tcW w:w="1500" w:type="dxa"/>
            <w:vAlign w:val="center"/>
          </w:tcPr>
          <w:p w14:paraId="78517DD7"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69558CED"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120C48A0"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0.46 ± 1.23</w:t>
            </w:r>
          </w:p>
        </w:tc>
        <w:tc>
          <w:tcPr>
            <w:tcW w:w="1155" w:type="dxa"/>
            <w:vAlign w:val="center"/>
          </w:tcPr>
          <w:p w14:paraId="7C4AE482"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0.45 ± 1.03</w:t>
            </w:r>
          </w:p>
        </w:tc>
      </w:tr>
      <w:tr w:rsidR="00321DF4" w:rsidRPr="00D549EC" w14:paraId="3C93E7B8"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44EB451B"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Global Rating of Alogia</w:t>
            </w:r>
          </w:p>
        </w:tc>
        <w:tc>
          <w:tcPr>
            <w:tcW w:w="1500" w:type="dxa"/>
            <w:vAlign w:val="center"/>
          </w:tcPr>
          <w:p w14:paraId="10C6EFD5"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3AEB7BBF"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76F71F28"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0.84 ± 1.51</w:t>
            </w:r>
          </w:p>
        </w:tc>
        <w:tc>
          <w:tcPr>
            <w:tcW w:w="1155" w:type="dxa"/>
            <w:vAlign w:val="center"/>
          </w:tcPr>
          <w:p w14:paraId="01733A65"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0.62 ± 1.25</w:t>
            </w:r>
          </w:p>
        </w:tc>
      </w:tr>
      <w:tr w:rsidR="00321DF4" w:rsidRPr="00D549EC" w14:paraId="38E2DB0D"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112D4C13"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Grooming and Hygiene</w:t>
            </w:r>
          </w:p>
        </w:tc>
        <w:tc>
          <w:tcPr>
            <w:tcW w:w="1500" w:type="dxa"/>
            <w:vAlign w:val="center"/>
          </w:tcPr>
          <w:p w14:paraId="11CC25C2"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5FD1476F"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7AAE63DC"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0.4 ± 0.96</w:t>
            </w:r>
          </w:p>
        </w:tc>
        <w:tc>
          <w:tcPr>
            <w:tcW w:w="1155" w:type="dxa"/>
            <w:vAlign w:val="center"/>
          </w:tcPr>
          <w:p w14:paraId="0F39D667"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0.21 ± 0.92</w:t>
            </w:r>
          </w:p>
        </w:tc>
      </w:tr>
      <w:tr w:rsidR="00321DF4" w:rsidRPr="00D549EC" w14:paraId="66A7D2C3"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71FA4CF3"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SANS </w:t>
            </w:r>
            <w:proofErr w:type="spellStart"/>
            <w:r w:rsidRPr="00D549EC">
              <w:rPr>
                <w:rFonts w:ascii="Arial" w:eastAsia="Arial" w:hAnsi="Arial" w:cs="Arial"/>
                <w:color w:val="000000"/>
                <w:sz w:val="16"/>
                <w:szCs w:val="16"/>
              </w:rPr>
              <w:t>Inpersistence</w:t>
            </w:r>
            <w:proofErr w:type="spellEnd"/>
            <w:r w:rsidRPr="00D549EC">
              <w:rPr>
                <w:rFonts w:ascii="Arial" w:eastAsia="Arial" w:hAnsi="Arial" w:cs="Arial"/>
                <w:color w:val="000000"/>
                <w:sz w:val="16"/>
                <w:szCs w:val="16"/>
              </w:rPr>
              <w:t xml:space="preserve"> at Work or School</w:t>
            </w:r>
          </w:p>
        </w:tc>
        <w:tc>
          <w:tcPr>
            <w:tcW w:w="1500" w:type="dxa"/>
            <w:vAlign w:val="center"/>
          </w:tcPr>
          <w:p w14:paraId="2A66EE34"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49CD1855"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5C2B4DBE"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0.87 ± 1.59</w:t>
            </w:r>
          </w:p>
        </w:tc>
        <w:tc>
          <w:tcPr>
            <w:tcW w:w="1155" w:type="dxa"/>
            <w:vAlign w:val="center"/>
          </w:tcPr>
          <w:p w14:paraId="04525C33"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0.36 ± 1.2</w:t>
            </w:r>
          </w:p>
        </w:tc>
      </w:tr>
      <w:tr w:rsidR="00321DF4" w:rsidRPr="00D549EC" w14:paraId="58F2DAC5"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4F4D728F"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Physical Anergia</w:t>
            </w:r>
          </w:p>
        </w:tc>
        <w:tc>
          <w:tcPr>
            <w:tcW w:w="1500" w:type="dxa"/>
            <w:vAlign w:val="center"/>
          </w:tcPr>
          <w:p w14:paraId="6930AB1E"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0B218F91"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218D7635"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0.68 ± 1.31</w:t>
            </w:r>
          </w:p>
        </w:tc>
        <w:tc>
          <w:tcPr>
            <w:tcW w:w="1155" w:type="dxa"/>
            <w:vAlign w:val="center"/>
          </w:tcPr>
          <w:p w14:paraId="4AFCA280"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0.21 ± 0.61</w:t>
            </w:r>
          </w:p>
        </w:tc>
      </w:tr>
      <w:tr w:rsidR="00321DF4" w:rsidRPr="00D549EC" w14:paraId="0F750338"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77BFA256"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Global Rating of Avolition Apathy</w:t>
            </w:r>
          </w:p>
        </w:tc>
        <w:tc>
          <w:tcPr>
            <w:tcW w:w="1500" w:type="dxa"/>
            <w:vAlign w:val="center"/>
          </w:tcPr>
          <w:p w14:paraId="0DC3B73B"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2858FAD2"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789B2074"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1.12 ± 1.66</w:t>
            </w:r>
          </w:p>
        </w:tc>
        <w:tc>
          <w:tcPr>
            <w:tcW w:w="1155" w:type="dxa"/>
            <w:vAlign w:val="center"/>
          </w:tcPr>
          <w:p w14:paraId="7238FDFF"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0.44 ± 1.23</w:t>
            </w:r>
          </w:p>
        </w:tc>
      </w:tr>
      <w:tr w:rsidR="00321DF4" w:rsidRPr="00D549EC" w14:paraId="564A1BE3"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17093E42"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Recreational Interests and Activities</w:t>
            </w:r>
          </w:p>
        </w:tc>
        <w:tc>
          <w:tcPr>
            <w:tcW w:w="1500" w:type="dxa"/>
            <w:vAlign w:val="center"/>
          </w:tcPr>
          <w:p w14:paraId="58A62552"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78F28F3B"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0C6DBF7A"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0.9 ± 1.6</w:t>
            </w:r>
          </w:p>
        </w:tc>
        <w:tc>
          <w:tcPr>
            <w:tcW w:w="1155" w:type="dxa"/>
            <w:vAlign w:val="center"/>
          </w:tcPr>
          <w:p w14:paraId="6957544E"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0.57 ± 1.28</w:t>
            </w:r>
          </w:p>
        </w:tc>
      </w:tr>
      <w:tr w:rsidR="00321DF4" w:rsidRPr="00D549EC" w14:paraId="79C956E7"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741CAE5A"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Sexual Activity</w:t>
            </w:r>
          </w:p>
        </w:tc>
        <w:tc>
          <w:tcPr>
            <w:tcW w:w="1500" w:type="dxa"/>
            <w:vAlign w:val="center"/>
          </w:tcPr>
          <w:p w14:paraId="0B599933"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0756FF97"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2F97F0F7"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0.56 ± 1.29</w:t>
            </w:r>
          </w:p>
        </w:tc>
        <w:tc>
          <w:tcPr>
            <w:tcW w:w="1155" w:type="dxa"/>
            <w:vAlign w:val="center"/>
          </w:tcPr>
          <w:p w14:paraId="7303F48A"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0.27 ± 0.9</w:t>
            </w:r>
          </w:p>
        </w:tc>
      </w:tr>
      <w:tr w:rsidR="00321DF4" w:rsidRPr="00D549EC" w14:paraId="292F6738"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3C17D707"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Ability to Feel Intimacy and Closeness</w:t>
            </w:r>
          </w:p>
        </w:tc>
        <w:tc>
          <w:tcPr>
            <w:tcW w:w="1500" w:type="dxa"/>
            <w:vAlign w:val="center"/>
          </w:tcPr>
          <w:p w14:paraId="79A0EBCD"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2D830385"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162ADC76"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0.79 ± 1.6</w:t>
            </w:r>
          </w:p>
        </w:tc>
        <w:tc>
          <w:tcPr>
            <w:tcW w:w="1155" w:type="dxa"/>
            <w:vAlign w:val="center"/>
          </w:tcPr>
          <w:p w14:paraId="055857DD"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0.54 ± 1.37</w:t>
            </w:r>
          </w:p>
        </w:tc>
      </w:tr>
      <w:tr w:rsidR="00321DF4" w:rsidRPr="00D549EC" w14:paraId="0B228BDD"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1A979016"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Relationships with Friends and Peers</w:t>
            </w:r>
          </w:p>
        </w:tc>
        <w:tc>
          <w:tcPr>
            <w:tcW w:w="1500" w:type="dxa"/>
            <w:vAlign w:val="center"/>
          </w:tcPr>
          <w:p w14:paraId="437F4D12"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05BC8468"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2C304D98"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1.35 ± 1.86</w:t>
            </w:r>
          </w:p>
        </w:tc>
        <w:tc>
          <w:tcPr>
            <w:tcW w:w="1155" w:type="dxa"/>
            <w:vAlign w:val="center"/>
          </w:tcPr>
          <w:p w14:paraId="541D8274"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0.65 ± 1.42</w:t>
            </w:r>
          </w:p>
        </w:tc>
      </w:tr>
      <w:tr w:rsidR="00321DF4" w:rsidRPr="00D549EC" w14:paraId="751EAADB"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475C4A18"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Global Rating of Anhedonia Asociality</w:t>
            </w:r>
          </w:p>
        </w:tc>
        <w:tc>
          <w:tcPr>
            <w:tcW w:w="1500" w:type="dxa"/>
            <w:vAlign w:val="center"/>
          </w:tcPr>
          <w:p w14:paraId="3A934606"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3EF21CB6"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6944455C"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1.55 ± 1.88</w:t>
            </w:r>
          </w:p>
        </w:tc>
        <w:tc>
          <w:tcPr>
            <w:tcW w:w="1155" w:type="dxa"/>
            <w:vAlign w:val="center"/>
          </w:tcPr>
          <w:p w14:paraId="7B25D30E"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0.87 ± 1.54</w:t>
            </w:r>
          </w:p>
        </w:tc>
      </w:tr>
      <w:tr w:rsidR="00321DF4" w:rsidRPr="00D549EC" w14:paraId="445A5D93"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348D8D9E"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Social Inattentiveness</w:t>
            </w:r>
          </w:p>
        </w:tc>
        <w:tc>
          <w:tcPr>
            <w:tcW w:w="1500" w:type="dxa"/>
            <w:vAlign w:val="center"/>
          </w:tcPr>
          <w:p w14:paraId="357EBC31"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5A067CD0"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45EF2FAC"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0.29 ± 0.93</w:t>
            </w:r>
          </w:p>
        </w:tc>
        <w:tc>
          <w:tcPr>
            <w:tcW w:w="1155" w:type="dxa"/>
            <w:vAlign w:val="center"/>
          </w:tcPr>
          <w:p w14:paraId="0404B9D9"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0.67 ± 1.44</w:t>
            </w:r>
          </w:p>
        </w:tc>
      </w:tr>
      <w:tr w:rsidR="00321DF4" w:rsidRPr="00D549EC" w14:paraId="187D4487"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59C49C87"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Inattentiveness During Mental Status Testing</w:t>
            </w:r>
          </w:p>
        </w:tc>
        <w:tc>
          <w:tcPr>
            <w:tcW w:w="1500" w:type="dxa"/>
            <w:vAlign w:val="center"/>
          </w:tcPr>
          <w:p w14:paraId="66B5D5DC"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68DA4B8F"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1991A9B5"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1.91 ± 2.08</w:t>
            </w:r>
          </w:p>
        </w:tc>
        <w:tc>
          <w:tcPr>
            <w:tcW w:w="1155" w:type="dxa"/>
            <w:vAlign w:val="center"/>
          </w:tcPr>
          <w:p w14:paraId="042848CB"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2.03 ± 2.02</w:t>
            </w:r>
          </w:p>
        </w:tc>
      </w:tr>
      <w:tr w:rsidR="00321DF4" w:rsidRPr="00D549EC" w14:paraId="779F4766"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18BAAC0A"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lastRenderedPageBreak/>
              <w:t>SANS Global Rating of Attention</w:t>
            </w:r>
          </w:p>
        </w:tc>
        <w:tc>
          <w:tcPr>
            <w:tcW w:w="1500" w:type="dxa"/>
            <w:vAlign w:val="center"/>
          </w:tcPr>
          <w:p w14:paraId="4C66A990"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1983E06B"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734519F2"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2.07 ± 2.09</w:t>
            </w:r>
          </w:p>
        </w:tc>
        <w:tc>
          <w:tcPr>
            <w:tcW w:w="1155" w:type="dxa"/>
            <w:vAlign w:val="center"/>
          </w:tcPr>
          <w:p w14:paraId="3D015825"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2.08 ± 1.98</w:t>
            </w:r>
          </w:p>
        </w:tc>
      </w:tr>
      <w:tr w:rsidR="00321DF4" w:rsidRPr="00D549EC" w14:paraId="562C25EA"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34830A98"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Auditory hallucinations</w:t>
            </w:r>
          </w:p>
        </w:tc>
        <w:tc>
          <w:tcPr>
            <w:tcW w:w="1500" w:type="dxa"/>
            <w:vAlign w:val="center"/>
          </w:tcPr>
          <w:p w14:paraId="223A2A7C"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2C7C928B"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420E9A84"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1.68 ± 2.23</w:t>
            </w:r>
          </w:p>
        </w:tc>
        <w:tc>
          <w:tcPr>
            <w:tcW w:w="1155" w:type="dxa"/>
            <w:vAlign w:val="center"/>
          </w:tcPr>
          <w:p w14:paraId="454A8063"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1.07 ± 1.94</w:t>
            </w:r>
          </w:p>
        </w:tc>
      </w:tr>
      <w:tr w:rsidR="00321DF4" w:rsidRPr="00D549EC" w14:paraId="75E0B911"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76B75493"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Voice commenting</w:t>
            </w:r>
          </w:p>
        </w:tc>
        <w:tc>
          <w:tcPr>
            <w:tcW w:w="1500" w:type="dxa"/>
            <w:vAlign w:val="center"/>
          </w:tcPr>
          <w:p w14:paraId="7234920C"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65D3BFEE"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07770B1F"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0.66 ± 1.68</w:t>
            </w:r>
          </w:p>
        </w:tc>
        <w:tc>
          <w:tcPr>
            <w:tcW w:w="1155" w:type="dxa"/>
            <w:vAlign w:val="center"/>
          </w:tcPr>
          <w:p w14:paraId="7CF248D3"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0.75 ± 1.69</w:t>
            </w:r>
          </w:p>
        </w:tc>
      </w:tr>
      <w:tr w:rsidR="00321DF4" w:rsidRPr="00D549EC" w14:paraId="7C3F415B"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4928A91A"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Voice conversing</w:t>
            </w:r>
          </w:p>
        </w:tc>
        <w:tc>
          <w:tcPr>
            <w:tcW w:w="1500" w:type="dxa"/>
            <w:vAlign w:val="center"/>
          </w:tcPr>
          <w:p w14:paraId="37EC21E3"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78DCDA54"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4BB0B2B0"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0.77 ± 1.8</w:t>
            </w:r>
          </w:p>
        </w:tc>
        <w:tc>
          <w:tcPr>
            <w:tcW w:w="1155" w:type="dxa"/>
            <w:vAlign w:val="center"/>
          </w:tcPr>
          <w:p w14:paraId="54C3F29D"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0.5 ± 1.35</w:t>
            </w:r>
          </w:p>
        </w:tc>
      </w:tr>
      <w:tr w:rsidR="00321DF4" w:rsidRPr="00D549EC" w14:paraId="188CDBE0"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21BB3579"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Somatic or tactile hallucinations</w:t>
            </w:r>
          </w:p>
        </w:tc>
        <w:tc>
          <w:tcPr>
            <w:tcW w:w="1500" w:type="dxa"/>
            <w:vAlign w:val="center"/>
          </w:tcPr>
          <w:p w14:paraId="25FF2EB6"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49AFC818"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779C2199"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0.32 ± 1.24</w:t>
            </w:r>
          </w:p>
        </w:tc>
        <w:tc>
          <w:tcPr>
            <w:tcW w:w="1155" w:type="dxa"/>
            <w:vAlign w:val="center"/>
          </w:tcPr>
          <w:p w14:paraId="3BC1E577"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0.43 ± 1.32</w:t>
            </w:r>
          </w:p>
        </w:tc>
      </w:tr>
      <w:tr w:rsidR="00321DF4" w:rsidRPr="00D549EC" w14:paraId="5FBFD18E"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6EDBEB73"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Olfactory hallucinations</w:t>
            </w:r>
          </w:p>
        </w:tc>
        <w:tc>
          <w:tcPr>
            <w:tcW w:w="1500" w:type="dxa"/>
            <w:vAlign w:val="center"/>
          </w:tcPr>
          <w:p w14:paraId="05E49B22"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2E2020AC"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21923E9A"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0.04 ± 0.29</w:t>
            </w:r>
          </w:p>
        </w:tc>
        <w:tc>
          <w:tcPr>
            <w:tcW w:w="1155" w:type="dxa"/>
            <w:vAlign w:val="center"/>
          </w:tcPr>
          <w:p w14:paraId="027864CE"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0.25 ± 0.97</w:t>
            </w:r>
          </w:p>
        </w:tc>
      </w:tr>
      <w:tr w:rsidR="00321DF4" w:rsidRPr="00D549EC" w14:paraId="1DAFE18F"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5CD7208F"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Visual Hallucinations</w:t>
            </w:r>
          </w:p>
        </w:tc>
        <w:tc>
          <w:tcPr>
            <w:tcW w:w="1500" w:type="dxa"/>
            <w:vAlign w:val="center"/>
          </w:tcPr>
          <w:p w14:paraId="4408F4FA"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26AAEB4C"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0611793C"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0.11 ± 0.73</w:t>
            </w:r>
          </w:p>
        </w:tc>
        <w:tc>
          <w:tcPr>
            <w:tcW w:w="1155" w:type="dxa"/>
            <w:vAlign w:val="center"/>
          </w:tcPr>
          <w:p w14:paraId="6764B63B"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0.07 ± 0.26</w:t>
            </w:r>
          </w:p>
        </w:tc>
      </w:tr>
      <w:tr w:rsidR="00321DF4" w:rsidRPr="00D549EC" w14:paraId="34D89BF9"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7F6CE28B"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Global rating of hallucinations</w:t>
            </w:r>
          </w:p>
        </w:tc>
        <w:tc>
          <w:tcPr>
            <w:tcW w:w="1500" w:type="dxa"/>
            <w:vAlign w:val="center"/>
          </w:tcPr>
          <w:p w14:paraId="0F3BE629"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07F96985"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0651D6C1"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2.73 ± 2.36</w:t>
            </w:r>
          </w:p>
        </w:tc>
        <w:tc>
          <w:tcPr>
            <w:tcW w:w="1155" w:type="dxa"/>
            <w:vAlign w:val="center"/>
          </w:tcPr>
          <w:p w14:paraId="0CA86FE0"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2.26 ± 2.37</w:t>
            </w:r>
          </w:p>
        </w:tc>
      </w:tr>
      <w:tr w:rsidR="00321DF4" w:rsidRPr="00D549EC" w14:paraId="4C58AEEC"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74E470C0"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Persecutory delusions</w:t>
            </w:r>
          </w:p>
        </w:tc>
        <w:tc>
          <w:tcPr>
            <w:tcW w:w="1500" w:type="dxa"/>
            <w:vAlign w:val="center"/>
          </w:tcPr>
          <w:p w14:paraId="7AC67905"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2B1DBE03"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2F0F430C"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3.87 ± 2.01</w:t>
            </w:r>
          </w:p>
        </w:tc>
        <w:tc>
          <w:tcPr>
            <w:tcW w:w="1155" w:type="dxa"/>
            <w:vAlign w:val="center"/>
          </w:tcPr>
          <w:p w14:paraId="778BE18C"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4.33 ± 1.46</w:t>
            </w:r>
          </w:p>
        </w:tc>
      </w:tr>
      <w:tr w:rsidR="00321DF4" w:rsidRPr="00D549EC" w14:paraId="1EF4DB04"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013B5F57"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Delusions of jealousy</w:t>
            </w:r>
          </w:p>
        </w:tc>
        <w:tc>
          <w:tcPr>
            <w:tcW w:w="1500" w:type="dxa"/>
            <w:vAlign w:val="center"/>
          </w:tcPr>
          <w:p w14:paraId="5DC54AA5"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74CD8510"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0B76BC6A"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0.16 ± 0.9</w:t>
            </w:r>
          </w:p>
        </w:tc>
        <w:tc>
          <w:tcPr>
            <w:tcW w:w="1155" w:type="dxa"/>
            <w:vAlign w:val="center"/>
          </w:tcPr>
          <w:p w14:paraId="6526DCE3"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0.28 ± 1.18</w:t>
            </w:r>
          </w:p>
        </w:tc>
      </w:tr>
      <w:tr w:rsidR="00321DF4" w:rsidRPr="00D549EC" w14:paraId="0FB94C0D"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3282E72B"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Delusions of guilt or sin</w:t>
            </w:r>
          </w:p>
        </w:tc>
        <w:tc>
          <w:tcPr>
            <w:tcW w:w="1500" w:type="dxa"/>
            <w:vAlign w:val="center"/>
          </w:tcPr>
          <w:p w14:paraId="62EB37BB"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74C5FC56"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6A6E75A9"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 ± 0</w:t>
            </w:r>
          </w:p>
        </w:tc>
        <w:tc>
          <w:tcPr>
            <w:tcW w:w="1155" w:type="dxa"/>
            <w:vAlign w:val="center"/>
          </w:tcPr>
          <w:p w14:paraId="2AA4CF81"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 ± 0</w:t>
            </w:r>
          </w:p>
        </w:tc>
      </w:tr>
      <w:tr w:rsidR="00321DF4" w:rsidRPr="00D549EC" w14:paraId="02AD5015"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52A74D70"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Grandiose delusions</w:t>
            </w:r>
          </w:p>
        </w:tc>
        <w:tc>
          <w:tcPr>
            <w:tcW w:w="1500" w:type="dxa"/>
            <w:vAlign w:val="center"/>
          </w:tcPr>
          <w:p w14:paraId="77529CCC"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37563984"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01E95D17"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0.16 ± 0.73</w:t>
            </w:r>
          </w:p>
        </w:tc>
        <w:tc>
          <w:tcPr>
            <w:tcW w:w="1155" w:type="dxa"/>
            <w:vAlign w:val="center"/>
          </w:tcPr>
          <w:p w14:paraId="70A4F08D"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0.56 ± 1.62</w:t>
            </w:r>
          </w:p>
        </w:tc>
      </w:tr>
      <w:tr w:rsidR="00321DF4" w:rsidRPr="00D549EC" w14:paraId="0A3A73A4"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4DE5ED9A"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Religious delusions</w:t>
            </w:r>
          </w:p>
        </w:tc>
        <w:tc>
          <w:tcPr>
            <w:tcW w:w="1500" w:type="dxa"/>
            <w:vAlign w:val="center"/>
          </w:tcPr>
          <w:p w14:paraId="08D8FABA"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07176A85"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285E2598"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0.39 ± 1.23</w:t>
            </w:r>
          </w:p>
        </w:tc>
        <w:tc>
          <w:tcPr>
            <w:tcW w:w="1155" w:type="dxa"/>
            <w:vAlign w:val="center"/>
          </w:tcPr>
          <w:p w14:paraId="3ED4F151"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 ± 0</w:t>
            </w:r>
          </w:p>
        </w:tc>
      </w:tr>
      <w:tr w:rsidR="00321DF4" w:rsidRPr="00D549EC" w14:paraId="004DD457"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7F730B6E"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Somatic delusions</w:t>
            </w:r>
          </w:p>
        </w:tc>
        <w:tc>
          <w:tcPr>
            <w:tcW w:w="1500" w:type="dxa"/>
            <w:vAlign w:val="center"/>
          </w:tcPr>
          <w:p w14:paraId="7B8A6548"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075C71C6"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00855ABA"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0.32 ± 1.25</w:t>
            </w:r>
          </w:p>
        </w:tc>
        <w:tc>
          <w:tcPr>
            <w:tcW w:w="1155" w:type="dxa"/>
            <w:vAlign w:val="center"/>
          </w:tcPr>
          <w:p w14:paraId="16F641FA"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0.22 ± 0.73</w:t>
            </w:r>
          </w:p>
        </w:tc>
      </w:tr>
      <w:tr w:rsidR="00321DF4" w:rsidRPr="00D549EC" w14:paraId="48D6F683"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44D7B548"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Delusions of reference</w:t>
            </w:r>
          </w:p>
        </w:tc>
        <w:tc>
          <w:tcPr>
            <w:tcW w:w="1500" w:type="dxa"/>
            <w:vAlign w:val="center"/>
          </w:tcPr>
          <w:p w14:paraId="225258AC"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4C208FEE"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183E8850"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4.71 ± 0.94</w:t>
            </w:r>
          </w:p>
        </w:tc>
        <w:tc>
          <w:tcPr>
            <w:tcW w:w="1155" w:type="dxa"/>
            <w:vAlign w:val="center"/>
          </w:tcPr>
          <w:p w14:paraId="3200194A"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4.83 ± 0.51</w:t>
            </w:r>
          </w:p>
        </w:tc>
      </w:tr>
      <w:tr w:rsidR="00321DF4" w:rsidRPr="00D549EC" w14:paraId="4FBA285D"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79BBD621"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SAPS Delusions of being </w:t>
            </w:r>
            <w:proofErr w:type="spellStart"/>
            <w:r w:rsidRPr="00D549EC">
              <w:rPr>
                <w:rFonts w:ascii="Arial" w:eastAsia="Arial" w:hAnsi="Arial" w:cs="Arial"/>
                <w:color w:val="000000"/>
                <w:sz w:val="16"/>
                <w:szCs w:val="16"/>
              </w:rPr>
              <w:t>contrrolled</w:t>
            </w:r>
            <w:proofErr w:type="spellEnd"/>
          </w:p>
        </w:tc>
        <w:tc>
          <w:tcPr>
            <w:tcW w:w="1500" w:type="dxa"/>
            <w:vAlign w:val="center"/>
          </w:tcPr>
          <w:p w14:paraId="3612A853"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04D04735"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45486191"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0.48 ± 1.5</w:t>
            </w:r>
          </w:p>
        </w:tc>
        <w:tc>
          <w:tcPr>
            <w:tcW w:w="1155" w:type="dxa"/>
            <w:vAlign w:val="center"/>
          </w:tcPr>
          <w:p w14:paraId="04D3E30D"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0.39 ± 1.2</w:t>
            </w:r>
          </w:p>
        </w:tc>
      </w:tr>
      <w:tr w:rsidR="00321DF4" w:rsidRPr="00D549EC" w14:paraId="1F4C2951"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33AB4BEE"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Delusions of mind reading</w:t>
            </w:r>
          </w:p>
        </w:tc>
        <w:tc>
          <w:tcPr>
            <w:tcW w:w="1500" w:type="dxa"/>
            <w:vAlign w:val="center"/>
          </w:tcPr>
          <w:p w14:paraId="4D8CC2A0"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2C1353CF"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7C830450"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 ± 2</w:t>
            </w:r>
          </w:p>
        </w:tc>
        <w:tc>
          <w:tcPr>
            <w:tcW w:w="1155" w:type="dxa"/>
            <w:vAlign w:val="center"/>
          </w:tcPr>
          <w:p w14:paraId="49496247"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0.89 ± 1.81</w:t>
            </w:r>
          </w:p>
        </w:tc>
      </w:tr>
      <w:tr w:rsidR="00321DF4" w:rsidRPr="00D549EC" w14:paraId="63C03285"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47D9D501"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Thought broadcasting</w:t>
            </w:r>
          </w:p>
        </w:tc>
        <w:tc>
          <w:tcPr>
            <w:tcW w:w="1500" w:type="dxa"/>
            <w:vAlign w:val="center"/>
          </w:tcPr>
          <w:p w14:paraId="0ACD5345"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0200319F"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5C7C530A"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0.84 ± 1.86</w:t>
            </w:r>
          </w:p>
        </w:tc>
        <w:tc>
          <w:tcPr>
            <w:tcW w:w="1155" w:type="dxa"/>
            <w:vAlign w:val="center"/>
          </w:tcPr>
          <w:p w14:paraId="288A7BE8"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0.67 ± 1.57</w:t>
            </w:r>
          </w:p>
        </w:tc>
      </w:tr>
      <w:tr w:rsidR="00321DF4" w:rsidRPr="00D549EC" w14:paraId="3F984971"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5F5EFDD8"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Thought insertion</w:t>
            </w:r>
          </w:p>
        </w:tc>
        <w:tc>
          <w:tcPr>
            <w:tcW w:w="1500" w:type="dxa"/>
            <w:vAlign w:val="center"/>
          </w:tcPr>
          <w:p w14:paraId="5A3D2607"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76E8BD38"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59B01603"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0.52 ± 1.5</w:t>
            </w:r>
          </w:p>
        </w:tc>
        <w:tc>
          <w:tcPr>
            <w:tcW w:w="1155" w:type="dxa"/>
            <w:vAlign w:val="center"/>
          </w:tcPr>
          <w:p w14:paraId="534956EB"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0.33 ± 1.19</w:t>
            </w:r>
          </w:p>
        </w:tc>
      </w:tr>
      <w:tr w:rsidR="00321DF4" w:rsidRPr="00D549EC" w14:paraId="4BDED8A0"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5046463F"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Thought withdrawal</w:t>
            </w:r>
          </w:p>
        </w:tc>
        <w:tc>
          <w:tcPr>
            <w:tcW w:w="1500" w:type="dxa"/>
            <w:vAlign w:val="center"/>
          </w:tcPr>
          <w:p w14:paraId="3301C2B1"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6596D80A"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66EAEC5E"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0.35 ± 1.25</w:t>
            </w:r>
          </w:p>
        </w:tc>
        <w:tc>
          <w:tcPr>
            <w:tcW w:w="1155" w:type="dxa"/>
            <w:vAlign w:val="center"/>
          </w:tcPr>
          <w:p w14:paraId="5D7AD233"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0.33 ± 1.19</w:t>
            </w:r>
          </w:p>
        </w:tc>
      </w:tr>
      <w:tr w:rsidR="00321DF4" w:rsidRPr="00D549EC" w14:paraId="6CCDDAF1"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3F2953C2"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Global rating of delusions</w:t>
            </w:r>
          </w:p>
        </w:tc>
        <w:tc>
          <w:tcPr>
            <w:tcW w:w="1500" w:type="dxa"/>
            <w:vAlign w:val="center"/>
          </w:tcPr>
          <w:p w14:paraId="2F7F06F4"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373A9170"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5CEA4483"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4.9 ± 0.38</w:t>
            </w:r>
          </w:p>
        </w:tc>
        <w:tc>
          <w:tcPr>
            <w:tcW w:w="1155" w:type="dxa"/>
            <w:vAlign w:val="center"/>
          </w:tcPr>
          <w:p w14:paraId="225332BA"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4.9 ± 0.38</w:t>
            </w:r>
          </w:p>
        </w:tc>
      </w:tr>
      <w:tr w:rsidR="00321DF4" w:rsidRPr="00D549EC" w14:paraId="18B8936B"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3055336E"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Clothing and appearance</w:t>
            </w:r>
          </w:p>
        </w:tc>
        <w:tc>
          <w:tcPr>
            <w:tcW w:w="1500" w:type="dxa"/>
            <w:vAlign w:val="center"/>
          </w:tcPr>
          <w:p w14:paraId="4FA2E1BF"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36BB2D9C"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45D18F9D"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0.22 ± 0.71</w:t>
            </w:r>
          </w:p>
        </w:tc>
        <w:tc>
          <w:tcPr>
            <w:tcW w:w="1155" w:type="dxa"/>
            <w:vAlign w:val="center"/>
          </w:tcPr>
          <w:p w14:paraId="137F60FD"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0.27 ± 0.7</w:t>
            </w:r>
          </w:p>
        </w:tc>
      </w:tr>
      <w:tr w:rsidR="00321DF4" w:rsidRPr="00D549EC" w14:paraId="6147B486"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7BFC2A9D"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SAPS Social and sexual </w:t>
            </w:r>
            <w:proofErr w:type="spellStart"/>
            <w:r w:rsidRPr="00D549EC">
              <w:rPr>
                <w:rFonts w:ascii="Arial" w:eastAsia="Arial" w:hAnsi="Arial" w:cs="Arial"/>
                <w:color w:val="000000"/>
                <w:sz w:val="16"/>
                <w:szCs w:val="16"/>
              </w:rPr>
              <w:t>behavior</w:t>
            </w:r>
            <w:proofErr w:type="spellEnd"/>
          </w:p>
        </w:tc>
        <w:tc>
          <w:tcPr>
            <w:tcW w:w="1500" w:type="dxa"/>
            <w:vAlign w:val="center"/>
          </w:tcPr>
          <w:p w14:paraId="13FBB276"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39FA2239"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4BFFB7E1"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3.14 ± 2.09</w:t>
            </w:r>
          </w:p>
        </w:tc>
        <w:tc>
          <w:tcPr>
            <w:tcW w:w="1155" w:type="dxa"/>
            <w:vAlign w:val="center"/>
          </w:tcPr>
          <w:p w14:paraId="2C3DFE0B"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4.23 ± 1.11</w:t>
            </w:r>
          </w:p>
        </w:tc>
      </w:tr>
      <w:tr w:rsidR="00321DF4" w:rsidRPr="00D549EC" w14:paraId="2B51203A"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16E5724B"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SAPS Aggressive and agitated </w:t>
            </w:r>
            <w:proofErr w:type="spellStart"/>
            <w:r w:rsidRPr="00D549EC">
              <w:rPr>
                <w:rFonts w:ascii="Arial" w:eastAsia="Arial" w:hAnsi="Arial" w:cs="Arial"/>
                <w:color w:val="000000"/>
                <w:sz w:val="16"/>
                <w:szCs w:val="16"/>
              </w:rPr>
              <w:t>behavior</w:t>
            </w:r>
            <w:proofErr w:type="spellEnd"/>
          </w:p>
        </w:tc>
        <w:tc>
          <w:tcPr>
            <w:tcW w:w="1500" w:type="dxa"/>
            <w:vAlign w:val="center"/>
          </w:tcPr>
          <w:p w14:paraId="7B5E5327"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6CA8E9F0"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2723963F"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2.53 ± 2.16</w:t>
            </w:r>
          </w:p>
        </w:tc>
        <w:tc>
          <w:tcPr>
            <w:tcW w:w="1155" w:type="dxa"/>
            <w:vAlign w:val="center"/>
          </w:tcPr>
          <w:p w14:paraId="1B47C4AF"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2.14 ± 2.14</w:t>
            </w:r>
          </w:p>
        </w:tc>
      </w:tr>
      <w:tr w:rsidR="00321DF4" w:rsidRPr="00D549EC" w14:paraId="0F7690D2"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624E22D1"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SAPS Repetitive or stereotyped </w:t>
            </w:r>
            <w:proofErr w:type="spellStart"/>
            <w:r w:rsidRPr="00D549EC">
              <w:rPr>
                <w:rFonts w:ascii="Arial" w:eastAsia="Arial" w:hAnsi="Arial" w:cs="Arial"/>
                <w:color w:val="000000"/>
                <w:sz w:val="16"/>
                <w:szCs w:val="16"/>
              </w:rPr>
              <w:t>behavior</w:t>
            </w:r>
            <w:proofErr w:type="spellEnd"/>
          </w:p>
        </w:tc>
        <w:tc>
          <w:tcPr>
            <w:tcW w:w="1500" w:type="dxa"/>
            <w:vAlign w:val="center"/>
          </w:tcPr>
          <w:p w14:paraId="6A9A8C48"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460496A0"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39134441"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0.33 ± 0.96</w:t>
            </w:r>
          </w:p>
        </w:tc>
        <w:tc>
          <w:tcPr>
            <w:tcW w:w="1155" w:type="dxa"/>
            <w:vAlign w:val="center"/>
          </w:tcPr>
          <w:p w14:paraId="332E3A12"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1.36 ± 1.81</w:t>
            </w:r>
          </w:p>
        </w:tc>
      </w:tr>
      <w:tr w:rsidR="00321DF4" w:rsidRPr="00D549EC" w14:paraId="1DD073C4"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529E7851"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SAPS Global rating of </w:t>
            </w:r>
            <w:proofErr w:type="spellStart"/>
            <w:r w:rsidRPr="00D549EC">
              <w:rPr>
                <w:rFonts w:ascii="Arial" w:eastAsia="Arial" w:hAnsi="Arial" w:cs="Arial"/>
                <w:color w:val="000000"/>
                <w:sz w:val="16"/>
                <w:szCs w:val="16"/>
              </w:rPr>
              <w:t>bizzare</w:t>
            </w:r>
            <w:proofErr w:type="spellEnd"/>
            <w:r w:rsidRPr="00D549EC">
              <w:rPr>
                <w:rFonts w:ascii="Arial" w:eastAsia="Arial" w:hAnsi="Arial" w:cs="Arial"/>
                <w:color w:val="000000"/>
                <w:sz w:val="16"/>
                <w:szCs w:val="16"/>
              </w:rPr>
              <w:t xml:space="preserve"> </w:t>
            </w:r>
            <w:proofErr w:type="spellStart"/>
            <w:r w:rsidRPr="00D549EC">
              <w:rPr>
                <w:rFonts w:ascii="Arial" w:eastAsia="Arial" w:hAnsi="Arial" w:cs="Arial"/>
                <w:color w:val="000000"/>
                <w:sz w:val="16"/>
                <w:szCs w:val="16"/>
              </w:rPr>
              <w:t>behavior</w:t>
            </w:r>
            <w:proofErr w:type="spellEnd"/>
          </w:p>
        </w:tc>
        <w:tc>
          <w:tcPr>
            <w:tcW w:w="1500" w:type="dxa"/>
            <w:vAlign w:val="center"/>
          </w:tcPr>
          <w:p w14:paraId="247AA5D3"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103866CC"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5ECC5D19"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4.52 ± 1.14</w:t>
            </w:r>
          </w:p>
        </w:tc>
        <w:tc>
          <w:tcPr>
            <w:tcW w:w="1155" w:type="dxa"/>
            <w:vAlign w:val="center"/>
          </w:tcPr>
          <w:p w14:paraId="611C82BD"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4.54 ± 0.94</w:t>
            </w:r>
          </w:p>
        </w:tc>
      </w:tr>
      <w:tr w:rsidR="00321DF4" w:rsidRPr="00D549EC" w14:paraId="424DE629"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60F5D748"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Derailment</w:t>
            </w:r>
          </w:p>
        </w:tc>
        <w:tc>
          <w:tcPr>
            <w:tcW w:w="1500" w:type="dxa"/>
            <w:vAlign w:val="center"/>
          </w:tcPr>
          <w:p w14:paraId="5250BE05"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7E96AFFC"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75EA6582"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0.07 ± 0.5</w:t>
            </w:r>
          </w:p>
        </w:tc>
        <w:tc>
          <w:tcPr>
            <w:tcW w:w="1155" w:type="dxa"/>
            <w:vAlign w:val="center"/>
          </w:tcPr>
          <w:p w14:paraId="3C451BF2"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0.27 ± 0.84</w:t>
            </w:r>
          </w:p>
        </w:tc>
      </w:tr>
      <w:tr w:rsidR="00321DF4" w:rsidRPr="00D549EC" w14:paraId="72EEE980"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4183852B"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Tangentiality</w:t>
            </w:r>
          </w:p>
        </w:tc>
        <w:tc>
          <w:tcPr>
            <w:tcW w:w="1500" w:type="dxa"/>
            <w:vAlign w:val="center"/>
          </w:tcPr>
          <w:p w14:paraId="6D988707"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0F811188"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658A36CA"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0.16 ± 0.71</w:t>
            </w:r>
          </w:p>
        </w:tc>
        <w:tc>
          <w:tcPr>
            <w:tcW w:w="1155" w:type="dxa"/>
            <w:vAlign w:val="center"/>
          </w:tcPr>
          <w:p w14:paraId="0264DFEB"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0.89 ± 1.65</w:t>
            </w:r>
          </w:p>
        </w:tc>
      </w:tr>
      <w:tr w:rsidR="00321DF4" w:rsidRPr="00D549EC" w14:paraId="1AF52722"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5280B702"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Incoherence</w:t>
            </w:r>
          </w:p>
        </w:tc>
        <w:tc>
          <w:tcPr>
            <w:tcW w:w="1500" w:type="dxa"/>
            <w:vAlign w:val="center"/>
          </w:tcPr>
          <w:p w14:paraId="2EF99AAC"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38AF953F"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42FD66C8"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0.16 ± 0.71</w:t>
            </w:r>
          </w:p>
        </w:tc>
        <w:tc>
          <w:tcPr>
            <w:tcW w:w="1155" w:type="dxa"/>
            <w:vAlign w:val="center"/>
          </w:tcPr>
          <w:p w14:paraId="0E5CD8C8"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 ± 1.72</w:t>
            </w:r>
          </w:p>
        </w:tc>
      </w:tr>
      <w:tr w:rsidR="00321DF4" w:rsidRPr="00D549EC" w14:paraId="140735BF"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49EAF8DA"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Illogicality</w:t>
            </w:r>
          </w:p>
        </w:tc>
        <w:tc>
          <w:tcPr>
            <w:tcW w:w="1500" w:type="dxa"/>
            <w:vAlign w:val="center"/>
          </w:tcPr>
          <w:p w14:paraId="56599132"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45240860"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12622338"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0.15 ± 0.78</w:t>
            </w:r>
          </w:p>
        </w:tc>
        <w:tc>
          <w:tcPr>
            <w:tcW w:w="1155" w:type="dxa"/>
            <w:vAlign w:val="center"/>
          </w:tcPr>
          <w:p w14:paraId="59EDD4BD"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0.97 ± 1.71</w:t>
            </w:r>
          </w:p>
        </w:tc>
      </w:tr>
      <w:tr w:rsidR="00321DF4" w:rsidRPr="00D549EC" w14:paraId="55679FD6"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73A5A71E"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Circumstantiality</w:t>
            </w:r>
          </w:p>
        </w:tc>
        <w:tc>
          <w:tcPr>
            <w:tcW w:w="1500" w:type="dxa"/>
            <w:vAlign w:val="center"/>
          </w:tcPr>
          <w:p w14:paraId="350915B9"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38931C5F"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7EB42AE5"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0.07 ± 0.4</w:t>
            </w:r>
          </w:p>
        </w:tc>
        <w:tc>
          <w:tcPr>
            <w:tcW w:w="1155" w:type="dxa"/>
            <w:vAlign w:val="center"/>
          </w:tcPr>
          <w:p w14:paraId="60DE90D8"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0.57 ± 1.19</w:t>
            </w:r>
          </w:p>
        </w:tc>
      </w:tr>
      <w:tr w:rsidR="00321DF4" w:rsidRPr="00D549EC" w14:paraId="5E311854"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036BA7C4"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Pressure of speech</w:t>
            </w:r>
          </w:p>
        </w:tc>
        <w:tc>
          <w:tcPr>
            <w:tcW w:w="1500" w:type="dxa"/>
            <w:vAlign w:val="center"/>
          </w:tcPr>
          <w:p w14:paraId="540FC792"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7C67FCCF"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3C5A8A0F"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0.13 ± 0.65</w:t>
            </w:r>
          </w:p>
        </w:tc>
        <w:tc>
          <w:tcPr>
            <w:tcW w:w="1155" w:type="dxa"/>
            <w:vAlign w:val="center"/>
          </w:tcPr>
          <w:p w14:paraId="786F3AD6"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0.38 ± 1.01</w:t>
            </w:r>
          </w:p>
        </w:tc>
      </w:tr>
      <w:tr w:rsidR="00321DF4" w:rsidRPr="00D549EC" w14:paraId="4AFDD303"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1C7F40A2"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Distractible speech</w:t>
            </w:r>
          </w:p>
        </w:tc>
        <w:tc>
          <w:tcPr>
            <w:tcW w:w="1500" w:type="dxa"/>
            <w:vAlign w:val="center"/>
          </w:tcPr>
          <w:p w14:paraId="58DF52D4"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0A796FE7"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6FC69F12"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0.15 ± 0.72</w:t>
            </w:r>
          </w:p>
        </w:tc>
        <w:tc>
          <w:tcPr>
            <w:tcW w:w="1155" w:type="dxa"/>
            <w:vAlign w:val="center"/>
          </w:tcPr>
          <w:p w14:paraId="31D1718C"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0.32 ± 0.94</w:t>
            </w:r>
          </w:p>
        </w:tc>
      </w:tr>
      <w:tr w:rsidR="00321DF4" w:rsidRPr="00D549EC" w14:paraId="701B6473"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0694FB0D"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Clanging</w:t>
            </w:r>
          </w:p>
        </w:tc>
        <w:tc>
          <w:tcPr>
            <w:tcW w:w="1500" w:type="dxa"/>
            <w:vAlign w:val="center"/>
          </w:tcPr>
          <w:p w14:paraId="1C6FD6D9"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0992145C"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4423B283"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0.02 ± 0.12</w:t>
            </w:r>
          </w:p>
        </w:tc>
        <w:tc>
          <w:tcPr>
            <w:tcW w:w="1155" w:type="dxa"/>
            <w:vAlign w:val="center"/>
          </w:tcPr>
          <w:p w14:paraId="2884220F"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0.19 ± 0.7</w:t>
            </w:r>
          </w:p>
        </w:tc>
      </w:tr>
      <w:tr w:rsidR="00321DF4" w:rsidRPr="00D549EC" w14:paraId="1792CBE4"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65E98929"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Global rating of positive formal thought disorder</w:t>
            </w:r>
          </w:p>
        </w:tc>
        <w:tc>
          <w:tcPr>
            <w:tcW w:w="1500" w:type="dxa"/>
            <w:vAlign w:val="center"/>
          </w:tcPr>
          <w:p w14:paraId="4B3FCDA0"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69C043E5"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0FF9A10E"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0.6 ± 1.46</w:t>
            </w:r>
          </w:p>
        </w:tc>
        <w:tc>
          <w:tcPr>
            <w:tcW w:w="1155" w:type="dxa"/>
            <w:vAlign w:val="center"/>
          </w:tcPr>
          <w:p w14:paraId="76A44909"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1.62 ± 2.02</w:t>
            </w:r>
          </w:p>
        </w:tc>
      </w:tr>
      <w:tr w:rsidR="00321DF4" w:rsidRPr="00D549EC" w14:paraId="61AECF24"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75A4B9C6"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BPRS </w:t>
            </w:r>
            <w:proofErr w:type="spellStart"/>
            <w:r w:rsidRPr="00D549EC">
              <w:rPr>
                <w:rFonts w:ascii="Arial" w:eastAsia="Arial" w:hAnsi="Arial" w:cs="Arial"/>
                <w:color w:val="000000"/>
                <w:sz w:val="16"/>
                <w:szCs w:val="16"/>
              </w:rPr>
              <w:t>bprsom</w:t>
            </w:r>
            <w:proofErr w:type="spellEnd"/>
          </w:p>
        </w:tc>
        <w:tc>
          <w:tcPr>
            <w:tcW w:w="1500" w:type="dxa"/>
            <w:vAlign w:val="center"/>
          </w:tcPr>
          <w:p w14:paraId="4B77D9DD"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4FEDD3B8"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71E00AEA"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2.44 ± 2.11</w:t>
            </w:r>
          </w:p>
        </w:tc>
        <w:tc>
          <w:tcPr>
            <w:tcW w:w="1155" w:type="dxa"/>
            <w:vAlign w:val="center"/>
          </w:tcPr>
          <w:p w14:paraId="3B0FA161"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2.62 ± 2.27</w:t>
            </w:r>
          </w:p>
        </w:tc>
      </w:tr>
      <w:tr w:rsidR="00321DF4" w:rsidRPr="00D549EC" w14:paraId="7E09874A"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0A4D8E2B"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BPRS </w:t>
            </w:r>
            <w:proofErr w:type="spellStart"/>
            <w:r w:rsidRPr="00D549EC">
              <w:rPr>
                <w:rFonts w:ascii="Arial" w:eastAsia="Arial" w:hAnsi="Arial" w:cs="Arial"/>
                <w:color w:val="000000"/>
                <w:sz w:val="16"/>
                <w:szCs w:val="16"/>
              </w:rPr>
              <w:t>bprans</w:t>
            </w:r>
            <w:proofErr w:type="spellEnd"/>
          </w:p>
        </w:tc>
        <w:tc>
          <w:tcPr>
            <w:tcW w:w="1500" w:type="dxa"/>
            <w:vAlign w:val="center"/>
          </w:tcPr>
          <w:p w14:paraId="5C53C549"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14C46E2B"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4EC329A2"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2.85 ± 1.79</w:t>
            </w:r>
          </w:p>
        </w:tc>
        <w:tc>
          <w:tcPr>
            <w:tcW w:w="1155" w:type="dxa"/>
            <w:vAlign w:val="center"/>
          </w:tcPr>
          <w:p w14:paraId="302106AA"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3.95 ± 1.93</w:t>
            </w:r>
          </w:p>
        </w:tc>
      </w:tr>
      <w:tr w:rsidR="00321DF4" w:rsidRPr="00D549EC" w14:paraId="0BF4BAAB"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4E98126D"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BPRS </w:t>
            </w:r>
            <w:proofErr w:type="spellStart"/>
            <w:r w:rsidRPr="00D549EC">
              <w:rPr>
                <w:rFonts w:ascii="Arial" w:eastAsia="Arial" w:hAnsi="Arial" w:cs="Arial"/>
                <w:color w:val="000000"/>
                <w:sz w:val="16"/>
                <w:szCs w:val="16"/>
              </w:rPr>
              <w:t>bprdep</w:t>
            </w:r>
            <w:proofErr w:type="spellEnd"/>
          </w:p>
        </w:tc>
        <w:tc>
          <w:tcPr>
            <w:tcW w:w="1500" w:type="dxa"/>
            <w:vAlign w:val="center"/>
          </w:tcPr>
          <w:p w14:paraId="3B07B2D8"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3164DABE"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05286F70"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2.67 ± 1.76</w:t>
            </w:r>
          </w:p>
        </w:tc>
        <w:tc>
          <w:tcPr>
            <w:tcW w:w="1155" w:type="dxa"/>
            <w:vAlign w:val="center"/>
          </w:tcPr>
          <w:p w14:paraId="7B47C8F1"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2.54 ± 1.8</w:t>
            </w:r>
          </w:p>
        </w:tc>
      </w:tr>
      <w:tr w:rsidR="00321DF4" w:rsidRPr="00D549EC" w14:paraId="4F59BE08"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46A9E200"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BPRS </w:t>
            </w:r>
            <w:proofErr w:type="spellStart"/>
            <w:r w:rsidRPr="00D549EC">
              <w:rPr>
                <w:rFonts w:ascii="Arial" w:eastAsia="Arial" w:hAnsi="Arial" w:cs="Arial"/>
                <w:color w:val="000000"/>
                <w:sz w:val="16"/>
                <w:szCs w:val="16"/>
              </w:rPr>
              <w:t>bprcul</w:t>
            </w:r>
            <w:proofErr w:type="spellEnd"/>
          </w:p>
        </w:tc>
        <w:tc>
          <w:tcPr>
            <w:tcW w:w="1500" w:type="dxa"/>
            <w:vAlign w:val="center"/>
          </w:tcPr>
          <w:p w14:paraId="7E4FF675"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5CAEEC40"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3DAA35EE"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1.66 ± 1.57</w:t>
            </w:r>
          </w:p>
        </w:tc>
        <w:tc>
          <w:tcPr>
            <w:tcW w:w="1155" w:type="dxa"/>
            <w:vAlign w:val="center"/>
          </w:tcPr>
          <w:p w14:paraId="45E3CDC4"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2.21 ± 1.85</w:t>
            </w:r>
          </w:p>
        </w:tc>
      </w:tr>
      <w:tr w:rsidR="00321DF4" w:rsidRPr="00D549EC" w14:paraId="7CED742E"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40DC0CFA"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BPRS </w:t>
            </w:r>
            <w:proofErr w:type="spellStart"/>
            <w:r w:rsidRPr="00D549EC">
              <w:rPr>
                <w:rFonts w:ascii="Arial" w:eastAsia="Arial" w:hAnsi="Arial" w:cs="Arial"/>
                <w:color w:val="000000"/>
                <w:sz w:val="16"/>
                <w:szCs w:val="16"/>
              </w:rPr>
              <w:t>bprhos</w:t>
            </w:r>
            <w:proofErr w:type="spellEnd"/>
          </w:p>
        </w:tc>
        <w:tc>
          <w:tcPr>
            <w:tcW w:w="1500" w:type="dxa"/>
            <w:vAlign w:val="center"/>
          </w:tcPr>
          <w:p w14:paraId="54EAA504"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48C96E42"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7297B1B7"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3.38 ± 2.42</w:t>
            </w:r>
          </w:p>
        </w:tc>
        <w:tc>
          <w:tcPr>
            <w:tcW w:w="1155" w:type="dxa"/>
            <w:vAlign w:val="center"/>
          </w:tcPr>
          <w:p w14:paraId="4089AE38"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3.59 ± 2.45</w:t>
            </w:r>
          </w:p>
        </w:tc>
      </w:tr>
      <w:tr w:rsidR="00321DF4" w:rsidRPr="00D549EC" w14:paraId="2B163F93"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3C8F00BF"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BPRS </w:t>
            </w:r>
            <w:proofErr w:type="spellStart"/>
            <w:r w:rsidRPr="00D549EC">
              <w:rPr>
                <w:rFonts w:ascii="Arial" w:eastAsia="Arial" w:hAnsi="Arial" w:cs="Arial"/>
                <w:color w:val="000000"/>
                <w:sz w:val="16"/>
                <w:szCs w:val="16"/>
              </w:rPr>
              <w:t>bprsus</w:t>
            </w:r>
            <w:proofErr w:type="spellEnd"/>
          </w:p>
        </w:tc>
        <w:tc>
          <w:tcPr>
            <w:tcW w:w="1500" w:type="dxa"/>
            <w:vAlign w:val="center"/>
          </w:tcPr>
          <w:p w14:paraId="551C78ED"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4057F842"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09DBE5DB"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6.56 ± 1.36</w:t>
            </w:r>
          </w:p>
        </w:tc>
        <w:tc>
          <w:tcPr>
            <w:tcW w:w="1155" w:type="dxa"/>
            <w:vAlign w:val="center"/>
          </w:tcPr>
          <w:p w14:paraId="540DA8EC"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6.67 ± 1.03</w:t>
            </w:r>
          </w:p>
        </w:tc>
      </w:tr>
      <w:tr w:rsidR="00321DF4" w:rsidRPr="00D549EC" w14:paraId="2005AD9A"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0F91BC14"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BPRS </w:t>
            </w:r>
            <w:proofErr w:type="spellStart"/>
            <w:r w:rsidRPr="00D549EC">
              <w:rPr>
                <w:rFonts w:ascii="Arial" w:eastAsia="Arial" w:hAnsi="Arial" w:cs="Arial"/>
                <w:color w:val="000000"/>
                <w:sz w:val="16"/>
                <w:szCs w:val="16"/>
              </w:rPr>
              <w:t>bprpen</w:t>
            </w:r>
            <w:proofErr w:type="spellEnd"/>
          </w:p>
        </w:tc>
        <w:tc>
          <w:tcPr>
            <w:tcW w:w="1500" w:type="dxa"/>
            <w:vAlign w:val="center"/>
          </w:tcPr>
          <w:p w14:paraId="64E8FE4A"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59705178"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44F25AB6"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6.84 ± 0.58</w:t>
            </w:r>
          </w:p>
        </w:tc>
        <w:tc>
          <w:tcPr>
            <w:tcW w:w="1155" w:type="dxa"/>
            <w:vAlign w:val="center"/>
          </w:tcPr>
          <w:p w14:paraId="208EC419"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6.74 ± 0.75</w:t>
            </w:r>
          </w:p>
        </w:tc>
      </w:tr>
      <w:tr w:rsidR="00321DF4" w:rsidRPr="00D549EC" w14:paraId="119E0ABC"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14E1C178"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BPRS </w:t>
            </w:r>
            <w:proofErr w:type="spellStart"/>
            <w:r w:rsidRPr="00D549EC">
              <w:rPr>
                <w:rFonts w:ascii="Arial" w:eastAsia="Arial" w:hAnsi="Arial" w:cs="Arial"/>
                <w:color w:val="000000"/>
                <w:sz w:val="16"/>
                <w:szCs w:val="16"/>
              </w:rPr>
              <w:t>bprgra</w:t>
            </w:r>
            <w:proofErr w:type="spellEnd"/>
          </w:p>
        </w:tc>
        <w:tc>
          <w:tcPr>
            <w:tcW w:w="1500" w:type="dxa"/>
            <w:vAlign w:val="center"/>
          </w:tcPr>
          <w:p w14:paraId="33C7C7E0"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124BA775"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7B63E720"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1.22 ± 0.89</w:t>
            </w:r>
          </w:p>
        </w:tc>
        <w:tc>
          <w:tcPr>
            <w:tcW w:w="1155" w:type="dxa"/>
            <w:vAlign w:val="center"/>
          </w:tcPr>
          <w:p w14:paraId="42A6BC99"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1.26 ± 1.12</w:t>
            </w:r>
          </w:p>
        </w:tc>
      </w:tr>
      <w:tr w:rsidR="00321DF4" w:rsidRPr="00D549EC" w14:paraId="3AC3B84B"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770E76E8"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BPRS </w:t>
            </w:r>
            <w:proofErr w:type="spellStart"/>
            <w:r w:rsidRPr="00D549EC">
              <w:rPr>
                <w:rFonts w:ascii="Arial" w:eastAsia="Arial" w:hAnsi="Arial" w:cs="Arial"/>
                <w:color w:val="000000"/>
                <w:sz w:val="16"/>
                <w:szCs w:val="16"/>
              </w:rPr>
              <w:t>bpralu</w:t>
            </w:r>
            <w:proofErr w:type="spellEnd"/>
          </w:p>
        </w:tc>
        <w:tc>
          <w:tcPr>
            <w:tcW w:w="1500" w:type="dxa"/>
            <w:vAlign w:val="center"/>
          </w:tcPr>
          <w:p w14:paraId="00F48D5C"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40DFA544"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5ED3E6F0"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4.05 ± 2.84</w:t>
            </w:r>
          </w:p>
        </w:tc>
        <w:tc>
          <w:tcPr>
            <w:tcW w:w="1155" w:type="dxa"/>
            <w:vAlign w:val="center"/>
          </w:tcPr>
          <w:p w14:paraId="024F6433"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3.51 ± 2.87</w:t>
            </w:r>
          </w:p>
        </w:tc>
      </w:tr>
      <w:tr w:rsidR="00321DF4" w:rsidRPr="00D549EC" w14:paraId="1E042103"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0181DED5"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lastRenderedPageBreak/>
              <w:t xml:space="preserve">BPRS </w:t>
            </w:r>
            <w:proofErr w:type="spellStart"/>
            <w:r w:rsidRPr="00D549EC">
              <w:rPr>
                <w:rFonts w:ascii="Arial" w:eastAsia="Arial" w:hAnsi="Arial" w:cs="Arial"/>
                <w:color w:val="000000"/>
                <w:sz w:val="16"/>
                <w:szCs w:val="16"/>
              </w:rPr>
              <w:t>bprori</w:t>
            </w:r>
            <w:proofErr w:type="spellEnd"/>
          </w:p>
        </w:tc>
        <w:tc>
          <w:tcPr>
            <w:tcW w:w="1500" w:type="dxa"/>
            <w:vAlign w:val="center"/>
          </w:tcPr>
          <w:p w14:paraId="6E4E43BA"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4B89392C"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6A632313"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1.05 ± 0.47</w:t>
            </w:r>
          </w:p>
        </w:tc>
        <w:tc>
          <w:tcPr>
            <w:tcW w:w="1155" w:type="dxa"/>
            <w:vAlign w:val="center"/>
          </w:tcPr>
          <w:p w14:paraId="784584CA"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1.18 ± 0.64</w:t>
            </w:r>
          </w:p>
        </w:tc>
      </w:tr>
      <w:tr w:rsidR="00321DF4" w:rsidRPr="00D549EC" w14:paraId="11C49824"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1F732BA9"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BPRS </w:t>
            </w:r>
            <w:proofErr w:type="spellStart"/>
            <w:r w:rsidRPr="00D549EC">
              <w:rPr>
                <w:rFonts w:ascii="Arial" w:eastAsia="Arial" w:hAnsi="Arial" w:cs="Arial"/>
                <w:color w:val="000000"/>
                <w:sz w:val="16"/>
                <w:szCs w:val="16"/>
              </w:rPr>
              <w:t>bprcon</w:t>
            </w:r>
            <w:proofErr w:type="spellEnd"/>
          </w:p>
        </w:tc>
        <w:tc>
          <w:tcPr>
            <w:tcW w:w="1500" w:type="dxa"/>
            <w:vAlign w:val="center"/>
          </w:tcPr>
          <w:p w14:paraId="205EB562"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6C6132E9"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67EB0B54"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1.63 ± 1.61</w:t>
            </w:r>
          </w:p>
        </w:tc>
        <w:tc>
          <w:tcPr>
            <w:tcW w:w="1155" w:type="dxa"/>
            <w:vAlign w:val="center"/>
          </w:tcPr>
          <w:p w14:paraId="3F1E8AEE"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3.05 ± 2.48</w:t>
            </w:r>
          </w:p>
        </w:tc>
      </w:tr>
      <w:tr w:rsidR="00321DF4" w:rsidRPr="00D549EC" w14:paraId="12D4F893"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3E0D6216"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BPRS </w:t>
            </w:r>
            <w:proofErr w:type="spellStart"/>
            <w:r w:rsidRPr="00D549EC">
              <w:rPr>
                <w:rFonts w:ascii="Arial" w:eastAsia="Arial" w:hAnsi="Arial" w:cs="Arial"/>
                <w:color w:val="000000"/>
                <w:sz w:val="16"/>
                <w:szCs w:val="16"/>
              </w:rPr>
              <w:t>bprexc</w:t>
            </w:r>
            <w:proofErr w:type="spellEnd"/>
          </w:p>
        </w:tc>
        <w:tc>
          <w:tcPr>
            <w:tcW w:w="1500" w:type="dxa"/>
            <w:vAlign w:val="center"/>
          </w:tcPr>
          <w:p w14:paraId="2278CAFF"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0F106CC9"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042A0DD3"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2.07 ± 2</w:t>
            </w:r>
          </w:p>
        </w:tc>
        <w:tc>
          <w:tcPr>
            <w:tcW w:w="1155" w:type="dxa"/>
            <w:vAlign w:val="center"/>
          </w:tcPr>
          <w:p w14:paraId="5C6110F9"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3.36 ± 2.32</w:t>
            </w:r>
          </w:p>
        </w:tc>
      </w:tr>
      <w:tr w:rsidR="00321DF4" w:rsidRPr="00D549EC" w14:paraId="189BF61E"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0F50EA42"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BPRS </w:t>
            </w:r>
            <w:proofErr w:type="spellStart"/>
            <w:r w:rsidRPr="00D549EC">
              <w:rPr>
                <w:rFonts w:ascii="Arial" w:eastAsia="Arial" w:hAnsi="Arial" w:cs="Arial"/>
                <w:color w:val="000000"/>
                <w:sz w:val="16"/>
                <w:szCs w:val="16"/>
              </w:rPr>
              <w:t>bprlen</w:t>
            </w:r>
            <w:proofErr w:type="spellEnd"/>
          </w:p>
        </w:tc>
        <w:tc>
          <w:tcPr>
            <w:tcW w:w="1500" w:type="dxa"/>
            <w:vAlign w:val="center"/>
          </w:tcPr>
          <w:p w14:paraId="2E37AB10"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28AA4A6C"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27F5E142"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1.93 ± 1.49</w:t>
            </w:r>
          </w:p>
        </w:tc>
        <w:tc>
          <w:tcPr>
            <w:tcW w:w="1155" w:type="dxa"/>
            <w:vAlign w:val="center"/>
          </w:tcPr>
          <w:p w14:paraId="1ECF7A85"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1.33 ± 0.96</w:t>
            </w:r>
          </w:p>
        </w:tc>
      </w:tr>
      <w:tr w:rsidR="00321DF4" w:rsidRPr="00D549EC" w14:paraId="1ED63101"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323DA069"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BPRS </w:t>
            </w:r>
            <w:proofErr w:type="spellStart"/>
            <w:r w:rsidRPr="00D549EC">
              <w:rPr>
                <w:rFonts w:ascii="Arial" w:eastAsia="Arial" w:hAnsi="Arial" w:cs="Arial"/>
                <w:color w:val="000000"/>
                <w:sz w:val="16"/>
                <w:szCs w:val="16"/>
              </w:rPr>
              <w:t>bpremb</w:t>
            </w:r>
            <w:proofErr w:type="spellEnd"/>
          </w:p>
        </w:tc>
        <w:tc>
          <w:tcPr>
            <w:tcW w:w="1500" w:type="dxa"/>
            <w:vAlign w:val="center"/>
          </w:tcPr>
          <w:p w14:paraId="013FA8E0"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023E4CDB"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2B1718DF"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2.29 ± 1.77</w:t>
            </w:r>
          </w:p>
        </w:tc>
        <w:tc>
          <w:tcPr>
            <w:tcW w:w="1155" w:type="dxa"/>
            <w:vAlign w:val="center"/>
          </w:tcPr>
          <w:p w14:paraId="3021E18A"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1.54 ± 1.23</w:t>
            </w:r>
          </w:p>
        </w:tc>
      </w:tr>
      <w:tr w:rsidR="00321DF4" w:rsidRPr="00D549EC" w14:paraId="2FE9D675"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1A22C899"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BPRS </w:t>
            </w:r>
            <w:proofErr w:type="spellStart"/>
            <w:r w:rsidRPr="00D549EC">
              <w:rPr>
                <w:rFonts w:ascii="Arial" w:eastAsia="Arial" w:hAnsi="Arial" w:cs="Arial"/>
                <w:color w:val="000000"/>
                <w:sz w:val="16"/>
                <w:szCs w:val="16"/>
              </w:rPr>
              <w:t>bprten</w:t>
            </w:r>
            <w:proofErr w:type="spellEnd"/>
          </w:p>
        </w:tc>
        <w:tc>
          <w:tcPr>
            <w:tcW w:w="1500" w:type="dxa"/>
            <w:vAlign w:val="center"/>
          </w:tcPr>
          <w:p w14:paraId="43764D84"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2C889E6D"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1032991D"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2.66 ± 1.9</w:t>
            </w:r>
          </w:p>
        </w:tc>
        <w:tc>
          <w:tcPr>
            <w:tcW w:w="1155" w:type="dxa"/>
            <w:vAlign w:val="center"/>
          </w:tcPr>
          <w:p w14:paraId="00289507"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3.18 ± 2</w:t>
            </w:r>
          </w:p>
        </w:tc>
      </w:tr>
      <w:tr w:rsidR="00321DF4" w:rsidRPr="00D549EC" w14:paraId="724AC2CD"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38D500BA"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BPRS </w:t>
            </w:r>
            <w:proofErr w:type="spellStart"/>
            <w:r w:rsidRPr="00D549EC">
              <w:rPr>
                <w:rFonts w:ascii="Arial" w:eastAsia="Arial" w:hAnsi="Arial" w:cs="Arial"/>
                <w:color w:val="000000"/>
                <w:sz w:val="16"/>
                <w:szCs w:val="16"/>
              </w:rPr>
              <w:t>bprpos</w:t>
            </w:r>
            <w:proofErr w:type="spellEnd"/>
          </w:p>
        </w:tc>
        <w:tc>
          <w:tcPr>
            <w:tcW w:w="1500" w:type="dxa"/>
            <w:vAlign w:val="center"/>
          </w:tcPr>
          <w:p w14:paraId="5E89A69A"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61C94347"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0126D2C3"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1.82 ± 1.64</w:t>
            </w:r>
          </w:p>
        </w:tc>
        <w:tc>
          <w:tcPr>
            <w:tcW w:w="1155" w:type="dxa"/>
            <w:vAlign w:val="center"/>
          </w:tcPr>
          <w:p w14:paraId="49703FC2"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2.1 ± 1.9</w:t>
            </w:r>
          </w:p>
        </w:tc>
      </w:tr>
      <w:tr w:rsidR="00321DF4" w:rsidRPr="00D549EC" w14:paraId="593F99EB"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39202929"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BPRS </w:t>
            </w:r>
            <w:proofErr w:type="spellStart"/>
            <w:r w:rsidRPr="00D549EC">
              <w:rPr>
                <w:rFonts w:ascii="Arial" w:eastAsia="Arial" w:hAnsi="Arial" w:cs="Arial"/>
                <w:color w:val="000000"/>
                <w:sz w:val="16"/>
                <w:szCs w:val="16"/>
              </w:rPr>
              <w:t>bprcoo</w:t>
            </w:r>
            <w:proofErr w:type="spellEnd"/>
          </w:p>
        </w:tc>
        <w:tc>
          <w:tcPr>
            <w:tcW w:w="1500" w:type="dxa"/>
            <w:vAlign w:val="center"/>
          </w:tcPr>
          <w:p w14:paraId="21D7D8F2"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70AA8797"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5920973A"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2.48 ± 1.97</w:t>
            </w:r>
          </w:p>
        </w:tc>
        <w:tc>
          <w:tcPr>
            <w:tcW w:w="1155" w:type="dxa"/>
            <w:vAlign w:val="center"/>
          </w:tcPr>
          <w:p w14:paraId="52567126"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3.21 ± 2.33</w:t>
            </w:r>
          </w:p>
        </w:tc>
      </w:tr>
      <w:tr w:rsidR="00321DF4" w:rsidRPr="00D549EC" w14:paraId="0BC16365"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7800A169"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BPRS </w:t>
            </w:r>
            <w:proofErr w:type="spellStart"/>
            <w:r w:rsidRPr="00D549EC">
              <w:rPr>
                <w:rFonts w:ascii="Arial" w:eastAsia="Arial" w:hAnsi="Arial" w:cs="Arial"/>
                <w:color w:val="000000"/>
                <w:sz w:val="16"/>
                <w:szCs w:val="16"/>
              </w:rPr>
              <w:t>bpremo</w:t>
            </w:r>
            <w:proofErr w:type="spellEnd"/>
          </w:p>
        </w:tc>
        <w:tc>
          <w:tcPr>
            <w:tcW w:w="1500" w:type="dxa"/>
            <w:vAlign w:val="center"/>
          </w:tcPr>
          <w:p w14:paraId="4B3D3F91"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07BC726C"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637E5D6B"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2.71 ± 2.18</w:t>
            </w:r>
          </w:p>
        </w:tc>
        <w:tc>
          <w:tcPr>
            <w:tcW w:w="1155" w:type="dxa"/>
            <w:vAlign w:val="center"/>
          </w:tcPr>
          <w:p w14:paraId="01D2B6F4"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2.95 ± 2.24</w:t>
            </w:r>
          </w:p>
        </w:tc>
      </w:tr>
      <w:tr w:rsidR="00321DF4" w:rsidRPr="00D549EC" w14:paraId="07461407"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150EC861"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BPRS </w:t>
            </w:r>
            <w:proofErr w:type="spellStart"/>
            <w:r w:rsidRPr="00D549EC">
              <w:rPr>
                <w:rFonts w:ascii="Arial" w:eastAsia="Arial" w:hAnsi="Arial" w:cs="Arial"/>
                <w:color w:val="000000"/>
                <w:sz w:val="16"/>
                <w:szCs w:val="16"/>
              </w:rPr>
              <w:t>bprsui</w:t>
            </w:r>
            <w:proofErr w:type="spellEnd"/>
          </w:p>
        </w:tc>
        <w:tc>
          <w:tcPr>
            <w:tcW w:w="1500" w:type="dxa"/>
            <w:vAlign w:val="center"/>
          </w:tcPr>
          <w:p w14:paraId="7329DB90"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27D905F5"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4BC653C2"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1.62 ± 1.55</w:t>
            </w:r>
          </w:p>
        </w:tc>
        <w:tc>
          <w:tcPr>
            <w:tcW w:w="1155" w:type="dxa"/>
            <w:vAlign w:val="center"/>
          </w:tcPr>
          <w:p w14:paraId="12880575"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1.23 ± 0.78</w:t>
            </w:r>
          </w:p>
        </w:tc>
      </w:tr>
      <w:tr w:rsidR="00321DF4" w:rsidRPr="00D549EC" w14:paraId="403BCB47"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267AFEB3"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BPRS </w:t>
            </w:r>
            <w:proofErr w:type="spellStart"/>
            <w:r w:rsidRPr="00D549EC">
              <w:rPr>
                <w:rFonts w:ascii="Arial" w:eastAsia="Arial" w:hAnsi="Arial" w:cs="Arial"/>
                <w:color w:val="000000"/>
                <w:sz w:val="16"/>
                <w:szCs w:val="16"/>
              </w:rPr>
              <w:t>bprcui</w:t>
            </w:r>
            <w:proofErr w:type="spellEnd"/>
          </w:p>
        </w:tc>
        <w:tc>
          <w:tcPr>
            <w:tcW w:w="1500" w:type="dxa"/>
            <w:vAlign w:val="center"/>
          </w:tcPr>
          <w:p w14:paraId="5789EEAB"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61960790"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53ACF94D"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1.78 ± 1.48</w:t>
            </w:r>
          </w:p>
        </w:tc>
        <w:tc>
          <w:tcPr>
            <w:tcW w:w="1155" w:type="dxa"/>
            <w:vAlign w:val="center"/>
          </w:tcPr>
          <w:p w14:paraId="2DE4DE95"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1.51 ± 1.21</w:t>
            </w:r>
          </w:p>
        </w:tc>
      </w:tr>
      <w:tr w:rsidR="00321DF4" w:rsidRPr="00D549EC" w14:paraId="0855298D"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50F231C4"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BPRS </w:t>
            </w:r>
            <w:proofErr w:type="spellStart"/>
            <w:r w:rsidRPr="00D549EC">
              <w:rPr>
                <w:rFonts w:ascii="Arial" w:eastAsia="Arial" w:hAnsi="Arial" w:cs="Arial"/>
                <w:color w:val="000000"/>
                <w:sz w:val="16"/>
                <w:szCs w:val="16"/>
              </w:rPr>
              <w:t>bprext</w:t>
            </w:r>
            <w:proofErr w:type="spellEnd"/>
          </w:p>
        </w:tc>
        <w:tc>
          <w:tcPr>
            <w:tcW w:w="1500" w:type="dxa"/>
            <w:vAlign w:val="center"/>
          </w:tcPr>
          <w:p w14:paraId="766C1746"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2BC5C7ED"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5D938D5D"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6.08 ± 1.49</w:t>
            </w:r>
          </w:p>
        </w:tc>
        <w:tc>
          <w:tcPr>
            <w:tcW w:w="1155" w:type="dxa"/>
            <w:vAlign w:val="center"/>
          </w:tcPr>
          <w:p w14:paraId="00A30075"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6.28 ± 1.38</w:t>
            </w:r>
          </w:p>
        </w:tc>
      </w:tr>
      <w:tr w:rsidR="00321DF4" w:rsidRPr="00D549EC" w14:paraId="3BFC4CEF"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4627BDAC"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BPRS </w:t>
            </w:r>
            <w:proofErr w:type="spellStart"/>
            <w:r w:rsidRPr="00D549EC">
              <w:rPr>
                <w:rFonts w:ascii="Arial" w:eastAsia="Arial" w:hAnsi="Arial" w:cs="Arial"/>
                <w:color w:val="000000"/>
                <w:sz w:val="16"/>
                <w:szCs w:val="16"/>
              </w:rPr>
              <w:t>bprani</w:t>
            </w:r>
            <w:proofErr w:type="spellEnd"/>
          </w:p>
        </w:tc>
        <w:tc>
          <w:tcPr>
            <w:tcW w:w="1500" w:type="dxa"/>
            <w:vAlign w:val="center"/>
          </w:tcPr>
          <w:p w14:paraId="7DA43E58"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20F8A9CF"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7E973D24"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1.15 ± 0.68</w:t>
            </w:r>
          </w:p>
        </w:tc>
        <w:tc>
          <w:tcPr>
            <w:tcW w:w="1155" w:type="dxa"/>
            <w:vAlign w:val="center"/>
          </w:tcPr>
          <w:p w14:paraId="0B119135"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1.38 ± 1.27</w:t>
            </w:r>
          </w:p>
        </w:tc>
      </w:tr>
      <w:tr w:rsidR="00321DF4" w:rsidRPr="00D549EC" w14:paraId="3ED8C97E"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59204CE2"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BPRS </w:t>
            </w:r>
            <w:proofErr w:type="spellStart"/>
            <w:r w:rsidRPr="00D549EC">
              <w:rPr>
                <w:rFonts w:ascii="Arial" w:eastAsia="Arial" w:hAnsi="Arial" w:cs="Arial"/>
                <w:color w:val="000000"/>
                <w:sz w:val="16"/>
                <w:szCs w:val="16"/>
              </w:rPr>
              <w:t>bpract</w:t>
            </w:r>
            <w:proofErr w:type="spellEnd"/>
          </w:p>
        </w:tc>
        <w:tc>
          <w:tcPr>
            <w:tcW w:w="1500" w:type="dxa"/>
            <w:vAlign w:val="center"/>
          </w:tcPr>
          <w:p w14:paraId="47324EB2"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7001DF46"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12DF6DC1"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1.26 ± 0.83</w:t>
            </w:r>
          </w:p>
        </w:tc>
        <w:tc>
          <w:tcPr>
            <w:tcW w:w="1155" w:type="dxa"/>
            <w:vAlign w:val="center"/>
          </w:tcPr>
          <w:p w14:paraId="20823931"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1.62 ± 1.43</w:t>
            </w:r>
          </w:p>
        </w:tc>
      </w:tr>
      <w:tr w:rsidR="00321DF4" w:rsidRPr="00D549EC" w14:paraId="0712D22E"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1DB6C58F"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 xml:space="preserve">BPRS </w:t>
            </w:r>
            <w:proofErr w:type="spellStart"/>
            <w:r w:rsidRPr="00D549EC">
              <w:rPr>
                <w:rFonts w:ascii="Arial" w:eastAsia="Arial" w:hAnsi="Arial" w:cs="Arial"/>
                <w:color w:val="000000"/>
                <w:sz w:val="16"/>
                <w:szCs w:val="16"/>
              </w:rPr>
              <w:t>bprdis</w:t>
            </w:r>
            <w:proofErr w:type="spellEnd"/>
          </w:p>
        </w:tc>
        <w:tc>
          <w:tcPr>
            <w:tcW w:w="1500" w:type="dxa"/>
            <w:vAlign w:val="center"/>
          </w:tcPr>
          <w:p w14:paraId="07C5D02D"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4ACFFDED"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284D540D"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1.41 ± 1.08</w:t>
            </w:r>
          </w:p>
        </w:tc>
        <w:tc>
          <w:tcPr>
            <w:tcW w:w="1155" w:type="dxa"/>
            <w:vAlign w:val="center"/>
          </w:tcPr>
          <w:p w14:paraId="399E403A"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1.59 ± 1.41</w:t>
            </w:r>
          </w:p>
        </w:tc>
      </w:tr>
      <w:tr w:rsidR="00321DF4" w:rsidRPr="00D549EC" w14:paraId="504F0247"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7815F1C5"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SANS Total</w:t>
            </w:r>
          </w:p>
        </w:tc>
        <w:tc>
          <w:tcPr>
            <w:tcW w:w="1500" w:type="dxa"/>
            <w:vAlign w:val="center"/>
          </w:tcPr>
          <w:p w14:paraId="7CE90235"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12069DF9"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22E71088"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1.18 ± 1.45</w:t>
            </w:r>
          </w:p>
        </w:tc>
        <w:tc>
          <w:tcPr>
            <w:tcW w:w="1155" w:type="dxa"/>
            <w:vAlign w:val="center"/>
          </w:tcPr>
          <w:p w14:paraId="1571F84B"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0.6 ± 0.95</w:t>
            </w:r>
          </w:p>
        </w:tc>
      </w:tr>
      <w:tr w:rsidR="00321DF4" w:rsidRPr="00D549EC" w14:paraId="1436A177" w14:textId="77777777" w:rsidTr="00321DF4">
        <w:trPr>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02173E01"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SAPS Total</w:t>
            </w:r>
          </w:p>
        </w:tc>
        <w:tc>
          <w:tcPr>
            <w:tcW w:w="1500" w:type="dxa"/>
            <w:vAlign w:val="center"/>
          </w:tcPr>
          <w:p w14:paraId="50B26888"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6760FDC7" w14:textId="77777777" w:rsidR="00321DF4" w:rsidRPr="00D549EC" w:rsidRDefault="00321D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p>
        </w:tc>
        <w:tc>
          <w:tcPr>
            <w:tcW w:w="1170" w:type="dxa"/>
            <w:vAlign w:val="center"/>
          </w:tcPr>
          <w:p w14:paraId="0EF49A01"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3.19 ± 0.78</w:t>
            </w:r>
          </w:p>
        </w:tc>
        <w:tc>
          <w:tcPr>
            <w:tcW w:w="1155" w:type="dxa"/>
            <w:vAlign w:val="center"/>
          </w:tcPr>
          <w:p w14:paraId="58C4E29E" w14:textId="77777777" w:rsidR="00321DF4" w:rsidRPr="00D549EC"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3.33 ± 0.9</w:t>
            </w:r>
          </w:p>
        </w:tc>
      </w:tr>
      <w:tr w:rsidR="00321DF4" w:rsidRPr="00D549EC" w14:paraId="5A1997AA" w14:textId="77777777" w:rsidTr="00321D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5" w:type="dxa"/>
            <w:vAlign w:val="center"/>
          </w:tcPr>
          <w:p w14:paraId="0EDD1273" w14:textId="77777777" w:rsidR="00321DF4" w:rsidRPr="00D549EC" w:rsidRDefault="00000000">
            <w:pPr>
              <w:jc w:val="center"/>
              <w:rPr>
                <w:rFonts w:ascii="Arial" w:eastAsia="Arial" w:hAnsi="Arial" w:cs="Arial"/>
                <w:color w:val="000000"/>
                <w:sz w:val="16"/>
                <w:szCs w:val="16"/>
              </w:rPr>
            </w:pPr>
            <w:r w:rsidRPr="00D549EC">
              <w:rPr>
                <w:rFonts w:ascii="Arial" w:eastAsia="Arial" w:hAnsi="Arial" w:cs="Arial"/>
                <w:color w:val="000000"/>
                <w:sz w:val="16"/>
                <w:szCs w:val="16"/>
              </w:rPr>
              <w:t>BPRS Total</w:t>
            </w:r>
          </w:p>
        </w:tc>
        <w:tc>
          <w:tcPr>
            <w:tcW w:w="1500" w:type="dxa"/>
            <w:vAlign w:val="center"/>
          </w:tcPr>
          <w:p w14:paraId="52196C71"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p>
        </w:tc>
        <w:tc>
          <w:tcPr>
            <w:tcW w:w="1260" w:type="dxa"/>
            <w:vAlign w:val="center"/>
          </w:tcPr>
          <w:p w14:paraId="3461FA67" w14:textId="77777777" w:rsidR="00321DF4" w:rsidRPr="00D549EC" w:rsidRDefault="00321D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rPr>
            </w:pPr>
          </w:p>
        </w:tc>
        <w:tc>
          <w:tcPr>
            <w:tcW w:w="1170" w:type="dxa"/>
            <w:vAlign w:val="center"/>
          </w:tcPr>
          <w:p w14:paraId="2DD0029B"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63.62 ± 13.61</w:t>
            </w:r>
          </w:p>
        </w:tc>
        <w:tc>
          <w:tcPr>
            <w:tcW w:w="1155" w:type="dxa"/>
            <w:vAlign w:val="center"/>
          </w:tcPr>
          <w:p w14:paraId="2000CF33" w14:textId="77777777" w:rsidR="00321DF4" w:rsidRPr="00D549EC"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16"/>
                <w:szCs w:val="16"/>
              </w:rPr>
            </w:pPr>
            <w:r w:rsidRPr="00D549EC">
              <w:rPr>
                <w:rFonts w:ascii="Arial" w:eastAsia="Arial" w:hAnsi="Arial" w:cs="Arial"/>
                <w:color w:val="000000"/>
                <w:sz w:val="16"/>
                <w:szCs w:val="16"/>
              </w:rPr>
              <w:t>68.59 ± 16.84</w:t>
            </w:r>
          </w:p>
        </w:tc>
      </w:tr>
    </w:tbl>
    <w:p w14:paraId="22DC412E" w14:textId="77777777" w:rsidR="00321DF4" w:rsidRPr="00D549EC" w:rsidRDefault="00321DF4">
      <w:pPr>
        <w:rPr>
          <w:sz w:val="16"/>
          <w:szCs w:val="16"/>
        </w:rPr>
      </w:pPr>
    </w:p>
    <w:p w14:paraId="76BD552E" w14:textId="77777777" w:rsidR="00321DF4" w:rsidRPr="00D549EC" w:rsidRDefault="00000000">
      <w:pPr>
        <w:spacing w:line="240" w:lineRule="auto"/>
        <w:rPr>
          <w:rFonts w:ascii="Arial" w:eastAsia="Arial" w:hAnsi="Arial" w:cs="Arial"/>
          <w:sz w:val="24"/>
          <w:szCs w:val="24"/>
        </w:rPr>
      </w:pPr>
      <w:r w:rsidRPr="00D549EC">
        <w:rPr>
          <w:rFonts w:ascii="Arial" w:eastAsia="Arial" w:hAnsi="Arial" w:cs="Arial"/>
          <w:b/>
          <w:bCs/>
          <w:sz w:val="24"/>
          <w:szCs w:val="24"/>
        </w:rPr>
        <w:t>Table S1.</w:t>
      </w:r>
      <w:r w:rsidRPr="00D549EC">
        <w:rPr>
          <w:rFonts w:ascii="Arial" w:eastAsia="Arial" w:hAnsi="Arial" w:cs="Arial"/>
          <w:sz w:val="24"/>
          <w:szCs w:val="24"/>
        </w:rPr>
        <w:t xml:space="preserve"> Sociodemographic and clinical characteristics of participants with schizophrenia spectrum disorders (SSD) and healthy controls. Symptom values (SAPS, SANS, and BPRS) correspond to standardized scores. All data are presented as mean ± standard deviation.</w:t>
      </w:r>
    </w:p>
    <w:p w14:paraId="19C44351" w14:textId="77777777" w:rsidR="003B21C6" w:rsidRPr="00D549EC" w:rsidRDefault="003B21C6">
      <w:pPr>
        <w:spacing w:line="240" w:lineRule="auto"/>
        <w:rPr>
          <w:rFonts w:ascii="Arial" w:eastAsia="Arial" w:hAnsi="Arial" w:cs="Arial"/>
          <w:sz w:val="24"/>
          <w:szCs w:val="24"/>
        </w:rPr>
      </w:pPr>
    </w:p>
    <w:p w14:paraId="00046ECB" w14:textId="77777777" w:rsidR="003B21C6" w:rsidRPr="00D549EC" w:rsidRDefault="003B21C6">
      <w:pPr>
        <w:spacing w:line="240" w:lineRule="auto"/>
        <w:rPr>
          <w:rFonts w:ascii="Arial" w:eastAsia="Arial" w:hAnsi="Arial" w:cs="Arial"/>
          <w:sz w:val="24"/>
          <w:szCs w:val="24"/>
        </w:rPr>
      </w:pPr>
    </w:p>
    <w:p w14:paraId="4EEA5EF3" w14:textId="77777777" w:rsidR="00321DF4" w:rsidRPr="00D549EC" w:rsidRDefault="00000000">
      <w:pPr>
        <w:pStyle w:val="Ttulo2"/>
        <w:rPr>
          <w:rFonts w:ascii="Arial" w:eastAsia="Arial" w:hAnsi="Arial" w:cs="Arial"/>
          <w:color w:val="4C94D8"/>
        </w:rPr>
      </w:pPr>
      <w:bookmarkStart w:id="3" w:name="_heading=h.dn77j0e28xvp" w:colFirst="0" w:colLast="0"/>
      <w:bookmarkEnd w:id="3"/>
      <w:r w:rsidRPr="00D549EC">
        <w:rPr>
          <w:rFonts w:ascii="Arial" w:eastAsia="Arial" w:hAnsi="Arial" w:cs="Arial"/>
          <w:color w:val="4C94D8"/>
        </w:rPr>
        <w:lastRenderedPageBreak/>
        <w:t>Supplementary figures</w:t>
      </w:r>
    </w:p>
    <w:p w14:paraId="10496BFE" w14:textId="777186D7" w:rsidR="00321DF4" w:rsidRPr="00D549EC" w:rsidRDefault="0061615E">
      <w:pPr>
        <w:pStyle w:val="Ttulo2"/>
        <w:rPr>
          <w:rFonts w:ascii="Arial" w:eastAsia="Arial" w:hAnsi="Arial" w:cs="Arial"/>
          <w:b/>
          <w:bCs/>
          <w:color w:val="000000"/>
          <w:sz w:val="24"/>
          <w:szCs w:val="24"/>
        </w:rPr>
      </w:pPr>
      <w:bookmarkStart w:id="4" w:name="_heading=h.dwtf8gjqm8az" w:colFirst="0" w:colLast="0"/>
      <w:bookmarkEnd w:id="4"/>
      <w:r w:rsidRPr="00D549EC">
        <w:rPr>
          <w:rFonts w:ascii="Arial" w:eastAsia="Arial" w:hAnsi="Arial" w:cs="Arial"/>
          <w:noProof/>
          <w:sz w:val="24"/>
          <w:szCs w:val="24"/>
        </w:rPr>
        <w:drawing>
          <wp:inline distT="0" distB="0" distL="0" distR="0" wp14:anchorId="6EBE001D" wp14:editId="03621A63">
            <wp:extent cx="5543550" cy="5322691"/>
            <wp:effectExtent l="0" t="0" r="0" b="0"/>
            <wp:docPr id="21326274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5548" t="10062" r="40106" b="14152"/>
                    <a:stretch>
                      <a:fillRect/>
                    </a:stretch>
                  </pic:blipFill>
                  <pic:spPr bwMode="auto">
                    <a:xfrm>
                      <a:off x="0" y="0"/>
                      <a:ext cx="5550856" cy="5329706"/>
                    </a:xfrm>
                    <a:prstGeom prst="rect">
                      <a:avLst/>
                    </a:prstGeom>
                    <a:noFill/>
                    <a:ln>
                      <a:noFill/>
                    </a:ln>
                    <a:extLst>
                      <a:ext uri="{53640926-AAD7-44D8-BBD7-CCE9431645EC}">
                        <a14:shadowObscured xmlns:a14="http://schemas.microsoft.com/office/drawing/2010/main"/>
                      </a:ext>
                    </a:extLst>
                  </pic:spPr>
                </pic:pic>
              </a:graphicData>
            </a:graphic>
          </wp:inline>
        </w:drawing>
      </w:r>
    </w:p>
    <w:p w14:paraId="6BC0AF56" w14:textId="0C646ACE" w:rsidR="00321DF4" w:rsidRPr="00D549EC" w:rsidRDefault="00000000">
      <w:pPr>
        <w:spacing w:after="200" w:line="240" w:lineRule="auto"/>
        <w:jc w:val="both"/>
        <w:rPr>
          <w:rFonts w:ascii="Arial" w:eastAsia="Arial" w:hAnsi="Arial" w:cs="Arial"/>
          <w:color w:val="000000"/>
          <w:sz w:val="24"/>
          <w:szCs w:val="24"/>
        </w:rPr>
      </w:pPr>
      <w:r w:rsidRPr="00D549EC">
        <w:rPr>
          <w:rFonts w:ascii="Arial" w:eastAsia="Arial" w:hAnsi="Arial" w:cs="Arial"/>
          <w:b/>
          <w:bCs/>
          <w:sz w:val="24"/>
          <w:szCs w:val="24"/>
        </w:rPr>
        <w:t>Fig. S1.</w:t>
      </w:r>
      <w:r w:rsidRPr="00D549EC">
        <w:rPr>
          <w:rFonts w:ascii="Arial" w:eastAsia="Arial" w:hAnsi="Arial" w:cs="Arial"/>
          <w:sz w:val="24"/>
          <w:szCs w:val="24"/>
        </w:rPr>
        <w:t xml:space="preserve"> </w:t>
      </w:r>
      <w:r w:rsidRPr="00D549EC">
        <w:rPr>
          <w:rFonts w:ascii="Arial" w:eastAsia="Arial" w:hAnsi="Arial" w:cs="Arial"/>
          <w:color w:val="000000"/>
          <w:sz w:val="24"/>
          <w:szCs w:val="24"/>
        </w:rPr>
        <w:t xml:space="preserve">Effect sizes (T-values) </w:t>
      </w:r>
      <w:r w:rsidR="008E1E4E" w:rsidRPr="00D549EC">
        <w:rPr>
          <w:rFonts w:ascii="Arial" w:eastAsia="Arial" w:hAnsi="Arial" w:cs="Arial"/>
          <w:color w:val="000000"/>
          <w:sz w:val="24"/>
          <w:szCs w:val="24"/>
        </w:rPr>
        <w:t>obtained</w:t>
      </w:r>
      <w:r w:rsidRPr="00D549EC">
        <w:rPr>
          <w:rFonts w:ascii="Arial" w:eastAsia="Arial" w:hAnsi="Arial" w:cs="Arial"/>
          <w:color w:val="000000"/>
          <w:sz w:val="24"/>
          <w:szCs w:val="24"/>
        </w:rPr>
        <w:t xml:space="preserve"> using raw structural data</w:t>
      </w:r>
      <w:r w:rsidR="008E1E4E" w:rsidRPr="00D549EC">
        <w:rPr>
          <w:rFonts w:ascii="Arial" w:eastAsia="Arial" w:hAnsi="Arial" w:cs="Arial"/>
          <w:color w:val="000000"/>
          <w:sz w:val="24"/>
          <w:szCs w:val="24"/>
        </w:rPr>
        <w:t xml:space="preserve"> </w:t>
      </w:r>
      <w:r w:rsidRPr="00D549EC">
        <w:rPr>
          <w:rFonts w:ascii="Arial" w:eastAsia="Arial" w:hAnsi="Arial" w:cs="Arial"/>
          <w:color w:val="000000"/>
          <w:sz w:val="24"/>
          <w:szCs w:val="24"/>
        </w:rPr>
        <w:t>, reflecting the contribution of SSD diagnosis, after considering sex, age, estimated Total Intracranial Volume (</w:t>
      </w:r>
      <w:proofErr w:type="spellStart"/>
      <w:r w:rsidRPr="00D549EC">
        <w:rPr>
          <w:rFonts w:ascii="Arial" w:eastAsia="Arial" w:hAnsi="Arial" w:cs="Arial"/>
          <w:color w:val="000000"/>
          <w:sz w:val="24"/>
          <w:szCs w:val="24"/>
        </w:rPr>
        <w:t>eTIV</w:t>
      </w:r>
      <w:proofErr w:type="spellEnd"/>
      <w:r w:rsidRPr="00D549EC">
        <w:rPr>
          <w:rFonts w:ascii="Arial" w:eastAsia="Arial" w:hAnsi="Arial" w:cs="Arial"/>
          <w:color w:val="000000"/>
          <w:sz w:val="24"/>
          <w:szCs w:val="24"/>
        </w:rPr>
        <w:t xml:space="preserve">), across four structural features: (A) </w:t>
      </w:r>
      <w:r w:rsidR="0061615E" w:rsidRPr="00D549EC">
        <w:rPr>
          <w:rFonts w:ascii="Arial" w:eastAsia="Arial" w:hAnsi="Arial" w:cs="Arial"/>
          <w:color w:val="000000"/>
          <w:sz w:val="24"/>
          <w:szCs w:val="24"/>
        </w:rPr>
        <w:t xml:space="preserve">Raw </w:t>
      </w:r>
      <w:r w:rsidRPr="00D549EC">
        <w:rPr>
          <w:rFonts w:ascii="Arial" w:eastAsia="Arial" w:hAnsi="Arial" w:cs="Arial"/>
          <w:color w:val="000000"/>
          <w:sz w:val="24"/>
          <w:szCs w:val="24"/>
        </w:rPr>
        <w:t xml:space="preserve">CT , (B) </w:t>
      </w:r>
      <w:r w:rsidR="0061615E" w:rsidRPr="00D549EC">
        <w:rPr>
          <w:rFonts w:ascii="Arial" w:eastAsia="Arial" w:hAnsi="Arial" w:cs="Arial"/>
          <w:color w:val="000000"/>
          <w:sz w:val="24"/>
          <w:szCs w:val="24"/>
        </w:rPr>
        <w:t xml:space="preserve">Raw </w:t>
      </w:r>
      <w:r w:rsidRPr="00D549EC">
        <w:rPr>
          <w:rFonts w:ascii="Arial" w:eastAsia="Arial" w:hAnsi="Arial" w:cs="Arial"/>
          <w:color w:val="000000"/>
          <w:sz w:val="24"/>
          <w:szCs w:val="24"/>
        </w:rPr>
        <w:t>subcortical volume</w:t>
      </w:r>
      <w:r w:rsidR="0061615E" w:rsidRPr="00D549EC">
        <w:rPr>
          <w:rFonts w:ascii="Arial" w:eastAsia="Arial" w:hAnsi="Arial" w:cs="Arial"/>
          <w:color w:val="000000"/>
          <w:sz w:val="24"/>
          <w:szCs w:val="24"/>
        </w:rPr>
        <w:t>s</w:t>
      </w:r>
      <w:r w:rsidRPr="00D549EC">
        <w:rPr>
          <w:rFonts w:ascii="Arial" w:eastAsia="Arial" w:hAnsi="Arial" w:cs="Arial"/>
          <w:color w:val="000000"/>
          <w:sz w:val="24"/>
          <w:szCs w:val="24"/>
        </w:rPr>
        <w:t xml:space="preserve"> and (C) </w:t>
      </w:r>
      <w:r w:rsidR="0061615E" w:rsidRPr="00D549EC">
        <w:rPr>
          <w:rFonts w:ascii="Arial" w:eastAsia="Arial" w:hAnsi="Arial" w:cs="Arial"/>
          <w:color w:val="000000"/>
          <w:sz w:val="24"/>
          <w:szCs w:val="24"/>
        </w:rPr>
        <w:t xml:space="preserve">Raw </w:t>
      </w:r>
      <w:r w:rsidRPr="00D549EC">
        <w:rPr>
          <w:rFonts w:ascii="Arial" w:eastAsia="Arial" w:hAnsi="Arial" w:cs="Arial"/>
          <w:color w:val="000000"/>
          <w:sz w:val="24"/>
          <w:szCs w:val="24"/>
        </w:rPr>
        <w:t xml:space="preserve">FA tracts </w:t>
      </w:r>
      <w:r w:rsidR="004449C4" w:rsidRPr="00D549EC">
        <w:rPr>
          <w:rFonts w:ascii="Arial" w:eastAsia="Arial" w:hAnsi="Arial" w:cs="Arial"/>
          <w:color w:val="000000"/>
          <w:sz w:val="24"/>
          <w:szCs w:val="24"/>
        </w:rPr>
        <w:t>.</w:t>
      </w:r>
    </w:p>
    <w:p w14:paraId="3E33A092" w14:textId="77777777" w:rsidR="004449C4" w:rsidRPr="00D549EC" w:rsidRDefault="004449C4">
      <w:pPr>
        <w:spacing w:after="200" w:line="240" w:lineRule="auto"/>
        <w:jc w:val="both"/>
        <w:rPr>
          <w:rFonts w:ascii="Arial" w:eastAsia="Arial" w:hAnsi="Arial" w:cs="Arial"/>
          <w:color w:val="000000"/>
          <w:sz w:val="24"/>
          <w:szCs w:val="24"/>
        </w:rPr>
      </w:pPr>
    </w:p>
    <w:p w14:paraId="6B783FE4" w14:textId="63FAAB5F" w:rsidR="004449C4" w:rsidRPr="00D549EC" w:rsidRDefault="0052145C" w:rsidP="004449C4">
      <w:r w:rsidRPr="00D549EC">
        <w:rPr>
          <w:noProof/>
        </w:rPr>
        <w:lastRenderedPageBreak/>
        <w:drawing>
          <wp:anchor distT="0" distB="0" distL="114300" distR="114300" simplePos="0" relativeHeight="251659264" behindDoc="1" locked="0" layoutInCell="1" allowOverlap="1" wp14:anchorId="417EBD58" wp14:editId="340E780C">
            <wp:simplePos x="0" y="0"/>
            <wp:positionH relativeFrom="margin">
              <wp:align>left</wp:align>
            </wp:positionH>
            <wp:positionV relativeFrom="paragraph">
              <wp:posOffset>0</wp:posOffset>
            </wp:positionV>
            <wp:extent cx="5372100" cy="6652895"/>
            <wp:effectExtent l="0" t="0" r="0" b="0"/>
            <wp:wrapTight wrapText="bothSides">
              <wp:wrapPolygon edited="0">
                <wp:start x="0" y="0"/>
                <wp:lineTo x="0" y="21524"/>
                <wp:lineTo x="21523" y="21524"/>
                <wp:lineTo x="21523" y="0"/>
                <wp:lineTo x="0" y="0"/>
              </wp:wrapPolygon>
            </wp:wrapTight>
            <wp:docPr id="157440013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8156" r="5990" b="26410"/>
                    <a:stretch>
                      <a:fillRect/>
                    </a:stretch>
                  </pic:blipFill>
                  <pic:spPr bwMode="auto">
                    <a:xfrm>
                      <a:off x="0" y="0"/>
                      <a:ext cx="5372100" cy="6652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37F00E" w14:textId="792D19B5" w:rsidR="004449C4" w:rsidRPr="00D549EC" w:rsidRDefault="004449C4" w:rsidP="004449C4">
      <w:pPr>
        <w:rPr>
          <w:rFonts w:ascii="Arial" w:eastAsia="Arial" w:hAnsi="Arial" w:cs="Arial"/>
          <w:color w:val="000000"/>
          <w:sz w:val="24"/>
          <w:szCs w:val="24"/>
        </w:rPr>
      </w:pPr>
      <w:r w:rsidRPr="00D549EC">
        <w:rPr>
          <w:rFonts w:ascii="Arial" w:eastAsia="Arial" w:hAnsi="Arial" w:cs="Arial"/>
          <w:b/>
          <w:bCs/>
          <w:color w:val="000000"/>
          <w:sz w:val="24"/>
          <w:szCs w:val="24"/>
        </w:rPr>
        <w:t>Fig. S2.</w:t>
      </w:r>
      <w:r w:rsidRPr="00D549EC">
        <w:rPr>
          <w:rFonts w:ascii="Arial" w:eastAsia="Arial" w:hAnsi="Arial" w:cs="Arial"/>
          <w:color w:val="000000"/>
          <w:sz w:val="24"/>
          <w:szCs w:val="24"/>
        </w:rPr>
        <w:t xml:space="preserve"> Sensitivity analyses excluding SSD participants with prior antipsychotic exposure. The first column shows effect sizes (T-values) obtained after excluding previously medicated participants, whereas the second column shows the corresponding results from the full cohort analyses. The third column displays the Pearson correlation between the original and sensitivity analyses across regions/features. Structural measures include: (A) CT centiles, (B) subcortical volumetric centiles, (C) FA tract centiles, and (D) raw </w:t>
      </w:r>
      <w:proofErr w:type="spellStart"/>
      <w:r w:rsidRPr="00D549EC">
        <w:rPr>
          <w:rFonts w:ascii="Arial" w:eastAsia="Arial" w:hAnsi="Arial" w:cs="Arial"/>
          <w:color w:val="000000"/>
          <w:sz w:val="24"/>
          <w:szCs w:val="24"/>
        </w:rPr>
        <w:t>cMD.</w:t>
      </w:r>
      <w:proofErr w:type="spellEnd"/>
      <w:r w:rsidRPr="00D549EC">
        <w:rPr>
          <w:rFonts w:ascii="Arial" w:eastAsia="Arial" w:hAnsi="Arial" w:cs="Arial"/>
          <w:color w:val="000000"/>
          <w:sz w:val="24"/>
          <w:szCs w:val="24"/>
        </w:rPr>
        <w:t xml:space="preserve"> Colour scales range from blue (negative T-values indicating reduced structural features in SSD compared to control) to red (positive T-values indicating increased structural features in SSD compared to control). Regions that did not survive </w:t>
      </w:r>
      <w:r w:rsidRPr="00D549EC">
        <w:rPr>
          <w:rFonts w:ascii="Arial" w:eastAsia="Arial" w:hAnsi="Arial" w:cs="Arial"/>
          <w:color w:val="000000"/>
          <w:sz w:val="24"/>
          <w:szCs w:val="24"/>
        </w:rPr>
        <w:lastRenderedPageBreak/>
        <w:t>FDR correction are shown with desaturated semi-transparent shading, whereas significant regions are displayed in solid colours. Significant tracts and ventricles are shown in solid red.</w:t>
      </w:r>
    </w:p>
    <w:p w14:paraId="74B27166" w14:textId="77777777" w:rsidR="00A63995" w:rsidRPr="00D549EC" w:rsidRDefault="00A63995" w:rsidP="004449C4">
      <w:pPr>
        <w:rPr>
          <w:rFonts w:ascii="Arial" w:eastAsia="Arial" w:hAnsi="Arial" w:cs="Arial"/>
          <w:color w:val="000000"/>
          <w:sz w:val="24"/>
          <w:szCs w:val="24"/>
        </w:rPr>
      </w:pPr>
    </w:p>
    <w:p w14:paraId="52706285" w14:textId="1AA42FF1" w:rsidR="00A63995" w:rsidRPr="00D549EC" w:rsidRDefault="0052145C" w:rsidP="004449C4">
      <w:pPr>
        <w:rPr>
          <w:rFonts w:ascii="Arial" w:eastAsia="Arial" w:hAnsi="Arial" w:cs="Arial"/>
          <w:color w:val="000000"/>
          <w:sz w:val="24"/>
          <w:szCs w:val="24"/>
        </w:rPr>
      </w:pPr>
      <w:r w:rsidRPr="00D549EC">
        <w:rPr>
          <w:noProof/>
        </w:rPr>
        <w:drawing>
          <wp:anchor distT="0" distB="0" distL="114300" distR="114300" simplePos="0" relativeHeight="251658240" behindDoc="1" locked="0" layoutInCell="1" allowOverlap="1" wp14:anchorId="5DE5BF99" wp14:editId="6E2C498C">
            <wp:simplePos x="0" y="0"/>
            <wp:positionH relativeFrom="margin">
              <wp:align>right</wp:align>
            </wp:positionH>
            <wp:positionV relativeFrom="paragraph">
              <wp:posOffset>284480</wp:posOffset>
            </wp:positionV>
            <wp:extent cx="5389880" cy="6290310"/>
            <wp:effectExtent l="0" t="0" r="1270" b="0"/>
            <wp:wrapTight wrapText="bothSides">
              <wp:wrapPolygon edited="0">
                <wp:start x="0" y="0"/>
                <wp:lineTo x="0" y="21522"/>
                <wp:lineTo x="21529" y="21522"/>
                <wp:lineTo x="21529" y="0"/>
                <wp:lineTo x="0" y="0"/>
              </wp:wrapPolygon>
            </wp:wrapTight>
            <wp:docPr id="110107787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3537" r="4191" b="33548"/>
                    <a:stretch>
                      <a:fillRect/>
                    </a:stretch>
                  </pic:blipFill>
                  <pic:spPr bwMode="auto">
                    <a:xfrm>
                      <a:off x="0" y="0"/>
                      <a:ext cx="5389880" cy="6290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9BB72F" w14:textId="34F79F39" w:rsidR="00EC1080" w:rsidRPr="00D549EC" w:rsidRDefault="004449C4" w:rsidP="004449C4">
      <w:pPr>
        <w:rPr>
          <w:rFonts w:ascii="Arial" w:eastAsia="Arial" w:hAnsi="Arial" w:cs="Arial"/>
          <w:b/>
          <w:bCs/>
          <w:color w:val="000000"/>
          <w:sz w:val="24"/>
          <w:szCs w:val="24"/>
        </w:rPr>
      </w:pPr>
      <w:bookmarkStart w:id="5" w:name="_heading=h.1lgtlgdrcn8b" w:colFirst="0" w:colLast="0"/>
      <w:bookmarkEnd w:id="5"/>
      <w:r w:rsidRPr="00D549EC">
        <w:rPr>
          <w:rFonts w:ascii="Arial" w:eastAsia="Arial" w:hAnsi="Arial" w:cs="Arial"/>
          <w:b/>
          <w:bCs/>
          <w:color w:val="000000"/>
          <w:sz w:val="24"/>
          <w:szCs w:val="24"/>
        </w:rPr>
        <w:t xml:space="preserve"> </w:t>
      </w:r>
    </w:p>
    <w:p w14:paraId="5CCD8A11" w14:textId="0547C0A7" w:rsidR="00A63995" w:rsidRPr="00D549EC" w:rsidRDefault="004449C4" w:rsidP="00A63995">
      <w:pPr>
        <w:rPr>
          <w:rFonts w:ascii="Arial" w:eastAsia="Arial" w:hAnsi="Arial" w:cs="Arial"/>
          <w:color w:val="000000"/>
          <w:sz w:val="24"/>
          <w:szCs w:val="24"/>
        </w:rPr>
      </w:pPr>
      <w:r w:rsidRPr="00D549EC">
        <w:rPr>
          <w:rFonts w:ascii="Arial" w:eastAsia="Arial" w:hAnsi="Arial" w:cs="Arial"/>
          <w:b/>
          <w:bCs/>
          <w:color w:val="000000"/>
          <w:sz w:val="24"/>
          <w:szCs w:val="24"/>
        </w:rPr>
        <w:t>Fig. S3.</w:t>
      </w:r>
      <w:r w:rsidRPr="00D549EC">
        <w:rPr>
          <w:rFonts w:ascii="Arial" w:eastAsia="Arial" w:hAnsi="Arial" w:cs="Arial"/>
          <w:color w:val="000000"/>
          <w:sz w:val="24"/>
          <w:szCs w:val="24"/>
        </w:rPr>
        <w:t xml:space="preserve"> Sensitivity analyses </w:t>
      </w:r>
      <w:r w:rsidR="00D549EC">
        <w:rPr>
          <w:rFonts w:ascii="Arial" w:eastAsia="Arial" w:hAnsi="Arial" w:cs="Arial"/>
          <w:color w:val="000000"/>
          <w:sz w:val="24"/>
          <w:szCs w:val="24"/>
        </w:rPr>
        <w:t>assessing</w:t>
      </w:r>
      <w:r w:rsidRPr="00D549EC">
        <w:rPr>
          <w:rFonts w:ascii="Arial" w:eastAsia="Arial" w:hAnsi="Arial" w:cs="Arial"/>
          <w:color w:val="000000"/>
          <w:sz w:val="24"/>
          <w:szCs w:val="24"/>
        </w:rPr>
        <w:t xml:space="preserve"> the influence of </w:t>
      </w:r>
      <w:r w:rsidR="00D549EC">
        <w:rPr>
          <w:rFonts w:ascii="Arial" w:eastAsia="Arial" w:hAnsi="Arial" w:cs="Arial"/>
          <w:color w:val="000000"/>
          <w:sz w:val="24"/>
          <w:szCs w:val="24"/>
        </w:rPr>
        <w:t>diagnosis</w:t>
      </w:r>
      <w:r w:rsidRPr="00D549EC">
        <w:rPr>
          <w:rFonts w:ascii="Arial" w:eastAsia="Arial" w:hAnsi="Arial" w:cs="Arial"/>
          <w:color w:val="000000"/>
          <w:sz w:val="24"/>
          <w:szCs w:val="24"/>
        </w:rPr>
        <w:t xml:space="preserve">. The first column shows effect sizes (T-values) obtained when restricting the SSD cohort to individuals with brief psychotic disorder </w:t>
      </w:r>
      <w:r w:rsidR="00D549EC">
        <w:rPr>
          <w:rFonts w:ascii="Arial" w:eastAsia="Arial" w:hAnsi="Arial" w:cs="Arial"/>
          <w:color w:val="000000"/>
          <w:sz w:val="24"/>
          <w:szCs w:val="24"/>
        </w:rPr>
        <w:t xml:space="preserve">or </w:t>
      </w:r>
      <w:r w:rsidR="00D549EC" w:rsidRPr="00D549EC">
        <w:rPr>
          <w:rFonts w:ascii="Arial" w:eastAsia="Arial" w:hAnsi="Arial" w:cs="Arial"/>
          <w:color w:val="000000"/>
          <w:sz w:val="24"/>
          <w:szCs w:val="24"/>
        </w:rPr>
        <w:t>schizophreniform disorder</w:t>
      </w:r>
      <w:r w:rsidRPr="00D549EC">
        <w:rPr>
          <w:rFonts w:ascii="Arial" w:eastAsia="Arial" w:hAnsi="Arial" w:cs="Arial"/>
          <w:color w:val="000000"/>
          <w:sz w:val="24"/>
          <w:szCs w:val="24"/>
        </w:rPr>
        <w:t xml:space="preserve">, whereas the second column shows the corresponding results obtained </w:t>
      </w:r>
      <w:r w:rsidR="00D549EC">
        <w:rPr>
          <w:rFonts w:ascii="Arial" w:eastAsia="Arial" w:hAnsi="Arial" w:cs="Arial"/>
          <w:color w:val="000000"/>
          <w:sz w:val="24"/>
          <w:szCs w:val="24"/>
        </w:rPr>
        <w:t>for individuals with schizophrenia</w:t>
      </w:r>
      <w:r w:rsidRPr="00D549EC">
        <w:rPr>
          <w:rFonts w:ascii="Arial" w:eastAsia="Arial" w:hAnsi="Arial" w:cs="Arial"/>
          <w:color w:val="000000"/>
          <w:sz w:val="24"/>
          <w:szCs w:val="24"/>
        </w:rPr>
        <w:t xml:space="preserve">. The third column displays the Pearson </w:t>
      </w:r>
      <w:r w:rsidRPr="00D549EC">
        <w:rPr>
          <w:rFonts w:ascii="Arial" w:eastAsia="Arial" w:hAnsi="Arial" w:cs="Arial"/>
          <w:color w:val="000000"/>
          <w:sz w:val="24"/>
          <w:szCs w:val="24"/>
        </w:rPr>
        <w:lastRenderedPageBreak/>
        <w:t xml:space="preserve">correlation between </w:t>
      </w:r>
      <w:r w:rsidR="00D549EC">
        <w:rPr>
          <w:rFonts w:ascii="Arial" w:eastAsia="Arial" w:hAnsi="Arial" w:cs="Arial"/>
          <w:color w:val="000000"/>
          <w:sz w:val="24"/>
          <w:szCs w:val="24"/>
        </w:rPr>
        <w:t>effect sizes</w:t>
      </w:r>
      <w:r w:rsidRPr="00D549EC">
        <w:rPr>
          <w:rFonts w:ascii="Arial" w:eastAsia="Arial" w:hAnsi="Arial" w:cs="Arial"/>
          <w:color w:val="000000"/>
          <w:sz w:val="24"/>
          <w:szCs w:val="24"/>
        </w:rPr>
        <w:t xml:space="preserve"> across regions. Structural measures include: (A) CT centiles, (B) subcortical volumetric centiles, (C) FA tract centiles, and (D) raw </w:t>
      </w:r>
      <w:proofErr w:type="spellStart"/>
      <w:r w:rsidRPr="00D549EC">
        <w:rPr>
          <w:rFonts w:ascii="Arial" w:eastAsia="Arial" w:hAnsi="Arial" w:cs="Arial"/>
          <w:color w:val="000000"/>
          <w:sz w:val="24"/>
          <w:szCs w:val="24"/>
        </w:rPr>
        <w:t>cMD.</w:t>
      </w:r>
      <w:proofErr w:type="spellEnd"/>
      <w:r w:rsidRPr="00D549EC">
        <w:rPr>
          <w:rFonts w:ascii="Arial" w:eastAsia="Arial" w:hAnsi="Arial" w:cs="Arial"/>
          <w:color w:val="000000"/>
          <w:sz w:val="24"/>
          <w:szCs w:val="24"/>
        </w:rPr>
        <w:t xml:space="preserve"> Colour scales range from blue (negative T-values indicating reduced structural features in SSD compared to control) to red (positive T-values indicating increased structural features in SSD compared to control). Regions that did not survive FDR correction are shown with desaturated semi-transparent shading, whereas significant regions are displayed in solid colours. Significant tracts and ventricles are shown in solid red.</w:t>
      </w:r>
      <w:bookmarkStart w:id="6" w:name="_heading=h.dg6pvivzzhbb" w:colFirst="0" w:colLast="0"/>
      <w:bookmarkStart w:id="7" w:name="_heading=h.ouxbo8da9qut" w:colFirst="0" w:colLast="0"/>
      <w:bookmarkEnd w:id="6"/>
      <w:bookmarkEnd w:id="7"/>
    </w:p>
    <w:p w14:paraId="4DCA3392" w14:textId="77777777" w:rsidR="00A63995" w:rsidRPr="00D549EC" w:rsidRDefault="00A63995" w:rsidP="00A63995">
      <w:pPr>
        <w:rPr>
          <w:rFonts w:ascii="Arial" w:eastAsia="Arial" w:hAnsi="Arial" w:cs="Arial"/>
          <w:color w:val="000000"/>
          <w:sz w:val="24"/>
          <w:szCs w:val="24"/>
        </w:rPr>
      </w:pPr>
    </w:p>
    <w:p w14:paraId="05897528" w14:textId="26C827B8" w:rsidR="00A63995" w:rsidRPr="00D549EC" w:rsidRDefault="00A63995" w:rsidP="00A63995">
      <w:pPr>
        <w:rPr>
          <w:rFonts w:ascii="Arial" w:eastAsia="Arial" w:hAnsi="Arial" w:cs="Arial"/>
          <w:color w:val="000000"/>
          <w:sz w:val="24"/>
          <w:szCs w:val="24"/>
        </w:rPr>
      </w:pPr>
      <w:r w:rsidRPr="00D549EC">
        <w:rPr>
          <w:rFonts w:ascii="Arial" w:eastAsia="Arial" w:hAnsi="Arial" w:cs="Arial"/>
          <w:noProof/>
          <w:color w:val="000000"/>
          <w:sz w:val="24"/>
          <w:szCs w:val="24"/>
        </w:rPr>
        <w:drawing>
          <wp:inline distT="0" distB="0" distL="0" distR="0" wp14:anchorId="1FFE45C7" wp14:editId="1904AC60">
            <wp:extent cx="5467350" cy="3400150"/>
            <wp:effectExtent l="0" t="0" r="0" b="0"/>
            <wp:docPr id="151607278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123" t="5346" r="9364"/>
                    <a:stretch>
                      <a:fillRect/>
                    </a:stretch>
                  </pic:blipFill>
                  <pic:spPr bwMode="auto">
                    <a:xfrm>
                      <a:off x="0" y="0"/>
                      <a:ext cx="5476944" cy="3406117"/>
                    </a:xfrm>
                    <a:prstGeom prst="rect">
                      <a:avLst/>
                    </a:prstGeom>
                    <a:noFill/>
                    <a:ln>
                      <a:noFill/>
                    </a:ln>
                    <a:extLst>
                      <a:ext uri="{53640926-AAD7-44D8-BBD7-CCE9431645EC}">
                        <a14:shadowObscured xmlns:a14="http://schemas.microsoft.com/office/drawing/2010/main"/>
                      </a:ext>
                    </a:extLst>
                  </pic:spPr>
                </pic:pic>
              </a:graphicData>
            </a:graphic>
          </wp:inline>
        </w:drawing>
      </w:r>
    </w:p>
    <w:p w14:paraId="3E70CB28" w14:textId="05603C01" w:rsidR="00321DF4" w:rsidRDefault="00000000" w:rsidP="00A63995">
      <w:pPr>
        <w:rPr>
          <w:rFonts w:ascii="Arial" w:eastAsia="Arial" w:hAnsi="Arial" w:cs="Arial"/>
          <w:sz w:val="24"/>
          <w:szCs w:val="24"/>
        </w:rPr>
      </w:pPr>
      <w:r w:rsidRPr="00D549EC">
        <w:rPr>
          <w:rFonts w:ascii="Arial" w:eastAsia="Arial" w:hAnsi="Arial" w:cs="Arial"/>
          <w:b/>
          <w:bCs/>
          <w:color w:val="000000"/>
          <w:sz w:val="24"/>
          <w:szCs w:val="24"/>
        </w:rPr>
        <w:t>Fig. S</w:t>
      </w:r>
      <w:r w:rsidR="004449C4" w:rsidRPr="00D549EC">
        <w:rPr>
          <w:rFonts w:ascii="Arial" w:eastAsia="Arial" w:hAnsi="Arial" w:cs="Arial"/>
          <w:b/>
          <w:bCs/>
          <w:color w:val="000000"/>
          <w:sz w:val="24"/>
          <w:szCs w:val="24"/>
        </w:rPr>
        <w:t>4</w:t>
      </w:r>
      <w:r w:rsidRPr="00D549EC">
        <w:rPr>
          <w:rFonts w:ascii="Arial" w:eastAsia="Arial" w:hAnsi="Arial" w:cs="Arial"/>
          <w:b/>
          <w:bCs/>
          <w:color w:val="000000"/>
          <w:sz w:val="24"/>
          <w:szCs w:val="24"/>
        </w:rPr>
        <w:t>.</w:t>
      </w:r>
      <w:r w:rsidRPr="00D549EC">
        <w:rPr>
          <w:rFonts w:ascii="Arial" w:eastAsia="Arial" w:hAnsi="Arial" w:cs="Arial"/>
          <w:color w:val="000000"/>
          <w:sz w:val="24"/>
          <w:szCs w:val="24"/>
        </w:rPr>
        <w:t xml:space="preserve"> </w:t>
      </w:r>
      <w:r w:rsidR="008E1E4E" w:rsidRPr="00D549EC">
        <w:rPr>
          <w:rFonts w:ascii="Arial" w:eastAsia="Arial" w:hAnsi="Arial" w:cs="Arial"/>
          <w:color w:val="000000"/>
          <w:sz w:val="24"/>
          <w:szCs w:val="24"/>
        </w:rPr>
        <w:t>Effect sizes (T-values) showing a</w:t>
      </w:r>
      <w:r w:rsidRPr="00D549EC">
        <w:rPr>
          <w:rFonts w:ascii="Arial" w:eastAsia="Arial" w:hAnsi="Arial" w:cs="Arial"/>
          <w:color w:val="000000"/>
          <w:sz w:val="24"/>
          <w:szCs w:val="24"/>
        </w:rPr>
        <w:t>ssociations between symptom scores (BPRS, SAPS, SANS) and structural features (</w:t>
      </w:r>
      <w:r w:rsidR="00A63995" w:rsidRPr="00D549EC">
        <w:rPr>
          <w:rFonts w:ascii="Arial" w:eastAsia="Arial" w:hAnsi="Arial" w:cs="Arial"/>
          <w:color w:val="000000"/>
          <w:sz w:val="24"/>
          <w:szCs w:val="24"/>
        </w:rPr>
        <w:t xml:space="preserve">raw </w:t>
      </w:r>
      <w:r w:rsidRPr="00D549EC">
        <w:rPr>
          <w:rFonts w:ascii="Arial" w:eastAsia="Arial" w:hAnsi="Arial" w:cs="Arial"/>
          <w:color w:val="000000"/>
          <w:sz w:val="24"/>
          <w:szCs w:val="24"/>
        </w:rPr>
        <w:t xml:space="preserve">regional CT, </w:t>
      </w:r>
      <w:r w:rsidR="00A63995" w:rsidRPr="00D549EC">
        <w:rPr>
          <w:rFonts w:ascii="Arial" w:eastAsia="Arial" w:hAnsi="Arial" w:cs="Arial"/>
          <w:color w:val="000000"/>
          <w:sz w:val="24"/>
          <w:szCs w:val="24"/>
        </w:rPr>
        <w:t xml:space="preserve">raw </w:t>
      </w:r>
      <w:r w:rsidRPr="00D549EC">
        <w:rPr>
          <w:rFonts w:ascii="Arial" w:eastAsia="Arial" w:hAnsi="Arial" w:cs="Arial"/>
          <w:color w:val="000000"/>
          <w:sz w:val="24"/>
          <w:szCs w:val="24"/>
        </w:rPr>
        <w:t>subcortical volume</w:t>
      </w:r>
      <w:r w:rsidR="00A63995" w:rsidRPr="00D549EC">
        <w:rPr>
          <w:rFonts w:ascii="Arial" w:eastAsia="Arial" w:hAnsi="Arial" w:cs="Arial"/>
          <w:color w:val="000000"/>
          <w:sz w:val="24"/>
          <w:szCs w:val="24"/>
        </w:rPr>
        <w:t>s</w:t>
      </w:r>
      <w:r w:rsidRPr="00D549EC">
        <w:rPr>
          <w:rFonts w:ascii="Arial" w:eastAsia="Arial" w:hAnsi="Arial" w:cs="Arial"/>
          <w:color w:val="000000"/>
          <w:sz w:val="24"/>
          <w:szCs w:val="24"/>
        </w:rPr>
        <w:t xml:space="preserve"> and </w:t>
      </w:r>
      <w:r w:rsidR="00A63995" w:rsidRPr="00D549EC">
        <w:rPr>
          <w:rFonts w:ascii="Arial" w:eastAsia="Arial" w:hAnsi="Arial" w:cs="Arial"/>
          <w:color w:val="000000"/>
          <w:sz w:val="24"/>
          <w:szCs w:val="24"/>
        </w:rPr>
        <w:t xml:space="preserve">raw </w:t>
      </w:r>
      <w:r w:rsidRPr="00D549EC">
        <w:rPr>
          <w:rFonts w:ascii="Arial" w:eastAsia="Arial" w:hAnsi="Arial" w:cs="Arial"/>
          <w:color w:val="000000"/>
          <w:sz w:val="24"/>
          <w:szCs w:val="24"/>
        </w:rPr>
        <w:t>FA tract) using raw structural data.</w:t>
      </w:r>
    </w:p>
    <w:p w14:paraId="082E9739" w14:textId="77777777" w:rsidR="00321DF4" w:rsidRDefault="00321DF4">
      <w:pPr>
        <w:pStyle w:val="Ttulo2"/>
      </w:pPr>
      <w:bookmarkStart w:id="8" w:name="_heading=h.ei7ywejxl911" w:colFirst="0" w:colLast="0"/>
      <w:bookmarkEnd w:id="8"/>
    </w:p>
    <w:p w14:paraId="7E6C2970" w14:textId="77777777" w:rsidR="00321DF4" w:rsidRDefault="00321DF4"/>
    <w:p w14:paraId="167EB5AF" w14:textId="77777777" w:rsidR="00321DF4" w:rsidRDefault="00321DF4"/>
    <w:p w14:paraId="3970CD44" w14:textId="3D60E01A" w:rsidR="00321DF4" w:rsidRDefault="00321DF4">
      <w:pPr>
        <w:pStyle w:val="Ttulo2"/>
        <w:rPr>
          <w:rFonts w:ascii="Arial" w:eastAsia="Arial" w:hAnsi="Arial" w:cs="Arial"/>
          <w:sz w:val="24"/>
          <w:szCs w:val="24"/>
        </w:rPr>
      </w:pPr>
    </w:p>
    <w:sectPr w:rsidR="00321DF4">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54A46099-4187-4237-A4D0-69DC7280D5FE}"/>
    <w:embedBold r:id="rId2" w:fontKey="{0D68DC3D-A1F8-470C-8AA3-EE9186536656}"/>
    <w:embedItalic r:id="rId3" w:fontKey="{82DFFAAB-174A-4FD7-A105-A532B57CC81F}"/>
  </w:font>
  <w:font w:name="Play">
    <w:altName w:val="Calibri"/>
    <w:charset w:val="00"/>
    <w:family w:val="auto"/>
    <w:pitch w:val="default"/>
    <w:embedRegular r:id="rId4" w:fontKey="{DD4B9CD7-28F2-4563-A471-34574930237D}"/>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embedBold r:id="rId5" w:fontKey="{B99A5CD8-3986-44B1-BA25-93C825A049A3}"/>
  </w:font>
  <w:font w:name="Calibri">
    <w:panose1 w:val="020F0502020204030204"/>
    <w:charset w:val="00"/>
    <w:family w:val="swiss"/>
    <w:pitch w:val="variable"/>
    <w:sig w:usb0="E4002EFF" w:usb1="C200247B" w:usb2="00000009" w:usb3="00000000" w:csb0="000001FF" w:csb1="00000000"/>
    <w:embedRegular r:id="rId6" w:fontKey="{C36E11F0-524D-426A-AEE0-F671970D5444}"/>
  </w:font>
  <w:font w:name="Cambria">
    <w:panose1 w:val="02040503050406030204"/>
    <w:charset w:val="00"/>
    <w:family w:val="roman"/>
    <w:pitch w:val="variable"/>
    <w:sig w:usb0="E00006FF" w:usb1="420024FF" w:usb2="02000000" w:usb3="00000000" w:csb0="0000019F" w:csb1="00000000"/>
    <w:embedRegular r:id="rId7" w:fontKey="{7F5E1210-F1CA-49A8-A6B1-94667E54E44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inkaDocId" w:val="3241915f-afbe-45f3-b940-fd8654528195"/>
  </w:docVars>
  <w:rsids>
    <w:rsidRoot w:val="00321DF4"/>
    <w:rsid w:val="00060909"/>
    <w:rsid w:val="0014571F"/>
    <w:rsid w:val="001F0908"/>
    <w:rsid w:val="00254900"/>
    <w:rsid w:val="002C7F0D"/>
    <w:rsid w:val="00321DF4"/>
    <w:rsid w:val="003917DF"/>
    <w:rsid w:val="003B21C6"/>
    <w:rsid w:val="003E12D4"/>
    <w:rsid w:val="004449C4"/>
    <w:rsid w:val="00456D2C"/>
    <w:rsid w:val="0052145C"/>
    <w:rsid w:val="00560BD1"/>
    <w:rsid w:val="00574BFE"/>
    <w:rsid w:val="005B45AD"/>
    <w:rsid w:val="005D3BE5"/>
    <w:rsid w:val="0061615E"/>
    <w:rsid w:val="006C5535"/>
    <w:rsid w:val="006F7C80"/>
    <w:rsid w:val="007F48DF"/>
    <w:rsid w:val="0089068D"/>
    <w:rsid w:val="008E1E4E"/>
    <w:rsid w:val="00913C23"/>
    <w:rsid w:val="009866B9"/>
    <w:rsid w:val="00A63995"/>
    <w:rsid w:val="00B31F55"/>
    <w:rsid w:val="00B324AE"/>
    <w:rsid w:val="00BB1CC8"/>
    <w:rsid w:val="00BB37F9"/>
    <w:rsid w:val="00C21AA0"/>
    <w:rsid w:val="00C460F3"/>
    <w:rsid w:val="00C70523"/>
    <w:rsid w:val="00C71C99"/>
    <w:rsid w:val="00CD08CA"/>
    <w:rsid w:val="00CD592E"/>
    <w:rsid w:val="00D549EC"/>
    <w:rsid w:val="00EC1080"/>
    <w:rsid w:val="00F45445"/>
    <w:rsid w:val="00F46E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77882"/>
  <w15:docId w15:val="{F4770443-8CC9-4EB3-B078-D76BC412E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pPr>
      <w:spacing w:after="0" w:line="240" w:lineRule="auto"/>
    </w:pPr>
    <w:rPr>
      <w:color w:val="0F4761"/>
    </w:rPr>
    <w:tblPr>
      <w:tblStyleRowBandSize w:val="1"/>
      <w:tblStyleColBandSize w:val="1"/>
      <w:tblCellMar>
        <w:top w:w="0" w:type="dxa"/>
        <w:left w:w="108" w:type="dxa"/>
        <w:bottom w:w="0" w:type="dxa"/>
        <w:right w:w="108" w:type="dxa"/>
      </w:tblCellMar>
    </w:tblPr>
    <w:tblStylePr w:type="firstRow">
      <w:rPr>
        <w:b/>
        <w:bCs/>
      </w:rPr>
      <w:tblPr/>
      <w:tcPr>
        <w:tcBorders>
          <w:bottom w:val="single" w:sz="4" w:space="0" w:color="156082"/>
        </w:tcBorders>
      </w:tcPr>
    </w:tblStylePr>
    <w:tblStylePr w:type="lastRow">
      <w:rPr>
        <w:b/>
        <w:bCs/>
      </w:rPr>
      <w:tblPr/>
      <w:tcPr>
        <w:tcBorders>
          <w:top w:val="sing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paragraph" w:styleId="Subttulo">
    <w:name w:val="Subtitle"/>
    <w:basedOn w:val="Normal"/>
    <w:next w:val="Normal"/>
    <w:uiPriority w:val="11"/>
    <w:qFormat/>
    <w:rPr>
      <w:color w:val="595959"/>
      <w:sz w:val="28"/>
      <w:szCs w:val="28"/>
    </w:rPr>
  </w:style>
  <w:style w:type="table" w:customStyle="1" w:styleId="a0">
    <w:basedOn w:val="TableNormal0"/>
    <w:pPr>
      <w:spacing w:after="0" w:line="240" w:lineRule="auto"/>
    </w:pPr>
    <w:rPr>
      <w:color w:val="0F4761"/>
    </w:rPr>
    <w:tblPr>
      <w:tblStyleRowBandSize w:val="1"/>
      <w:tblStyleColBandSize w:val="1"/>
      <w:tblCellMar>
        <w:top w:w="0" w:type="dxa"/>
        <w:left w:w="108" w:type="dxa"/>
        <w:bottom w:w="0" w:type="dxa"/>
        <w:right w:w="108" w:type="dxa"/>
      </w:tblCellMar>
    </w:tblPr>
    <w:tblStylePr w:type="firstRow">
      <w:rPr>
        <w:b/>
        <w:bCs/>
      </w:rPr>
      <w:tblPr/>
      <w:tcPr>
        <w:tcBorders>
          <w:bottom w:val="single" w:sz="4" w:space="0" w:color="156082"/>
        </w:tcBorders>
      </w:tcPr>
    </w:tblStylePr>
    <w:tblStylePr w:type="lastRow">
      <w:rPr>
        <w:b/>
        <w:bCs/>
      </w:rPr>
      <w:tblPr/>
      <w:tcPr>
        <w:tcBorders>
          <w:top w:val="sing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character" w:styleId="Refdecomentario">
    <w:name w:val="annotation reference"/>
    <w:basedOn w:val="Fuentedeprrafopredeter"/>
    <w:uiPriority w:val="99"/>
    <w:semiHidden/>
    <w:unhideWhenUsed/>
    <w:rsid w:val="00BB1CC8"/>
    <w:rPr>
      <w:sz w:val="16"/>
      <w:szCs w:val="16"/>
    </w:rPr>
  </w:style>
  <w:style w:type="paragraph" w:styleId="Textocomentario">
    <w:name w:val="annotation text"/>
    <w:basedOn w:val="Normal"/>
    <w:link w:val="TextocomentarioCar"/>
    <w:uiPriority w:val="99"/>
    <w:unhideWhenUsed/>
    <w:rsid w:val="00BB1CC8"/>
    <w:pPr>
      <w:spacing w:line="240" w:lineRule="auto"/>
    </w:pPr>
    <w:rPr>
      <w:sz w:val="20"/>
      <w:szCs w:val="20"/>
    </w:rPr>
  </w:style>
  <w:style w:type="character" w:customStyle="1" w:styleId="TextocomentarioCar">
    <w:name w:val="Texto comentario Car"/>
    <w:basedOn w:val="Fuentedeprrafopredeter"/>
    <w:link w:val="Textocomentario"/>
    <w:uiPriority w:val="99"/>
    <w:rsid w:val="00BB1CC8"/>
    <w:rPr>
      <w:sz w:val="20"/>
      <w:szCs w:val="20"/>
    </w:rPr>
  </w:style>
  <w:style w:type="paragraph" w:styleId="Asuntodelcomentario">
    <w:name w:val="annotation subject"/>
    <w:basedOn w:val="Textocomentario"/>
    <w:next w:val="Textocomentario"/>
    <w:link w:val="AsuntodelcomentarioCar"/>
    <w:uiPriority w:val="99"/>
    <w:semiHidden/>
    <w:unhideWhenUsed/>
    <w:rsid w:val="00BB1CC8"/>
    <w:rPr>
      <w:b/>
      <w:bCs/>
    </w:rPr>
  </w:style>
  <w:style w:type="character" w:customStyle="1" w:styleId="AsuntodelcomentarioCar">
    <w:name w:val="Asunto del comentario Car"/>
    <w:basedOn w:val="TextocomentarioCar"/>
    <w:link w:val="Asuntodelcomentario"/>
    <w:uiPriority w:val="99"/>
    <w:semiHidden/>
    <w:rsid w:val="00BB1CC8"/>
    <w:rPr>
      <w:b/>
      <w:bCs/>
      <w:sz w:val="20"/>
      <w:szCs w:val="20"/>
    </w:rPr>
  </w:style>
  <w:style w:type="paragraph" w:styleId="Revisin">
    <w:name w:val="Revision"/>
    <w:hidden/>
    <w:uiPriority w:val="99"/>
    <w:semiHidden/>
    <w:rsid w:val="006F7C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oX31ZZT8aatl3LGEd2mkWZKTA==">CgMxLjAyDmguaTEyZjR0bWs0ZTEwMg5oLnhsazZjb3g1NWJ1cjIOaC5mbjhodnc2bGZkbnkyDmguZG43N2owZTI4eHZwMg5oLmR3dGY4Z2pxbThhejIOaC5kZzZwdml2enpoYmIyDmgub3V4Ym84ZGE5cXV0Mg5oLmVpN3l3ZWp4bDkxMTIOaC4xbGd0bGdkcmNuOGI4AHIhMS0yU0N5bXVDVlk3NnRIUk9FVjJSZFduVUlfc3VOYmNH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8</Pages>
  <Words>1380</Words>
  <Characters>7871</Characters>
  <Application>Microsoft Office Word</Application>
  <DocSecurity>0</DocSecurity>
  <Lines>65</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CLAUDIO ALEMAN MORILLO</cp:lastModifiedBy>
  <cp:revision>12</cp:revision>
  <dcterms:created xsi:type="dcterms:W3CDTF">2026-05-26T10:02:00Z</dcterms:created>
  <dcterms:modified xsi:type="dcterms:W3CDTF">2026-06-25T08:02:00Z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id="VnryU8pP"/&gt;&lt;style id="http://www.zotero.org/styles/molecular-psychiatry" hasBibliography="1" bibliographyStyleHasBeenSet="0"/&gt;&lt;prefs&gt;&lt;pref name="fieldType" value="Field"/&gt;&lt;/prefs&gt;&lt;/data&gt;</vt:lpwstr>
  </property>
</Properties>
</file>