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A606C">
      <w:pPr>
        <w:spacing w:before="0" w:after="80"/>
        <w:jc w:val="center"/>
      </w:pPr>
      <w:r>
        <w:rPr>
          <w:rFonts w:ascii="Times New Roman" w:hAnsi="Times New Roman" w:eastAsia="Times New Roman"/>
          <w:b/>
          <w:i w:val="0"/>
          <w:sz w:val="32"/>
        </w:rPr>
        <w:t>Supplementary Information</w:t>
      </w:r>
    </w:p>
    <w:p w14:paraId="3DFDD03C">
      <w:pPr>
        <w:spacing w:before="0" w:after="80"/>
        <w:jc w:val="center"/>
      </w:pPr>
      <w:r>
        <w:rPr>
          <w:rFonts w:ascii="Times New Roman" w:hAnsi="Times New Roman" w:eastAsia="Times New Roman"/>
          <w:b/>
          <w:i w:val="0"/>
          <w:sz w:val="22"/>
        </w:rPr>
        <w:t>Comparative Efficacy of Non-pharmacological Interventions on Executive Function and Attentional Control in Children and Adolescents with ADHD: A Bayesian Network Meta-analysis Based on Task-based Cognitive Outcomes</w:t>
      </w:r>
    </w:p>
    <w:p w14:paraId="4A975DAE">
      <w:pPr>
        <w:spacing w:before="0" w:after="80"/>
        <w:jc w:val="center"/>
      </w:pPr>
      <w:r>
        <w:rPr>
          <w:rFonts w:ascii="Times New Roman" w:hAnsi="Times New Roman" w:eastAsia="Times New Roman"/>
          <w:b w:val="0"/>
          <w:i w:val="0"/>
          <w:sz w:val="20"/>
        </w:rPr>
        <w:t>Zifan You, Ruotong Han, Yanan Du, and Aihua Cao</w:t>
      </w:r>
    </w:p>
    <w:p w14:paraId="2704A239">
      <w:pPr>
        <w:rPr>
          <w:rFonts w:ascii="Times New Roman" w:hAnsi="Times New Roman" w:eastAsia="Times New Roman" w:cs="Times New Roman"/>
          <w:b/>
          <w:bCs/>
          <w:color w:val="000000"/>
          <w:sz w:val="20"/>
        </w:rPr>
      </w:pPr>
    </w:p>
    <w:p w14:paraId="07D0F374">
      <w:pPr>
        <w:rPr>
          <w:rFonts w:hint="eastAsia" w:ascii="Times New Roman" w:hAnsi="Times New Roman" w:eastAsia="Times New Roman" w:cs="Times New Roman"/>
          <w:b/>
          <w:bCs/>
          <w:color w:val="000000"/>
          <w:sz w:val="20"/>
        </w:rPr>
      </w:pPr>
      <w:r>
        <w:rPr>
          <w:rFonts w:hint="eastAsia" w:ascii="Times New Roman" w:hAnsi="Times New Roman" w:eastAsia="Times New Roman" w:cs="Times New Roman"/>
          <w:b/>
          <w:bCs/>
          <w:color w:val="000000"/>
          <w:sz w:val="20"/>
        </w:rPr>
        <w:t>Supplementary Methods</w:t>
      </w:r>
    </w:p>
    <w:p w14:paraId="0A81236C">
      <w:pPr>
        <w:rPr>
          <w:rFonts w:hint="eastAsia" w:ascii="Times New Roman" w:hAnsi="Times New Roman" w:cs="Times New Roman"/>
          <w:b/>
          <w:bCs/>
        </w:rPr>
      </w:pPr>
      <w:r>
        <w:rPr>
          <w:rFonts w:hint="eastAsia" w:ascii="Times New Roman" w:hAnsi="Times New Roman" w:eastAsia="Times New Roman" w:cs="Times New Roman"/>
          <w:b/>
          <w:bCs/>
          <w:color w:val="000000"/>
          <w:sz w:val="20"/>
        </w:rPr>
        <w:t>Section 1. Standardized data extraction fields and data dictionary</w:t>
      </w:r>
    </w:p>
    <w:p w14:paraId="285CC2A1">
      <w:pPr>
        <w:spacing w:after="120"/>
        <w:rPr>
          <w:rFonts w:ascii="Times New Roman" w:hAnsi="Times New Roman" w:cs="Times New Roman"/>
        </w:rPr>
      </w:pPr>
      <w:r>
        <w:rPr>
          <w:rFonts w:ascii="Times New Roman" w:hAnsi="Times New Roman" w:eastAsia="Times New Roman"/>
          <w:color w:val="000000"/>
          <w:sz w:val="20"/>
        </w:rPr>
        <w:t>This supplementary file provides the standardized extraction fields used for arm-level data collection and effect-size computation, together with a concise data dictionary. Example rows are shown for illustration. When required information was missing or unclear, we attempted to contact study authors for clarification. No automation tools were used in the data extraction process.</w:t>
      </w:r>
    </w:p>
    <w:p w14:paraId="09A37288">
      <w:pPr>
        <w:spacing w:after="120"/>
        <w:rPr>
          <w:rFonts w:ascii="Times New Roman" w:hAnsi="Times New Roman" w:cs="Times New Roman"/>
          <w:b/>
          <w:bCs/>
        </w:rPr>
      </w:pPr>
      <w:r>
        <w:rPr>
          <w:rFonts w:ascii="Times New Roman" w:hAnsi="Times New Roman" w:eastAsia="Times New Roman" w:cs="Times New Roman"/>
          <w:b/>
          <w:bCs/>
          <w:color w:val="000000"/>
          <w:sz w:val="20"/>
        </w:rPr>
        <w:t>A. Data extraction form (template)</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9922"/>
      </w:tblGrid>
      <w:tr w14:paraId="3B54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single" w:color="000000" w:sz="12" w:space="0"/>
              <w:left w:val="nil"/>
              <w:bottom w:val="single" w:color="000000" w:sz="8" w:space="0"/>
              <w:right w:val="nil"/>
              <w:insideH w:val="nil"/>
              <w:insideV w:val="nil"/>
            </w:tcBorders>
          </w:tcPr>
          <w:p w14:paraId="5E6D8F4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b/>
                <w:color w:val="000000"/>
                <w:kern w:val="0"/>
                <w:sz w:val="17"/>
                <w:szCs w:val="22"/>
                <w:lang w:eastAsia="en-US"/>
                <w14:ligatures w14:val="none"/>
              </w:rPr>
              <w:t>Field</w:t>
            </w:r>
          </w:p>
        </w:tc>
        <w:tc>
          <w:tcPr>
            <w:tcW w:w="9922" w:type="dxa"/>
            <w:tcBorders>
              <w:top w:val="single" w:color="000000" w:sz="12" w:space="0"/>
              <w:left w:val="nil"/>
              <w:bottom w:val="single" w:color="000000" w:sz="8" w:space="0"/>
              <w:right w:val="nil"/>
              <w:insideH w:val="nil"/>
              <w:insideV w:val="nil"/>
            </w:tcBorders>
          </w:tcPr>
          <w:p w14:paraId="2C1EF97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b/>
                <w:color w:val="000000"/>
                <w:kern w:val="0"/>
                <w:sz w:val="17"/>
                <w:szCs w:val="22"/>
                <w:lang w:eastAsia="en-US"/>
                <w14:ligatures w14:val="none"/>
              </w:rPr>
              <w:t>Brief description</w:t>
            </w:r>
          </w:p>
        </w:tc>
      </w:tr>
      <w:tr w14:paraId="40FF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37FFE26C">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ID</w:t>
            </w:r>
          </w:p>
        </w:tc>
        <w:tc>
          <w:tcPr>
            <w:tcW w:w="9922" w:type="dxa"/>
            <w:tcBorders>
              <w:top w:val="nil"/>
              <w:left w:val="nil"/>
              <w:bottom w:val="nil"/>
              <w:right w:val="nil"/>
              <w:insideH w:val="nil"/>
              <w:insideV w:val="nil"/>
            </w:tcBorders>
          </w:tcPr>
          <w:p w14:paraId="6E9E110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Study identifier (unique within the extraction database). Use a consistent ID for multi-publication trials.</w:t>
            </w:r>
          </w:p>
        </w:tc>
      </w:tr>
      <w:tr w14:paraId="7447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29C66E38">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Arm_ID_Exp</w:t>
            </w:r>
          </w:p>
        </w:tc>
        <w:tc>
          <w:tcPr>
            <w:tcW w:w="9922" w:type="dxa"/>
            <w:tcBorders>
              <w:top w:val="nil"/>
              <w:left w:val="nil"/>
              <w:bottom w:val="nil"/>
              <w:right w:val="nil"/>
              <w:insideH w:val="nil"/>
              <w:insideV w:val="nil"/>
            </w:tcBorders>
          </w:tcPr>
          <w:p w14:paraId="3C7F21F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identifier within a study (links to trial arms).</w:t>
            </w:r>
          </w:p>
        </w:tc>
      </w:tr>
      <w:tr w14:paraId="6CE6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6C75B558">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Arm_ID_Ctrl</w:t>
            </w:r>
          </w:p>
        </w:tc>
        <w:tc>
          <w:tcPr>
            <w:tcW w:w="9922" w:type="dxa"/>
            <w:tcBorders>
              <w:top w:val="nil"/>
              <w:left w:val="nil"/>
              <w:bottom w:val="nil"/>
              <w:right w:val="nil"/>
              <w:insideH w:val="nil"/>
              <w:insideV w:val="nil"/>
            </w:tcBorders>
          </w:tcPr>
          <w:p w14:paraId="7ABAD76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Comparator/control arm identifier within a study.</w:t>
            </w:r>
          </w:p>
        </w:tc>
      </w:tr>
      <w:tr w14:paraId="6EF0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53E1F9F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Study_design</w:t>
            </w:r>
          </w:p>
        </w:tc>
        <w:tc>
          <w:tcPr>
            <w:tcW w:w="9922" w:type="dxa"/>
            <w:tcBorders>
              <w:top w:val="nil"/>
              <w:left w:val="nil"/>
              <w:bottom w:val="nil"/>
              <w:right w:val="nil"/>
              <w:insideH w:val="nil"/>
              <w:insideV w:val="nil"/>
            </w:tcBorders>
          </w:tcPr>
          <w:p w14:paraId="1F3FD58C">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Randomized trial design type.</w:t>
            </w:r>
          </w:p>
        </w:tc>
      </w:tr>
      <w:tr w14:paraId="2AC0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C3B346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Node_EXP</w:t>
            </w:r>
          </w:p>
        </w:tc>
        <w:tc>
          <w:tcPr>
            <w:tcW w:w="9922" w:type="dxa"/>
            <w:tcBorders>
              <w:top w:val="nil"/>
              <w:left w:val="nil"/>
              <w:bottom w:val="nil"/>
              <w:right w:val="nil"/>
              <w:insideH w:val="nil"/>
              <w:insideV w:val="nil"/>
            </w:tcBorders>
          </w:tcPr>
          <w:p w14:paraId="56558AF6">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Intervention node assigned to the experimental arm for the NMA.</w:t>
            </w:r>
          </w:p>
        </w:tc>
      </w:tr>
      <w:tr w14:paraId="2D46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4561E085">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Node_CTRL</w:t>
            </w:r>
          </w:p>
        </w:tc>
        <w:tc>
          <w:tcPr>
            <w:tcW w:w="9922" w:type="dxa"/>
            <w:tcBorders>
              <w:top w:val="nil"/>
              <w:left w:val="nil"/>
              <w:bottom w:val="nil"/>
              <w:right w:val="nil"/>
              <w:insideH w:val="nil"/>
              <w:insideV w:val="nil"/>
            </w:tcBorders>
          </w:tcPr>
          <w:p w14:paraId="56EF16B2">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Comparator node assigned to the control arm.</w:t>
            </w:r>
          </w:p>
        </w:tc>
      </w:tr>
      <w:tr w14:paraId="2358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8023BC2">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Outcome_name</w:t>
            </w:r>
          </w:p>
        </w:tc>
        <w:tc>
          <w:tcPr>
            <w:tcW w:w="9922" w:type="dxa"/>
            <w:tcBorders>
              <w:top w:val="nil"/>
              <w:left w:val="nil"/>
              <w:bottom w:val="nil"/>
              <w:right w:val="nil"/>
              <w:insideH w:val="nil"/>
              <w:insideV w:val="nil"/>
            </w:tcBorders>
          </w:tcPr>
          <w:p w14:paraId="58BB452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Outcome label as reported (task/measure name).</w:t>
            </w:r>
          </w:p>
        </w:tc>
      </w:tr>
      <w:tr w14:paraId="73AE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85E9CD7">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Metric</w:t>
            </w:r>
          </w:p>
        </w:tc>
        <w:tc>
          <w:tcPr>
            <w:tcW w:w="9922" w:type="dxa"/>
            <w:tcBorders>
              <w:top w:val="nil"/>
              <w:left w:val="nil"/>
              <w:bottom w:val="nil"/>
              <w:right w:val="nil"/>
              <w:insideH w:val="nil"/>
              <w:insideV w:val="nil"/>
            </w:tcBorders>
          </w:tcPr>
          <w:p w14:paraId="30B3902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Outcome metric or unit.</w:t>
            </w:r>
          </w:p>
        </w:tc>
      </w:tr>
      <w:tr w14:paraId="49E2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5AF9EB1">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Primary_Domain</w:t>
            </w:r>
          </w:p>
        </w:tc>
        <w:tc>
          <w:tcPr>
            <w:tcW w:w="9922" w:type="dxa"/>
            <w:tcBorders>
              <w:top w:val="nil"/>
              <w:left w:val="nil"/>
              <w:bottom w:val="nil"/>
              <w:right w:val="nil"/>
              <w:insideH w:val="nil"/>
              <w:insideV w:val="nil"/>
            </w:tcBorders>
          </w:tcPr>
          <w:p w14:paraId="3D679596">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Cognitive domain mapping for domain-specific networks.</w:t>
            </w:r>
          </w:p>
        </w:tc>
      </w:tr>
      <w:tr w14:paraId="7224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1037A9F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Scale_direction (↑=better/↓=better)</w:t>
            </w:r>
          </w:p>
        </w:tc>
        <w:tc>
          <w:tcPr>
            <w:tcW w:w="9922" w:type="dxa"/>
            <w:tcBorders>
              <w:top w:val="nil"/>
              <w:left w:val="nil"/>
              <w:bottom w:val="nil"/>
              <w:right w:val="nil"/>
              <w:insideH w:val="nil"/>
              <w:insideV w:val="nil"/>
            </w:tcBorders>
          </w:tcPr>
          <w:p w14:paraId="428136E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Indicates whether higher or lower values reflect better performance (used for direction harmonization).</w:t>
            </w:r>
          </w:p>
        </w:tc>
      </w:tr>
      <w:tr w14:paraId="3FF0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798F78F5">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Exp_post_M</w:t>
            </w:r>
          </w:p>
        </w:tc>
        <w:tc>
          <w:tcPr>
            <w:tcW w:w="9922" w:type="dxa"/>
            <w:tcBorders>
              <w:top w:val="nil"/>
              <w:left w:val="nil"/>
              <w:bottom w:val="nil"/>
              <w:right w:val="nil"/>
              <w:insideH w:val="nil"/>
              <w:insideV w:val="nil"/>
            </w:tcBorders>
          </w:tcPr>
          <w:p w14:paraId="10203DD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mean at the selected post-intervention time point (primary endpoint window).</w:t>
            </w:r>
          </w:p>
        </w:tc>
      </w:tr>
      <w:tr w14:paraId="453C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B6AC7B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Exp_post_SD</w:t>
            </w:r>
          </w:p>
        </w:tc>
        <w:tc>
          <w:tcPr>
            <w:tcW w:w="9922" w:type="dxa"/>
            <w:tcBorders>
              <w:top w:val="nil"/>
              <w:left w:val="nil"/>
              <w:bottom w:val="nil"/>
              <w:right w:val="nil"/>
              <w:insideH w:val="nil"/>
              <w:insideV w:val="nil"/>
            </w:tcBorders>
          </w:tcPr>
          <w:p w14:paraId="1A7CEA7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Standard deviation corresponding to Exp_post_M.</w:t>
            </w:r>
          </w:p>
        </w:tc>
      </w:tr>
      <w:tr w14:paraId="3168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3A6A6A25">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Exp_post_n</w:t>
            </w:r>
          </w:p>
        </w:tc>
        <w:tc>
          <w:tcPr>
            <w:tcW w:w="9922" w:type="dxa"/>
            <w:tcBorders>
              <w:top w:val="nil"/>
              <w:left w:val="nil"/>
              <w:bottom w:val="nil"/>
              <w:right w:val="nil"/>
              <w:insideH w:val="nil"/>
              <w:insideV w:val="nil"/>
            </w:tcBorders>
          </w:tcPr>
          <w:p w14:paraId="1F76F37F">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Sample size analyzed for Exp_post_M/SD.</w:t>
            </w:r>
          </w:p>
        </w:tc>
      </w:tr>
      <w:tr w14:paraId="2CDE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07DB896">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Ctrl_post_M</w:t>
            </w:r>
          </w:p>
        </w:tc>
        <w:tc>
          <w:tcPr>
            <w:tcW w:w="9922" w:type="dxa"/>
            <w:tcBorders>
              <w:top w:val="nil"/>
              <w:left w:val="nil"/>
              <w:bottom w:val="nil"/>
              <w:right w:val="nil"/>
              <w:insideH w:val="nil"/>
              <w:insideV w:val="nil"/>
            </w:tcBorders>
          </w:tcPr>
          <w:p w14:paraId="721F110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mean at the selected post-intervention time point.</w:t>
            </w:r>
          </w:p>
        </w:tc>
      </w:tr>
      <w:tr w14:paraId="6D67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645597F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Ctrl_post_SD</w:t>
            </w:r>
          </w:p>
        </w:tc>
        <w:tc>
          <w:tcPr>
            <w:tcW w:w="9922" w:type="dxa"/>
            <w:tcBorders>
              <w:top w:val="nil"/>
              <w:left w:val="nil"/>
              <w:bottom w:val="nil"/>
              <w:right w:val="nil"/>
              <w:insideH w:val="nil"/>
              <w:insideV w:val="nil"/>
            </w:tcBorders>
          </w:tcPr>
          <w:p w14:paraId="42B3238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Standard deviation corresponding to Ctrl_post_M.</w:t>
            </w:r>
          </w:p>
        </w:tc>
      </w:tr>
      <w:tr w14:paraId="6FE7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2A0D88FB">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Ctrl_post_n</w:t>
            </w:r>
          </w:p>
        </w:tc>
        <w:tc>
          <w:tcPr>
            <w:tcW w:w="9922" w:type="dxa"/>
            <w:tcBorders>
              <w:top w:val="nil"/>
              <w:left w:val="nil"/>
              <w:bottom w:val="nil"/>
              <w:right w:val="nil"/>
              <w:insideH w:val="nil"/>
              <w:insideV w:val="nil"/>
            </w:tcBorders>
          </w:tcPr>
          <w:p w14:paraId="644CC326">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Sample size analyzed for Ctrl_post_M/SD.</w:t>
            </w:r>
          </w:p>
        </w:tc>
      </w:tr>
      <w:tr w14:paraId="42DB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1BFF374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Effect_size</w:t>
            </w:r>
          </w:p>
        </w:tc>
        <w:tc>
          <w:tcPr>
            <w:tcW w:w="9922" w:type="dxa"/>
            <w:tcBorders>
              <w:top w:val="nil"/>
              <w:left w:val="nil"/>
              <w:bottom w:val="nil"/>
              <w:right w:val="nil"/>
              <w:insideH w:val="nil"/>
              <w:insideV w:val="nil"/>
            </w:tcBorders>
          </w:tcPr>
          <w:p w14:paraId="28F7BB5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Computed standardized mean difference (Hedges' g) for Exp vs Ctrl after direction harmonization (optional to compute at extraction stage).</w:t>
            </w:r>
          </w:p>
        </w:tc>
      </w:tr>
      <w:tr w14:paraId="39EA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2100642">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Var</w:t>
            </w:r>
          </w:p>
        </w:tc>
        <w:tc>
          <w:tcPr>
            <w:tcW w:w="9922" w:type="dxa"/>
            <w:tcBorders>
              <w:top w:val="nil"/>
              <w:left w:val="nil"/>
              <w:bottom w:val="nil"/>
              <w:right w:val="nil"/>
              <w:insideH w:val="nil"/>
              <w:insideV w:val="nil"/>
            </w:tcBorders>
          </w:tcPr>
          <w:p w14:paraId="3BCCC69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Variance of the effect size (optional to compute at extraction stage).</w:t>
            </w:r>
          </w:p>
        </w:tc>
      </w:tr>
      <w:tr w14:paraId="4050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030E8452">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Exp_pre_M</w:t>
            </w:r>
          </w:p>
        </w:tc>
        <w:tc>
          <w:tcPr>
            <w:tcW w:w="9922" w:type="dxa"/>
            <w:tcBorders>
              <w:top w:val="nil"/>
              <w:left w:val="nil"/>
              <w:bottom w:val="nil"/>
              <w:right w:val="nil"/>
              <w:insideH w:val="nil"/>
              <w:insideV w:val="nil"/>
            </w:tcBorders>
          </w:tcPr>
          <w:p w14:paraId="5EF6E23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baseline (pre-intervention) mean (if reported).</w:t>
            </w:r>
          </w:p>
        </w:tc>
      </w:tr>
      <w:tr w14:paraId="37A9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764A223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Exp_pre_SD</w:t>
            </w:r>
          </w:p>
        </w:tc>
        <w:tc>
          <w:tcPr>
            <w:tcW w:w="9922" w:type="dxa"/>
            <w:tcBorders>
              <w:top w:val="nil"/>
              <w:left w:val="nil"/>
              <w:bottom w:val="nil"/>
              <w:right w:val="nil"/>
              <w:insideH w:val="nil"/>
              <w:insideV w:val="nil"/>
            </w:tcBorders>
          </w:tcPr>
          <w:p w14:paraId="1510917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baseline SD (if reported).</w:t>
            </w:r>
          </w:p>
        </w:tc>
      </w:tr>
      <w:tr w14:paraId="4892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7D9EA6C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Exp_pre_n</w:t>
            </w:r>
          </w:p>
        </w:tc>
        <w:tc>
          <w:tcPr>
            <w:tcW w:w="9922" w:type="dxa"/>
            <w:tcBorders>
              <w:top w:val="nil"/>
              <w:left w:val="nil"/>
              <w:bottom w:val="nil"/>
              <w:right w:val="nil"/>
              <w:insideH w:val="nil"/>
              <w:insideV w:val="nil"/>
            </w:tcBorders>
          </w:tcPr>
          <w:p w14:paraId="4A7012E7">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baseline sample size (if reported).</w:t>
            </w:r>
          </w:p>
        </w:tc>
      </w:tr>
      <w:tr w14:paraId="7CDC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25C470DB">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Ctrl_pre_M</w:t>
            </w:r>
          </w:p>
        </w:tc>
        <w:tc>
          <w:tcPr>
            <w:tcW w:w="9922" w:type="dxa"/>
            <w:tcBorders>
              <w:top w:val="nil"/>
              <w:left w:val="nil"/>
              <w:bottom w:val="nil"/>
              <w:right w:val="nil"/>
              <w:insideH w:val="nil"/>
              <w:insideV w:val="nil"/>
            </w:tcBorders>
          </w:tcPr>
          <w:p w14:paraId="7C2A466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baseline mean (if reported).</w:t>
            </w:r>
          </w:p>
        </w:tc>
      </w:tr>
      <w:tr w14:paraId="5613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nil"/>
              <w:right w:val="nil"/>
              <w:insideH w:val="nil"/>
              <w:insideV w:val="nil"/>
            </w:tcBorders>
          </w:tcPr>
          <w:p w14:paraId="2AA6CCB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Ctrl_pre_SD</w:t>
            </w:r>
          </w:p>
        </w:tc>
        <w:tc>
          <w:tcPr>
            <w:tcW w:w="9922" w:type="dxa"/>
            <w:tcBorders>
              <w:top w:val="nil"/>
              <w:left w:val="nil"/>
              <w:bottom w:val="nil"/>
              <w:right w:val="nil"/>
              <w:insideH w:val="nil"/>
              <w:insideV w:val="nil"/>
            </w:tcBorders>
          </w:tcPr>
          <w:p w14:paraId="5C08BBA2">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baseline SD (if reported).</w:t>
            </w:r>
          </w:p>
        </w:tc>
      </w:tr>
      <w:tr w14:paraId="22E6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1" w:type="dxa"/>
            <w:tcBorders>
              <w:top w:val="nil"/>
              <w:left w:val="nil"/>
              <w:bottom w:val="single" w:color="000000" w:sz="12" w:space="0"/>
              <w:right w:val="nil"/>
              <w:insideH w:val="nil"/>
              <w:insideV w:val="nil"/>
            </w:tcBorders>
          </w:tcPr>
          <w:p w14:paraId="360B56E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Ctrl_pre_n</w:t>
            </w:r>
          </w:p>
        </w:tc>
        <w:tc>
          <w:tcPr>
            <w:tcW w:w="9922" w:type="dxa"/>
            <w:tcBorders>
              <w:top w:val="nil"/>
              <w:left w:val="nil"/>
              <w:bottom w:val="single" w:color="000000" w:sz="12" w:space="0"/>
              <w:right w:val="nil"/>
              <w:insideH w:val="nil"/>
              <w:insideV w:val="nil"/>
            </w:tcBorders>
          </w:tcPr>
          <w:p w14:paraId="6C12A8E6">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baseline sample size (if reported).</w:t>
            </w:r>
          </w:p>
        </w:tc>
      </w:tr>
    </w:tbl>
    <w:p w14:paraId="7B36BB78">
      <w:pPr>
        <w:rPr>
          <w:rFonts w:ascii="Times New Roman" w:hAnsi="Times New Roman" w:cs="Times New Roman"/>
        </w:rPr>
      </w:pPr>
    </w:p>
    <w:p w14:paraId="7DC2DA3C">
      <w:pPr>
        <w:pStyle w:val="3"/>
        <w:rPr>
          <w:rFonts w:ascii="Times New Roman" w:hAnsi="Times New Roman" w:cs="Times New Roman" w:eastAsiaTheme="minorEastAsia"/>
          <w:b/>
          <w:bCs/>
          <w:color w:val="auto"/>
          <w:sz w:val="22"/>
          <w:szCs w:val="24"/>
        </w:rPr>
      </w:pPr>
      <w:r>
        <w:rPr>
          <w:rFonts w:ascii="Times New Roman" w:hAnsi="Times New Roman" w:cs="Times New Roman" w:eastAsiaTheme="minorEastAsia"/>
          <w:b/>
          <w:bCs/>
          <w:color w:val="000000"/>
          <w:sz w:val="20"/>
          <w:szCs w:val="24"/>
        </w:rPr>
        <w:t>B. Data dictionary (full)</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4"/>
        <w:gridCol w:w="4905"/>
        <w:gridCol w:w="5387"/>
        <w:gridCol w:w="1417"/>
      </w:tblGrid>
      <w:tr w14:paraId="6231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single" w:color="000000" w:sz="12" w:space="0"/>
              <w:left w:val="nil"/>
              <w:bottom w:val="single" w:color="000000" w:sz="8" w:space="0"/>
              <w:right w:val="nil"/>
              <w:insideH w:val="nil"/>
              <w:insideV w:val="nil"/>
            </w:tcBorders>
          </w:tcPr>
          <w:p w14:paraId="373B2283">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b/>
                <w:color w:val="000000"/>
                <w:kern w:val="2"/>
                <w:sz w:val="17"/>
                <w:szCs w:val="24"/>
                <w:lang w:eastAsia="zh-CN"/>
                <w14:ligatures w14:val="standardContextual"/>
              </w:rPr>
              <w:t>Field</w:t>
            </w:r>
          </w:p>
        </w:tc>
        <w:tc>
          <w:tcPr>
            <w:tcW w:w="4905" w:type="dxa"/>
            <w:tcBorders>
              <w:top w:val="single" w:color="000000" w:sz="12" w:space="0"/>
              <w:left w:val="nil"/>
              <w:bottom w:val="single" w:color="000000" w:sz="8" w:space="0"/>
              <w:right w:val="nil"/>
              <w:insideH w:val="nil"/>
              <w:insideV w:val="nil"/>
            </w:tcBorders>
          </w:tcPr>
          <w:p w14:paraId="72A7D906">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b/>
                <w:color w:val="000000"/>
                <w:kern w:val="2"/>
                <w:sz w:val="17"/>
                <w:szCs w:val="24"/>
                <w:lang w:eastAsia="zh-CN"/>
                <w14:ligatures w14:val="standardContextual"/>
              </w:rPr>
              <w:t>Description</w:t>
            </w:r>
          </w:p>
        </w:tc>
        <w:tc>
          <w:tcPr>
            <w:tcW w:w="5387" w:type="dxa"/>
            <w:tcBorders>
              <w:top w:val="single" w:color="000000" w:sz="12" w:space="0"/>
              <w:left w:val="nil"/>
              <w:bottom w:val="single" w:color="000000" w:sz="8" w:space="0"/>
              <w:right w:val="nil"/>
              <w:insideH w:val="nil"/>
              <w:insideV w:val="nil"/>
            </w:tcBorders>
          </w:tcPr>
          <w:p w14:paraId="2C3DA86D">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b/>
                <w:color w:val="000000"/>
                <w:kern w:val="2"/>
                <w:sz w:val="17"/>
                <w:szCs w:val="24"/>
                <w:lang w:eastAsia="zh-CN"/>
                <w14:ligatures w14:val="standardContextual"/>
              </w:rPr>
              <w:t>Allowed values / format</w:t>
            </w:r>
          </w:p>
        </w:tc>
        <w:tc>
          <w:tcPr>
            <w:tcW w:w="1417" w:type="dxa"/>
            <w:tcBorders>
              <w:top w:val="single" w:color="000000" w:sz="12" w:space="0"/>
              <w:left w:val="nil"/>
              <w:bottom w:val="single" w:color="000000" w:sz="8" w:space="0"/>
              <w:right w:val="nil"/>
              <w:insideH w:val="nil"/>
              <w:insideV w:val="nil"/>
            </w:tcBorders>
          </w:tcPr>
          <w:p w14:paraId="54733124">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b/>
                <w:color w:val="000000"/>
                <w:kern w:val="2"/>
                <w:sz w:val="17"/>
                <w:szCs w:val="24"/>
                <w:lang w:eastAsia="zh-CN"/>
                <w14:ligatures w14:val="standardContextual"/>
              </w:rPr>
              <w:t>Example</w:t>
            </w:r>
          </w:p>
        </w:tc>
      </w:tr>
      <w:tr w14:paraId="327F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11AE0500">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ID</w:t>
            </w:r>
          </w:p>
        </w:tc>
        <w:tc>
          <w:tcPr>
            <w:tcW w:w="4905" w:type="dxa"/>
            <w:tcBorders>
              <w:top w:val="nil"/>
              <w:left w:val="nil"/>
              <w:bottom w:val="nil"/>
              <w:right w:val="nil"/>
              <w:insideH w:val="nil"/>
              <w:insideV w:val="nil"/>
            </w:tcBorders>
          </w:tcPr>
          <w:p w14:paraId="5C027FC1">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Study identifier (unique within the extraction database). Use a consistent ID for multi-publication trials.</w:t>
            </w:r>
          </w:p>
        </w:tc>
        <w:tc>
          <w:tcPr>
            <w:tcW w:w="5387" w:type="dxa"/>
            <w:tcBorders>
              <w:top w:val="nil"/>
              <w:left w:val="nil"/>
              <w:bottom w:val="nil"/>
              <w:right w:val="nil"/>
              <w:insideH w:val="nil"/>
              <w:insideV w:val="nil"/>
            </w:tcBorders>
          </w:tcPr>
          <w:p w14:paraId="66EBF623">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Integer or string (e.g., 10, Study01).</w:t>
            </w:r>
          </w:p>
        </w:tc>
        <w:tc>
          <w:tcPr>
            <w:tcW w:w="1417" w:type="dxa"/>
            <w:tcBorders>
              <w:top w:val="nil"/>
              <w:left w:val="nil"/>
              <w:bottom w:val="nil"/>
              <w:right w:val="nil"/>
              <w:insideH w:val="nil"/>
              <w:insideV w:val="nil"/>
            </w:tcBorders>
          </w:tcPr>
          <w:p w14:paraId="054E938E">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10</w:t>
            </w:r>
          </w:p>
        </w:tc>
      </w:tr>
      <w:tr w14:paraId="40F4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5C5A8C0D">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Arm_ID_Exp</w:t>
            </w:r>
          </w:p>
        </w:tc>
        <w:tc>
          <w:tcPr>
            <w:tcW w:w="4905" w:type="dxa"/>
            <w:tcBorders>
              <w:top w:val="nil"/>
              <w:left w:val="nil"/>
              <w:bottom w:val="nil"/>
              <w:right w:val="nil"/>
              <w:insideH w:val="nil"/>
              <w:insideV w:val="nil"/>
            </w:tcBorders>
          </w:tcPr>
          <w:p w14:paraId="18BBBAD9">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Experimental arm identifier within a study (links to trial arms).</w:t>
            </w:r>
          </w:p>
        </w:tc>
        <w:tc>
          <w:tcPr>
            <w:tcW w:w="5387" w:type="dxa"/>
            <w:tcBorders>
              <w:top w:val="nil"/>
              <w:left w:val="nil"/>
              <w:bottom w:val="nil"/>
              <w:right w:val="nil"/>
              <w:insideH w:val="nil"/>
              <w:insideV w:val="nil"/>
            </w:tcBorders>
          </w:tcPr>
          <w:p w14:paraId="74FBCE6D">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Short code (e.g., A1, A2).</w:t>
            </w:r>
          </w:p>
        </w:tc>
        <w:tc>
          <w:tcPr>
            <w:tcW w:w="1417" w:type="dxa"/>
            <w:tcBorders>
              <w:top w:val="nil"/>
              <w:left w:val="nil"/>
              <w:bottom w:val="nil"/>
              <w:right w:val="nil"/>
              <w:insideH w:val="nil"/>
              <w:insideV w:val="nil"/>
            </w:tcBorders>
          </w:tcPr>
          <w:p w14:paraId="7B2B2341">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A1</w:t>
            </w:r>
          </w:p>
        </w:tc>
      </w:tr>
      <w:tr w14:paraId="63EB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7DAB023D">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Arm_ID_Ctrl</w:t>
            </w:r>
          </w:p>
        </w:tc>
        <w:tc>
          <w:tcPr>
            <w:tcW w:w="4905" w:type="dxa"/>
            <w:tcBorders>
              <w:top w:val="nil"/>
              <w:left w:val="nil"/>
              <w:bottom w:val="nil"/>
              <w:right w:val="nil"/>
              <w:insideH w:val="nil"/>
              <w:insideV w:val="nil"/>
            </w:tcBorders>
          </w:tcPr>
          <w:p w14:paraId="2481D141">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Comparator/control arm identifier within a study.</w:t>
            </w:r>
          </w:p>
        </w:tc>
        <w:tc>
          <w:tcPr>
            <w:tcW w:w="5387" w:type="dxa"/>
            <w:tcBorders>
              <w:top w:val="nil"/>
              <w:left w:val="nil"/>
              <w:bottom w:val="nil"/>
              <w:right w:val="nil"/>
              <w:insideH w:val="nil"/>
              <w:insideV w:val="nil"/>
            </w:tcBorders>
          </w:tcPr>
          <w:p w14:paraId="23455E17">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Short code (e.g., B1, B2).</w:t>
            </w:r>
          </w:p>
        </w:tc>
        <w:tc>
          <w:tcPr>
            <w:tcW w:w="1417" w:type="dxa"/>
            <w:tcBorders>
              <w:top w:val="nil"/>
              <w:left w:val="nil"/>
              <w:bottom w:val="nil"/>
              <w:right w:val="nil"/>
              <w:insideH w:val="nil"/>
              <w:insideV w:val="nil"/>
            </w:tcBorders>
          </w:tcPr>
          <w:p w14:paraId="37376A07">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B1</w:t>
            </w:r>
          </w:p>
        </w:tc>
      </w:tr>
      <w:tr w14:paraId="6129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58FF0A0C">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Study_design</w:t>
            </w:r>
          </w:p>
        </w:tc>
        <w:tc>
          <w:tcPr>
            <w:tcW w:w="4905" w:type="dxa"/>
            <w:tcBorders>
              <w:top w:val="nil"/>
              <w:left w:val="nil"/>
              <w:bottom w:val="nil"/>
              <w:right w:val="nil"/>
              <w:insideH w:val="nil"/>
              <w:insideV w:val="nil"/>
            </w:tcBorders>
          </w:tcPr>
          <w:p w14:paraId="4B31607A">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Randomized trial design type.</w:t>
            </w:r>
          </w:p>
        </w:tc>
        <w:tc>
          <w:tcPr>
            <w:tcW w:w="5387" w:type="dxa"/>
            <w:tcBorders>
              <w:top w:val="nil"/>
              <w:left w:val="nil"/>
              <w:bottom w:val="nil"/>
              <w:right w:val="nil"/>
              <w:insideH w:val="nil"/>
              <w:insideV w:val="nil"/>
            </w:tcBorders>
          </w:tcPr>
          <w:p w14:paraId="404EF44C">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Parallel or Crossover (extend if needed).</w:t>
            </w:r>
          </w:p>
        </w:tc>
        <w:tc>
          <w:tcPr>
            <w:tcW w:w="1417" w:type="dxa"/>
            <w:tcBorders>
              <w:top w:val="nil"/>
              <w:left w:val="nil"/>
              <w:bottom w:val="nil"/>
              <w:right w:val="nil"/>
              <w:insideH w:val="nil"/>
              <w:insideV w:val="nil"/>
            </w:tcBorders>
          </w:tcPr>
          <w:p w14:paraId="2FFEE87E">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Parallel</w:t>
            </w:r>
          </w:p>
        </w:tc>
      </w:tr>
      <w:tr w14:paraId="6942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230D58E4">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Node_EXP</w:t>
            </w:r>
          </w:p>
        </w:tc>
        <w:tc>
          <w:tcPr>
            <w:tcW w:w="4905" w:type="dxa"/>
            <w:tcBorders>
              <w:top w:val="nil"/>
              <w:left w:val="nil"/>
              <w:bottom w:val="nil"/>
              <w:right w:val="nil"/>
              <w:insideH w:val="nil"/>
              <w:insideV w:val="nil"/>
            </w:tcBorders>
          </w:tcPr>
          <w:p w14:paraId="5217EDE8">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Intervention node assigned to the experimental arm for the NMA.</w:t>
            </w:r>
          </w:p>
        </w:tc>
        <w:tc>
          <w:tcPr>
            <w:tcW w:w="5387" w:type="dxa"/>
            <w:tcBorders>
              <w:top w:val="nil"/>
              <w:left w:val="nil"/>
              <w:bottom w:val="nil"/>
              <w:right w:val="nil"/>
              <w:insideH w:val="nil"/>
              <w:insideV w:val="nil"/>
            </w:tcBorders>
          </w:tcPr>
          <w:p w14:paraId="7B0EB744">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One of the pre-specified nodes (e.g., Cognitive Training; Behavioral Therapy and Parent Training; Neurostimulation; Neurofeedback; Physical Activity and Motor Training; Nutritional and Dietary Interventions; Mind–Body and Traditional Interventions; Multicomponent Interventions).</w:t>
            </w:r>
          </w:p>
        </w:tc>
        <w:tc>
          <w:tcPr>
            <w:tcW w:w="1417" w:type="dxa"/>
            <w:tcBorders>
              <w:top w:val="nil"/>
              <w:left w:val="nil"/>
              <w:bottom w:val="nil"/>
              <w:right w:val="nil"/>
              <w:insideH w:val="nil"/>
              <w:insideV w:val="nil"/>
            </w:tcBorders>
          </w:tcPr>
          <w:p w14:paraId="7E99B1AC">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Cognitive Training</w:t>
            </w:r>
          </w:p>
        </w:tc>
      </w:tr>
      <w:tr w14:paraId="1FEA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25ACA7B0">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Node_CTRL</w:t>
            </w:r>
          </w:p>
        </w:tc>
        <w:tc>
          <w:tcPr>
            <w:tcW w:w="4905" w:type="dxa"/>
            <w:tcBorders>
              <w:top w:val="nil"/>
              <w:left w:val="nil"/>
              <w:bottom w:val="nil"/>
              <w:right w:val="nil"/>
              <w:insideH w:val="nil"/>
              <w:insideV w:val="nil"/>
            </w:tcBorders>
          </w:tcPr>
          <w:p w14:paraId="6BA9D69D">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Comparator node assigned to the control arm.</w:t>
            </w:r>
          </w:p>
        </w:tc>
        <w:tc>
          <w:tcPr>
            <w:tcW w:w="5387" w:type="dxa"/>
            <w:tcBorders>
              <w:top w:val="nil"/>
              <w:left w:val="nil"/>
              <w:bottom w:val="nil"/>
              <w:right w:val="nil"/>
              <w:insideH w:val="nil"/>
              <w:insideV w:val="nil"/>
            </w:tcBorders>
          </w:tcPr>
          <w:p w14:paraId="6D9B3068">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Typically 'Control' (pooled) in primary analysis; may reflect specific comparator in sensitivity analyses.</w:t>
            </w:r>
          </w:p>
        </w:tc>
        <w:tc>
          <w:tcPr>
            <w:tcW w:w="1417" w:type="dxa"/>
            <w:tcBorders>
              <w:top w:val="nil"/>
              <w:left w:val="nil"/>
              <w:bottom w:val="nil"/>
              <w:right w:val="nil"/>
              <w:insideH w:val="nil"/>
              <w:insideV w:val="nil"/>
            </w:tcBorders>
          </w:tcPr>
          <w:p w14:paraId="759CEADB">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Control</w:t>
            </w:r>
          </w:p>
        </w:tc>
      </w:tr>
      <w:tr w14:paraId="6CA0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0EFE6F43">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Outcome_name</w:t>
            </w:r>
          </w:p>
        </w:tc>
        <w:tc>
          <w:tcPr>
            <w:tcW w:w="4905" w:type="dxa"/>
            <w:tcBorders>
              <w:top w:val="nil"/>
              <w:left w:val="nil"/>
              <w:bottom w:val="nil"/>
              <w:right w:val="nil"/>
              <w:insideH w:val="nil"/>
              <w:insideV w:val="nil"/>
            </w:tcBorders>
          </w:tcPr>
          <w:p w14:paraId="51FF19E2">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Outcome label as reported (task/measure name).</w:t>
            </w:r>
          </w:p>
        </w:tc>
        <w:tc>
          <w:tcPr>
            <w:tcW w:w="5387" w:type="dxa"/>
            <w:tcBorders>
              <w:top w:val="nil"/>
              <w:left w:val="nil"/>
              <w:bottom w:val="nil"/>
              <w:right w:val="nil"/>
              <w:insideH w:val="nil"/>
              <w:insideV w:val="nil"/>
            </w:tcBorders>
          </w:tcPr>
          <w:p w14:paraId="4290C3F3">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Text.</w:t>
            </w:r>
          </w:p>
        </w:tc>
        <w:tc>
          <w:tcPr>
            <w:tcW w:w="1417" w:type="dxa"/>
            <w:tcBorders>
              <w:top w:val="nil"/>
              <w:left w:val="nil"/>
              <w:bottom w:val="nil"/>
              <w:right w:val="nil"/>
              <w:insideH w:val="nil"/>
              <w:insideV w:val="nil"/>
            </w:tcBorders>
          </w:tcPr>
          <w:p w14:paraId="46BA1ABE">
            <w:pPr>
              <w:spacing w:before="0" w:after="0" w:line="240" w:lineRule="auto"/>
              <w:rPr>
                <w:rFonts w:ascii="Times New Roman" w:hAnsi="Times New Roman" w:cs="Times New Roman"/>
                <w:kern w:val="2"/>
                <w:szCs w:val="24"/>
                <w:lang w:eastAsia="zh-CN"/>
                <w14:ligatures w14:val="standardContextual"/>
              </w:rPr>
            </w:pPr>
            <w:r>
              <w:rPr>
                <w:rFonts w:ascii="Times New Roman" w:hAnsi="Times New Roman" w:eastAsia="Times New Roman" w:cs="Times New Roman"/>
                <w:color w:val="000000"/>
                <w:kern w:val="2"/>
                <w:sz w:val="17"/>
                <w:szCs w:val="24"/>
                <w:lang w:eastAsia="zh-CN"/>
                <w14:ligatures w14:val="standardContextual"/>
              </w:rPr>
              <w:t>ANT conflict</w:t>
            </w:r>
          </w:p>
        </w:tc>
      </w:tr>
      <w:tr w14:paraId="4F7C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6DFAEBF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Metric</w:t>
            </w:r>
          </w:p>
        </w:tc>
        <w:tc>
          <w:tcPr>
            <w:tcW w:w="4905" w:type="dxa"/>
            <w:tcBorders>
              <w:top w:val="nil"/>
              <w:left w:val="nil"/>
              <w:bottom w:val="nil"/>
              <w:right w:val="nil"/>
              <w:insideH w:val="nil"/>
              <w:insideV w:val="nil"/>
            </w:tcBorders>
          </w:tcPr>
          <w:p w14:paraId="4E3BA22C">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Outcome metric or unit.</w:t>
            </w:r>
          </w:p>
        </w:tc>
        <w:tc>
          <w:tcPr>
            <w:tcW w:w="5387" w:type="dxa"/>
            <w:tcBorders>
              <w:top w:val="nil"/>
              <w:left w:val="nil"/>
              <w:bottom w:val="nil"/>
              <w:right w:val="nil"/>
              <w:insideH w:val="nil"/>
              <w:insideV w:val="nil"/>
            </w:tcBorders>
          </w:tcPr>
          <w:p w14:paraId="60C94F6B">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Text (e.g., seconds, errors, standard score, T-score, z-score).</w:t>
            </w:r>
          </w:p>
        </w:tc>
        <w:tc>
          <w:tcPr>
            <w:tcW w:w="1417" w:type="dxa"/>
            <w:tcBorders>
              <w:top w:val="nil"/>
              <w:left w:val="nil"/>
              <w:bottom w:val="nil"/>
              <w:right w:val="nil"/>
              <w:insideH w:val="nil"/>
              <w:insideV w:val="nil"/>
            </w:tcBorders>
          </w:tcPr>
          <w:p w14:paraId="25F8A91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Milliseconds</w:t>
            </w:r>
          </w:p>
        </w:tc>
      </w:tr>
      <w:tr w14:paraId="1E90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7E90987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Primary_Domain</w:t>
            </w:r>
          </w:p>
        </w:tc>
        <w:tc>
          <w:tcPr>
            <w:tcW w:w="4905" w:type="dxa"/>
            <w:tcBorders>
              <w:top w:val="nil"/>
              <w:left w:val="nil"/>
              <w:bottom w:val="nil"/>
              <w:right w:val="nil"/>
              <w:insideH w:val="nil"/>
              <w:insideV w:val="nil"/>
            </w:tcBorders>
          </w:tcPr>
          <w:p w14:paraId="0C357CA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Cognitive domain mapping for domain-specific networks.</w:t>
            </w:r>
          </w:p>
        </w:tc>
        <w:tc>
          <w:tcPr>
            <w:tcW w:w="5387" w:type="dxa"/>
            <w:tcBorders>
              <w:top w:val="nil"/>
              <w:left w:val="nil"/>
              <w:bottom w:val="nil"/>
              <w:right w:val="nil"/>
              <w:insideH w:val="nil"/>
              <w:insideV w:val="nil"/>
            </w:tcBorders>
          </w:tcPr>
          <w:p w14:paraId="7AFCA6E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One of: Inhibition, Working Memory, Cognitive Flexibility, Planning/High-order Executive Function, Sustained Attention, Selective Attention, Processing Speed (or your finalized labels).</w:t>
            </w:r>
          </w:p>
        </w:tc>
        <w:tc>
          <w:tcPr>
            <w:tcW w:w="1417" w:type="dxa"/>
            <w:tcBorders>
              <w:top w:val="nil"/>
              <w:left w:val="nil"/>
              <w:bottom w:val="nil"/>
              <w:right w:val="nil"/>
              <w:insideH w:val="nil"/>
              <w:insideV w:val="nil"/>
            </w:tcBorders>
          </w:tcPr>
          <w:p w14:paraId="499CC72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Inhibitory control</w:t>
            </w:r>
          </w:p>
        </w:tc>
      </w:tr>
      <w:tr w14:paraId="52BB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22B5A25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Scale_direction (↑=better/↓=better)</w:t>
            </w:r>
          </w:p>
        </w:tc>
        <w:tc>
          <w:tcPr>
            <w:tcW w:w="4905" w:type="dxa"/>
            <w:tcBorders>
              <w:top w:val="nil"/>
              <w:left w:val="nil"/>
              <w:bottom w:val="nil"/>
              <w:right w:val="nil"/>
              <w:insideH w:val="nil"/>
              <w:insideV w:val="nil"/>
            </w:tcBorders>
          </w:tcPr>
          <w:p w14:paraId="2D22A4A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Indicates whether higher or lower values reflect better performance (used for direction harmonization).</w:t>
            </w:r>
          </w:p>
        </w:tc>
        <w:tc>
          <w:tcPr>
            <w:tcW w:w="5387" w:type="dxa"/>
            <w:tcBorders>
              <w:top w:val="nil"/>
              <w:left w:val="nil"/>
              <w:bottom w:val="nil"/>
              <w:right w:val="nil"/>
              <w:insideH w:val="nil"/>
              <w:insideV w:val="nil"/>
            </w:tcBorders>
          </w:tcPr>
          <w:p w14:paraId="251440F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Use '↑=better' or '↓=better'.</w:t>
            </w:r>
          </w:p>
        </w:tc>
        <w:tc>
          <w:tcPr>
            <w:tcW w:w="1417" w:type="dxa"/>
            <w:tcBorders>
              <w:top w:val="nil"/>
              <w:left w:val="nil"/>
              <w:bottom w:val="nil"/>
              <w:right w:val="nil"/>
              <w:insideH w:val="nil"/>
              <w:insideV w:val="nil"/>
            </w:tcBorders>
          </w:tcPr>
          <w:p w14:paraId="150DEFF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↓=better</w:t>
            </w:r>
          </w:p>
        </w:tc>
      </w:tr>
      <w:tr w14:paraId="2297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0A3D0B7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Exp_post_M</w:t>
            </w:r>
          </w:p>
        </w:tc>
        <w:tc>
          <w:tcPr>
            <w:tcW w:w="4905" w:type="dxa"/>
            <w:tcBorders>
              <w:top w:val="nil"/>
              <w:left w:val="nil"/>
              <w:bottom w:val="nil"/>
              <w:right w:val="nil"/>
              <w:insideH w:val="nil"/>
              <w:insideV w:val="nil"/>
            </w:tcBorders>
          </w:tcPr>
          <w:p w14:paraId="62EE98D1">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mean at the selected post-intervention time point (primary endpoint window).</w:t>
            </w:r>
          </w:p>
        </w:tc>
        <w:tc>
          <w:tcPr>
            <w:tcW w:w="5387" w:type="dxa"/>
            <w:tcBorders>
              <w:top w:val="nil"/>
              <w:left w:val="nil"/>
              <w:bottom w:val="nil"/>
              <w:right w:val="nil"/>
              <w:insideH w:val="nil"/>
              <w:insideV w:val="nil"/>
            </w:tcBorders>
          </w:tcPr>
          <w:p w14:paraId="76698508">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w:t>
            </w:r>
          </w:p>
        </w:tc>
        <w:tc>
          <w:tcPr>
            <w:tcW w:w="1417" w:type="dxa"/>
            <w:tcBorders>
              <w:top w:val="nil"/>
              <w:left w:val="nil"/>
              <w:bottom w:val="nil"/>
              <w:right w:val="nil"/>
              <w:insideH w:val="nil"/>
              <w:insideV w:val="nil"/>
            </w:tcBorders>
          </w:tcPr>
          <w:p w14:paraId="49216E7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10.8</w:t>
            </w:r>
          </w:p>
        </w:tc>
      </w:tr>
      <w:tr w14:paraId="1C5B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1F1A283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Exp_post_SD</w:t>
            </w:r>
          </w:p>
        </w:tc>
        <w:tc>
          <w:tcPr>
            <w:tcW w:w="4905" w:type="dxa"/>
            <w:tcBorders>
              <w:top w:val="nil"/>
              <w:left w:val="nil"/>
              <w:bottom w:val="nil"/>
              <w:right w:val="nil"/>
              <w:insideH w:val="nil"/>
              <w:insideV w:val="nil"/>
            </w:tcBorders>
          </w:tcPr>
          <w:p w14:paraId="4984F95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Standard deviation corresponding to Exp_post_M.</w:t>
            </w:r>
          </w:p>
        </w:tc>
        <w:tc>
          <w:tcPr>
            <w:tcW w:w="5387" w:type="dxa"/>
            <w:tcBorders>
              <w:top w:val="nil"/>
              <w:left w:val="nil"/>
              <w:bottom w:val="nil"/>
              <w:right w:val="nil"/>
              <w:insideH w:val="nil"/>
              <w:insideV w:val="nil"/>
            </w:tcBorders>
          </w:tcPr>
          <w:p w14:paraId="0D5DEC5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w:t>
            </w:r>
          </w:p>
        </w:tc>
        <w:tc>
          <w:tcPr>
            <w:tcW w:w="1417" w:type="dxa"/>
            <w:tcBorders>
              <w:top w:val="nil"/>
              <w:left w:val="nil"/>
              <w:bottom w:val="nil"/>
              <w:right w:val="nil"/>
              <w:insideH w:val="nil"/>
              <w:insideV w:val="nil"/>
            </w:tcBorders>
          </w:tcPr>
          <w:p w14:paraId="673FF9B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2.0</w:t>
            </w:r>
          </w:p>
        </w:tc>
      </w:tr>
      <w:tr w14:paraId="719C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74EBF13B">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Exp_post_n</w:t>
            </w:r>
          </w:p>
        </w:tc>
        <w:tc>
          <w:tcPr>
            <w:tcW w:w="4905" w:type="dxa"/>
            <w:tcBorders>
              <w:top w:val="nil"/>
              <w:left w:val="nil"/>
              <w:bottom w:val="nil"/>
              <w:right w:val="nil"/>
              <w:insideH w:val="nil"/>
              <w:insideV w:val="nil"/>
            </w:tcBorders>
          </w:tcPr>
          <w:p w14:paraId="1A92684F">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Sample size analyzed for Exp_post_M/SD.</w:t>
            </w:r>
          </w:p>
        </w:tc>
        <w:tc>
          <w:tcPr>
            <w:tcW w:w="5387" w:type="dxa"/>
            <w:tcBorders>
              <w:top w:val="nil"/>
              <w:left w:val="nil"/>
              <w:bottom w:val="nil"/>
              <w:right w:val="nil"/>
              <w:insideH w:val="nil"/>
              <w:insideV w:val="nil"/>
            </w:tcBorders>
          </w:tcPr>
          <w:p w14:paraId="7DB86C8C">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Integer.</w:t>
            </w:r>
          </w:p>
        </w:tc>
        <w:tc>
          <w:tcPr>
            <w:tcW w:w="1417" w:type="dxa"/>
            <w:tcBorders>
              <w:top w:val="nil"/>
              <w:left w:val="nil"/>
              <w:bottom w:val="nil"/>
              <w:right w:val="nil"/>
              <w:insideH w:val="nil"/>
              <w:insideV w:val="nil"/>
            </w:tcBorders>
          </w:tcPr>
          <w:p w14:paraId="27292C8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33</w:t>
            </w:r>
          </w:p>
        </w:tc>
      </w:tr>
      <w:tr w14:paraId="23E3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2B05059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Ctrl_post_M</w:t>
            </w:r>
          </w:p>
        </w:tc>
        <w:tc>
          <w:tcPr>
            <w:tcW w:w="4905" w:type="dxa"/>
            <w:tcBorders>
              <w:top w:val="nil"/>
              <w:left w:val="nil"/>
              <w:bottom w:val="nil"/>
              <w:right w:val="nil"/>
              <w:insideH w:val="nil"/>
              <w:insideV w:val="nil"/>
            </w:tcBorders>
          </w:tcPr>
          <w:p w14:paraId="7AB4764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mean at the selected post-intervention time point.</w:t>
            </w:r>
          </w:p>
        </w:tc>
        <w:tc>
          <w:tcPr>
            <w:tcW w:w="5387" w:type="dxa"/>
            <w:tcBorders>
              <w:top w:val="nil"/>
              <w:left w:val="nil"/>
              <w:bottom w:val="nil"/>
              <w:right w:val="nil"/>
              <w:insideH w:val="nil"/>
              <w:insideV w:val="nil"/>
            </w:tcBorders>
          </w:tcPr>
          <w:p w14:paraId="782973E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w:t>
            </w:r>
          </w:p>
        </w:tc>
        <w:tc>
          <w:tcPr>
            <w:tcW w:w="1417" w:type="dxa"/>
            <w:tcBorders>
              <w:top w:val="nil"/>
              <w:left w:val="nil"/>
              <w:bottom w:val="nil"/>
              <w:right w:val="nil"/>
              <w:insideH w:val="nil"/>
              <w:insideV w:val="nil"/>
            </w:tcBorders>
          </w:tcPr>
          <w:p w14:paraId="694F57A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10.9</w:t>
            </w:r>
          </w:p>
        </w:tc>
      </w:tr>
      <w:tr w14:paraId="64DC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68A84642">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Ctrl_post_SD</w:t>
            </w:r>
          </w:p>
        </w:tc>
        <w:tc>
          <w:tcPr>
            <w:tcW w:w="4905" w:type="dxa"/>
            <w:tcBorders>
              <w:top w:val="nil"/>
              <w:left w:val="nil"/>
              <w:bottom w:val="nil"/>
              <w:right w:val="nil"/>
              <w:insideH w:val="nil"/>
              <w:insideV w:val="nil"/>
            </w:tcBorders>
          </w:tcPr>
          <w:p w14:paraId="1A9C3DF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Standard deviation corresponding to Ctrl_post_M.</w:t>
            </w:r>
          </w:p>
        </w:tc>
        <w:tc>
          <w:tcPr>
            <w:tcW w:w="5387" w:type="dxa"/>
            <w:tcBorders>
              <w:top w:val="nil"/>
              <w:left w:val="nil"/>
              <w:bottom w:val="nil"/>
              <w:right w:val="nil"/>
              <w:insideH w:val="nil"/>
              <w:insideV w:val="nil"/>
            </w:tcBorders>
          </w:tcPr>
          <w:p w14:paraId="7701634C">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w:t>
            </w:r>
          </w:p>
        </w:tc>
        <w:tc>
          <w:tcPr>
            <w:tcW w:w="1417" w:type="dxa"/>
            <w:tcBorders>
              <w:top w:val="nil"/>
              <w:left w:val="nil"/>
              <w:bottom w:val="nil"/>
              <w:right w:val="nil"/>
              <w:insideH w:val="nil"/>
              <w:insideV w:val="nil"/>
            </w:tcBorders>
          </w:tcPr>
          <w:p w14:paraId="0B4B5A8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1.9</w:t>
            </w:r>
          </w:p>
        </w:tc>
      </w:tr>
      <w:tr w14:paraId="3861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6E23A27E">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Ctrl_post_n</w:t>
            </w:r>
          </w:p>
        </w:tc>
        <w:tc>
          <w:tcPr>
            <w:tcW w:w="4905" w:type="dxa"/>
            <w:tcBorders>
              <w:top w:val="nil"/>
              <w:left w:val="nil"/>
              <w:bottom w:val="nil"/>
              <w:right w:val="nil"/>
              <w:insideH w:val="nil"/>
              <w:insideV w:val="nil"/>
            </w:tcBorders>
          </w:tcPr>
          <w:p w14:paraId="681DAAB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Sample size analyzed for Ctrl_post_M/SD.</w:t>
            </w:r>
          </w:p>
        </w:tc>
        <w:tc>
          <w:tcPr>
            <w:tcW w:w="5387" w:type="dxa"/>
            <w:tcBorders>
              <w:top w:val="nil"/>
              <w:left w:val="nil"/>
              <w:bottom w:val="nil"/>
              <w:right w:val="nil"/>
              <w:insideH w:val="nil"/>
              <w:insideV w:val="nil"/>
            </w:tcBorders>
          </w:tcPr>
          <w:p w14:paraId="552C155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Integer.</w:t>
            </w:r>
          </w:p>
        </w:tc>
        <w:tc>
          <w:tcPr>
            <w:tcW w:w="1417" w:type="dxa"/>
            <w:tcBorders>
              <w:top w:val="nil"/>
              <w:left w:val="nil"/>
              <w:bottom w:val="nil"/>
              <w:right w:val="nil"/>
              <w:insideH w:val="nil"/>
              <w:insideV w:val="nil"/>
            </w:tcBorders>
          </w:tcPr>
          <w:p w14:paraId="173A732F">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34</w:t>
            </w:r>
          </w:p>
        </w:tc>
      </w:tr>
      <w:tr w14:paraId="06DC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12472D2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Effect_size</w:t>
            </w:r>
          </w:p>
        </w:tc>
        <w:tc>
          <w:tcPr>
            <w:tcW w:w="4905" w:type="dxa"/>
            <w:tcBorders>
              <w:top w:val="nil"/>
              <w:left w:val="nil"/>
              <w:bottom w:val="nil"/>
              <w:right w:val="nil"/>
              <w:insideH w:val="nil"/>
              <w:insideV w:val="nil"/>
            </w:tcBorders>
          </w:tcPr>
          <w:p w14:paraId="4F9B4E56">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Computed standardized mean difference (Hedges' g) for Exp vs Ctrl after direction harmonization (optional to compute at extraction stage).</w:t>
            </w:r>
          </w:p>
        </w:tc>
        <w:tc>
          <w:tcPr>
            <w:tcW w:w="5387" w:type="dxa"/>
            <w:tcBorders>
              <w:top w:val="nil"/>
              <w:left w:val="nil"/>
              <w:bottom w:val="nil"/>
              <w:right w:val="nil"/>
              <w:insideH w:val="nil"/>
              <w:insideV w:val="nil"/>
            </w:tcBorders>
          </w:tcPr>
          <w:p w14:paraId="1419230B">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 or blank (computed downstream).</w:t>
            </w:r>
          </w:p>
        </w:tc>
        <w:tc>
          <w:tcPr>
            <w:tcW w:w="1417" w:type="dxa"/>
            <w:tcBorders>
              <w:top w:val="nil"/>
              <w:left w:val="nil"/>
              <w:bottom w:val="nil"/>
              <w:right w:val="nil"/>
              <w:insideH w:val="nil"/>
              <w:insideV w:val="nil"/>
            </w:tcBorders>
          </w:tcPr>
          <w:p w14:paraId="236222C2">
            <w:pPr>
              <w:spacing w:before="0" w:after="0" w:line="240" w:lineRule="auto"/>
              <w:rPr>
                <w:rFonts w:ascii="Times New Roman" w:hAnsi="Times New Roman" w:cs="Times New Roman"/>
                <w:kern w:val="0"/>
                <w:szCs w:val="22"/>
                <w:lang w:eastAsia="en-US"/>
                <w14:ligatures w14:val="none"/>
              </w:rPr>
            </w:pPr>
          </w:p>
        </w:tc>
      </w:tr>
      <w:tr w14:paraId="186D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4660BE33">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Var</w:t>
            </w:r>
          </w:p>
        </w:tc>
        <w:tc>
          <w:tcPr>
            <w:tcW w:w="4905" w:type="dxa"/>
            <w:tcBorders>
              <w:top w:val="nil"/>
              <w:left w:val="nil"/>
              <w:bottom w:val="nil"/>
              <w:right w:val="nil"/>
              <w:insideH w:val="nil"/>
              <w:insideV w:val="nil"/>
            </w:tcBorders>
          </w:tcPr>
          <w:p w14:paraId="086D8771">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Variance of the effect size (optional to compute at extraction stage).</w:t>
            </w:r>
          </w:p>
        </w:tc>
        <w:tc>
          <w:tcPr>
            <w:tcW w:w="5387" w:type="dxa"/>
            <w:tcBorders>
              <w:top w:val="nil"/>
              <w:left w:val="nil"/>
              <w:bottom w:val="nil"/>
              <w:right w:val="nil"/>
              <w:insideH w:val="nil"/>
              <w:insideV w:val="nil"/>
            </w:tcBorders>
          </w:tcPr>
          <w:p w14:paraId="6CF1B68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 or blank (computed downstream).</w:t>
            </w:r>
          </w:p>
        </w:tc>
        <w:tc>
          <w:tcPr>
            <w:tcW w:w="1417" w:type="dxa"/>
            <w:tcBorders>
              <w:top w:val="nil"/>
              <w:left w:val="nil"/>
              <w:bottom w:val="nil"/>
              <w:right w:val="nil"/>
              <w:insideH w:val="nil"/>
              <w:insideV w:val="nil"/>
            </w:tcBorders>
          </w:tcPr>
          <w:p w14:paraId="0FF3D633">
            <w:pPr>
              <w:spacing w:before="0" w:after="0" w:line="240" w:lineRule="auto"/>
              <w:rPr>
                <w:rFonts w:ascii="Times New Roman" w:hAnsi="Times New Roman" w:cs="Times New Roman"/>
                <w:kern w:val="0"/>
                <w:szCs w:val="22"/>
                <w:lang w:eastAsia="en-US"/>
                <w14:ligatures w14:val="none"/>
              </w:rPr>
            </w:pPr>
          </w:p>
        </w:tc>
      </w:tr>
      <w:tr w14:paraId="00F5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2C876F5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Exp_pre_M</w:t>
            </w:r>
          </w:p>
        </w:tc>
        <w:tc>
          <w:tcPr>
            <w:tcW w:w="4905" w:type="dxa"/>
            <w:tcBorders>
              <w:top w:val="nil"/>
              <w:left w:val="nil"/>
              <w:bottom w:val="nil"/>
              <w:right w:val="nil"/>
              <w:insideH w:val="nil"/>
              <w:insideV w:val="nil"/>
            </w:tcBorders>
          </w:tcPr>
          <w:p w14:paraId="62C612F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baseline (pre-intervention) mean (if reported).</w:t>
            </w:r>
          </w:p>
        </w:tc>
        <w:tc>
          <w:tcPr>
            <w:tcW w:w="5387" w:type="dxa"/>
            <w:tcBorders>
              <w:top w:val="nil"/>
              <w:left w:val="nil"/>
              <w:bottom w:val="nil"/>
              <w:right w:val="nil"/>
              <w:insideH w:val="nil"/>
              <w:insideV w:val="nil"/>
            </w:tcBorders>
          </w:tcPr>
          <w:p w14:paraId="63D2BC2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 or blank.</w:t>
            </w:r>
          </w:p>
        </w:tc>
        <w:tc>
          <w:tcPr>
            <w:tcW w:w="1417" w:type="dxa"/>
            <w:tcBorders>
              <w:top w:val="nil"/>
              <w:left w:val="nil"/>
              <w:bottom w:val="nil"/>
              <w:right w:val="nil"/>
              <w:insideH w:val="nil"/>
              <w:insideV w:val="nil"/>
            </w:tcBorders>
          </w:tcPr>
          <w:p w14:paraId="26896BB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9.0</w:t>
            </w:r>
          </w:p>
        </w:tc>
      </w:tr>
      <w:tr w14:paraId="01A8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6B17065F">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Exp_pre_SD</w:t>
            </w:r>
          </w:p>
        </w:tc>
        <w:tc>
          <w:tcPr>
            <w:tcW w:w="4905" w:type="dxa"/>
            <w:tcBorders>
              <w:top w:val="nil"/>
              <w:left w:val="nil"/>
              <w:bottom w:val="nil"/>
              <w:right w:val="nil"/>
              <w:insideH w:val="nil"/>
              <w:insideV w:val="nil"/>
            </w:tcBorders>
          </w:tcPr>
          <w:p w14:paraId="6D5C6A7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baseline SD (if reported).</w:t>
            </w:r>
          </w:p>
        </w:tc>
        <w:tc>
          <w:tcPr>
            <w:tcW w:w="5387" w:type="dxa"/>
            <w:tcBorders>
              <w:top w:val="nil"/>
              <w:left w:val="nil"/>
              <w:bottom w:val="nil"/>
              <w:right w:val="nil"/>
              <w:insideH w:val="nil"/>
              <w:insideV w:val="nil"/>
            </w:tcBorders>
          </w:tcPr>
          <w:p w14:paraId="0D6E2C15">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 or blank.</w:t>
            </w:r>
          </w:p>
        </w:tc>
        <w:tc>
          <w:tcPr>
            <w:tcW w:w="1417" w:type="dxa"/>
            <w:tcBorders>
              <w:top w:val="nil"/>
              <w:left w:val="nil"/>
              <w:bottom w:val="nil"/>
              <w:right w:val="nil"/>
              <w:insideH w:val="nil"/>
              <w:insideV w:val="nil"/>
            </w:tcBorders>
          </w:tcPr>
          <w:p w14:paraId="569DE00B">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2.2</w:t>
            </w:r>
          </w:p>
        </w:tc>
      </w:tr>
      <w:tr w14:paraId="3354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4863321C">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Exp_pre_n</w:t>
            </w:r>
          </w:p>
        </w:tc>
        <w:tc>
          <w:tcPr>
            <w:tcW w:w="4905" w:type="dxa"/>
            <w:tcBorders>
              <w:top w:val="nil"/>
              <w:left w:val="nil"/>
              <w:bottom w:val="nil"/>
              <w:right w:val="nil"/>
              <w:insideH w:val="nil"/>
              <w:insideV w:val="nil"/>
            </w:tcBorders>
          </w:tcPr>
          <w:p w14:paraId="20863ABC">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Experimental arm baseline sample size (if reported).</w:t>
            </w:r>
          </w:p>
        </w:tc>
        <w:tc>
          <w:tcPr>
            <w:tcW w:w="5387" w:type="dxa"/>
            <w:tcBorders>
              <w:top w:val="nil"/>
              <w:left w:val="nil"/>
              <w:bottom w:val="nil"/>
              <w:right w:val="nil"/>
              <w:insideH w:val="nil"/>
              <w:insideV w:val="nil"/>
            </w:tcBorders>
          </w:tcPr>
          <w:p w14:paraId="5888061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Integer or blank.</w:t>
            </w:r>
          </w:p>
        </w:tc>
        <w:tc>
          <w:tcPr>
            <w:tcW w:w="1417" w:type="dxa"/>
            <w:tcBorders>
              <w:top w:val="nil"/>
              <w:left w:val="nil"/>
              <w:bottom w:val="nil"/>
              <w:right w:val="nil"/>
              <w:insideH w:val="nil"/>
              <w:insideV w:val="nil"/>
            </w:tcBorders>
          </w:tcPr>
          <w:p w14:paraId="755E078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38</w:t>
            </w:r>
          </w:p>
        </w:tc>
      </w:tr>
      <w:tr w14:paraId="1F4B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51B28B6B">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Ctrl_pre_M</w:t>
            </w:r>
          </w:p>
        </w:tc>
        <w:tc>
          <w:tcPr>
            <w:tcW w:w="4905" w:type="dxa"/>
            <w:tcBorders>
              <w:top w:val="nil"/>
              <w:left w:val="nil"/>
              <w:bottom w:val="nil"/>
              <w:right w:val="nil"/>
              <w:insideH w:val="nil"/>
              <w:insideV w:val="nil"/>
            </w:tcBorders>
          </w:tcPr>
          <w:p w14:paraId="499B5858">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baseline mean (if reported).</w:t>
            </w:r>
          </w:p>
        </w:tc>
        <w:tc>
          <w:tcPr>
            <w:tcW w:w="5387" w:type="dxa"/>
            <w:tcBorders>
              <w:top w:val="nil"/>
              <w:left w:val="nil"/>
              <w:bottom w:val="nil"/>
              <w:right w:val="nil"/>
              <w:insideH w:val="nil"/>
              <w:insideV w:val="nil"/>
            </w:tcBorders>
          </w:tcPr>
          <w:p w14:paraId="679904F4">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 or blank.</w:t>
            </w:r>
          </w:p>
        </w:tc>
        <w:tc>
          <w:tcPr>
            <w:tcW w:w="1417" w:type="dxa"/>
            <w:tcBorders>
              <w:top w:val="nil"/>
              <w:left w:val="nil"/>
              <w:bottom w:val="nil"/>
              <w:right w:val="nil"/>
              <w:insideH w:val="nil"/>
              <w:insideV w:val="nil"/>
            </w:tcBorders>
          </w:tcPr>
          <w:p w14:paraId="745FEE7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9.7</w:t>
            </w:r>
          </w:p>
        </w:tc>
      </w:tr>
      <w:tr w14:paraId="76BF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nil"/>
              <w:right w:val="nil"/>
              <w:insideH w:val="nil"/>
              <w:insideV w:val="nil"/>
            </w:tcBorders>
          </w:tcPr>
          <w:p w14:paraId="21B6253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Ctrl_pre_SD</w:t>
            </w:r>
          </w:p>
        </w:tc>
        <w:tc>
          <w:tcPr>
            <w:tcW w:w="4905" w:type="dxa"/>
            <w:tcBorders>
              <w:top w:val="nil"/>
              <w:left w:val="nil"/>
              <w:bottom w:val="nil"/>
              <w:right w:val="nil"/>
              <w:insideH w:val="nil"/>
              <w:insideV w:val="nil"/>
            </w:tcBorders>
          </w:tcPr>
          <w:p w14:paraId="63BF4710">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baseline SD (if reported).</w:t>
            </w:r>
          </w:p>
        </w:tc>
        <w:tc>
          <w:tcPr>
            <w:tcW w:w="5387" w:type="dxa"/>
            <w:tcBorders>
              <w:top w:val="nil"/>
              <w:left w:val="nil"/>
              <w:bottom w:val="nil"/>
              <w:right w:val="nil"/>
              <w:insideH w:val="nil"/>
              <w:insideV w:val="nil"/>
            </w:tcBorders>
          </w:tcPr>
          <w:p w14:paraId="3C16099A">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Numeric or blank.</w:t>
            </w:r>
          </w:p>
        </w:tc>
        <w:tc>
          <w:tcPr>
            <w:tcW w:w="1417" w:type="dxa"/>
            <w:tcBorders>
              <w:top w:val="nil"/>
              <w:left w:val="nil"/>
              <w:bottom w:val="nil"/>
              <w:right w:val="nil"/>
              <w:insideH w:val="nil"/>
              <w:insideV w:val="nil"/>
            </w:tcBorders>
          </w:tcPr>
          <w:p w14:paraId="347B3C27">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1.9</w:t>
            </w:r>
          </w:p>
        </w:tc>
      </w:tr>
      <w:tr w14:paraId="1345C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4" w:type="dxa"/>
            <w:tcBorders>
              <w:top w:val="nil"/>
              <w:left w:val="nil"/>
              <w:bottom w:val="single" w:color="000000" w:sz="12" w:space="0"/>
              <w:right w:val="nil"/>
              <w:insideH w:val="nil"/>
              <w:insideV w:val="nil"/>
            </w:tcBorders>
          </w:tcPr>
          <w:p w14:paraId="28668606">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Ctrl_pre_n</w:t>
            </w:r>
          </w:p>
        </w:tc>
        <w:tc>
          <w:tcPr>
            <w:tcW w:w="4905" w:type="dxa"/>
            <w:tcBorders>
              <w:top w:val="nil"/>
              <w:left w:val="nil"/>
              <w:bottom w:val="single" w:color="000000" w:sz="12" w:space="0"/>
              <w:right w:val="nil"/>
              <w:insideH w:val="nil"/>
              <w:insideV w:val="nil"/>
            </w:tcBorders>
          </w:tcPr>
          <w:p w14:paraId="00306B07">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Control arm baseline sample size (if reported).</w:t>
            </w:r>
          </w:p>
        </w:tc>
        <w:tc>
          <w:tcPr>
            <w:tcW w:w="5387" w:type="dxa"/>
            <w:tcBorders>
              <w:top w:val="nil"/>
              <w:left w:val="nil"/>
              <w:bottom w:val="single" w:color="000000" w:sz="12" w:space="0"/>
              <w:right w:val="nil"/>
              <w:insideH w:val="nil"/>
              <w:insideV w:val="nil"/>
            </w:tcBorders>
          </w:tcPr>
          <w:p w14:paraId="5C868CA9">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Integer or blank.</w:t>
            </w:r>
          </w:p>
        </w:tc>
        <w:tc>
          <w:tcPr>
            <w:tcW w:w="1417" w:type="dxa"/>
            <w:tcBorders>
              <w:top w:val="nil"/>
              <w:left w:val="nil"/>
              <w:bottom w:val="single" w:color="000000" w:sz="12" w:space="0"/>
              <w:right w:val="nil"/>
              <w:insideH w:val="nil"/>
              <w:insideV w:val="nil"/>
            </w:tcBorders>
          </w:tcPr>
          <w:p w14:paraId="30CF142D">
            <w:pPr>
              <w:spacing w:before="0" w:after="0" w:line="240" w:lineRule="auto"/>
              <w:rPr>
                <w:rFonts w:ascii="Times New Roman" w:hAnsi="Times New Roman" w:cs="Times New Roman"/>
                <w:kern w:val="0"/>
                <w:szCs w:val="22"/>
                <w:lang w:eastAsia="en-US"/>
                <w14:ligatures w14:val="none"/>
              </w:rPr>
            </w:pPr>
            <w:r>
              <w:rPr>
                <w:rFonts w:ascii="Times New Roman" w:hAnsi="Times New Roman" w:eastAsia="Times New Roman" w:cs="Times New Roman"/>
                <w:color w:val="000000"/>
                <w:kern w:val="0"/>
                <w:sz w:val="17"/>
                <w:szCs w:val="22"/>
                <w:lang w:eastAsia="en-US"/>
                <w14:ligatures w14:val="none"/>
              </w:rPr>
              <w:t>37</w:t>
            </w:r>
          </w:p>
        </w:tc>
      </w:tr>
    </w:tbl>
    <w:p w14:paraId="78486430">
      <w:pPr>
        <w:rPr>
          <w:rFonts w:ascii="Times New Roman" w:hAnsi="Times New Roman" w:cs="Times New Roman"/>
          <w:b/>
          <w:bCs/>
        </w:rPr>
      </w:pPr>
    </w:p>
    <w:p w14:paraId="0C387263">
      <w:pPr>
        <w:pStyle w:val="3"/>
        <w:rPr>
          <w:rFonts w:ascii="Times New Roman" w:hAnsi="Times New Roman" w:cs="Times New Roman" w:eastAsiaTheme="minorEastAsia"/>
          <w:b/>
          <w:bCs/>
          <w:color w:val="auto"/>
          <w:kern w:val="0"/>
          <w:sz w:val="22"/>
          <w:szCs w:val="22"/>
          <w:lang w:eastAsia="en-US"/>
          <w14:ligatures w14:val="none"/>
        </w:rPr>
      </w:pPr>
      <w:r>
        <w:rPr>
          <w:rFonts w:ascii="Times New Roman" w:hAnsi="Times New Roman" w:cs="Times New Roman" w:eastAsiaTheme="minorEastAsia"/>
          <w:b/>
          <w:bCs/>
          <w:color w:val="000000"/>
          <w:kern w:val="0"/>
          <w:sz w:val="20"/>
          <w:szCs w:val="22"/>
          <w:lang w:eastAsia="en-US"/>
          <w14:ligatures w14:val="none"/>
        </w:rPr>
        <w:t>C. Example rows (illustrative)</w:t>
      </w:r>
      <w:r>
        <w:rPr>
          <w:rFonts w:ascii="Times New Roman" w:hAnsi="Times New Roman" w:eastAsia="Times New Roman"/>
          <w:b/>
          <w:bCs/>
          <w:color w:val="000000"/>
          <w:sz w:val="20"/>
        </w:rPr>
        <w:t xml:space="preserve"> Rows correspond to the same illustrative records across C1-C3.</w:t>
      </w:r>
    </w:p>
    <w:p w14:paraId="420953D7">
      <w:pPr>
        <w:spacing w:before="120" w:after="60"/>
        <w:rPr>
          <w:rFonts w:ascii="Times New Roman" w:hAnsi="Times New Roman"/>
          <w:b/>
          <w:bCs/>
        </w:rPr>
      </w:pPr>
      <w:r>
        <w:rPr>
          <w:rFonts w:ascii="Times New Roman" w:hAnsi="Times New Roman" w:eastAsia="Times New Roman"/>
          <w:b/>
          <w:bCs/>
          <w:color w:val="000000"/>
          <w:sz w:val="20"/>
        </w:rPr>
        <w:t>C1. Study, arm, node, and outcome descriptors</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4"/>
        <w:gridCol w:w="1374"/>
        <w:gridCol w:w="1375"/>
        <w:gridCol w:w="1373"/>
        <w:gridCol w:w="1369"/>
        <w:gridCol w:w="1371"/>
        <w:gridCol w:w="1783"/>
        <w:gridCol w:w="1367"/>
        <w:gridCol w:w="1392"/>
        <w:gridCol w:w="1446"/>
      </w:tblGrid>
      <w:tr w14:paraId="58A5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tcBorders>
              <w:top w:val="single" w:color="000000" w:sz="12" w:space="0"/>
              <w:left w:val="nil"/>
              <w:bottom w:val="single" w:color="000000" w:sz="8" w:space="0"/>
              <w:right w:val="nil"/>
              <w:insideH w:val="nil"/>
              <w:insideV w:val="nil"/>
            </w:tcBorders>
          </w:tcPr>
          <w:p w14:paraId="6670359F">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ID</w:t>
            </w:r>
          </w:p>
        </w:tc>
        <w:tc>
          <w:tcPr>
            <w:tcW w:w="1396" w:type="dxa"/>
            <w:tcBorders>
              <w:top w:val="single" w:color="000000" w:sz="12" w:space="0"/>
              <w:left w:val="nil"/>
              <w:bottom w:val="single" w:color="000000" w:sz="8" w:space="0"/>
              <w:right w:val="nil"/>
              <w:insideH w:val="nil"/>
              <w:insideV w:val="nil"/>
            </w:tcBorders>
          </w:tcPr>
          <w:p w14:paraId="249F1498">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Arm_ID_Exp</w:t>
            </w:r>
          </w:p>
        </w:tc>
        <w:tc>
          <w:tcPr>
            <w:tcW w:w="1396" w:type="dxa"/>
            <w:tcBorders>
              <w:top w:val="single" w:color="000000" w:sz="12" w:space="0"/>
              <w:left w:val="nil"/>
              <w:bottom w:val="single" w:color="000000" w:sz="8" w:space="0"/>
              <w:right w:val="nil"/>
              <w:insideH w:val="nil"/>
              <w:insideV w:val="nil"/>
            </w:tcBorders>
          </w:tcPr>
          <w:p w14:paraId="2D204CB6">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Arm_ID_Ctrl</w:t>
            </w:r>
          </w:p>
        </w:tc>
        <w:tc>
          <w:tcPr>
            <w:tcW w:w="1396" w:type="dxa"/>
            <w:tcBorders>
              <w:top w:val="single" w:color="000000" w:sz="12" w:space="0"/>
              <w:left w:val="nil"/>
              <w:bottom w:val="single" w:color="000000" w:sz="8" w:space="0"/>
              <w:right w:val="nil"/>
              <w:insideH w:val="nil"/>
              <w:insideV w:val="nil"/>
            </w:tcBorders>
          </w:tcPr>
          <w:p w14:paraId="4234A49A">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Study_design</w:t>
            </w:r>
          </w:p>
        </w:tc>
        <w:tc>
          <w:tcPr>
            <w:tcW w:w="1396" w:type="dxa"/>
            <w:tcBorders>
              <w:top w:val="single" w:color="000000" w:sz="12" w:space="0"/>
              <w:left w:val="nil"/>
              <w:bottom w:val="single" w:color="000000" w:sz="8" w:space="0"/>
              <w:right w:val="nil"/>
              <w:insideH w:val="nil"/>
              <w:insideV w:val="nil"/>
            </w:tcBorders>
          </w:tcPr>
          <w:p w14:paraId="28785519">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Node_EXP</w:t>
            </w:r>
          </w:p>
        </w:tc>
        <w:tc>
          <w:tcPr>
            <w:tcW w:w="1396" w:type="dxa"/>
            <w:tcBorders>
              <w:top w:val="single" w:color="000000" w:sz="12" w:space="0"/>
              <w:left w:val="nil"/>
              <w:bottom w:val="single" w:color="000000" w:sz="8" w:space="0"/>
              <w:right w:val="nil"/>
              <w:insideH w:val="nil"/>
              <w:insideV w:val="nil"/>
            </w:tcBorders>
          </w:tcPr>
          <w:p w14:paraId="70ADAEB3">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Node_CTRL</w:t>
            </w:r>
          </w:p>
        </w:tc>
        <w:tc>
          <w:tcPr>
            <w:tcW w:w="1396" w:type="dxa"/>
            <w:tcBorders>
              <w:top w:val="single" w:color="000000" w:sz="12" w:space="0"/>
              <w:left w:val="nil"/>
              <w:bottom w:val="single" w:color="000000" w:sz="8" w:space="0"/>
              <w:right w:val="nil"/>
              <w:insideH w:val="nil"/>
              <w:insideV w:val="nil"/>
            </w:tcBorders>
          </w:tcPr>
          <w:p w14:paraId="4F1640D9">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Outcome_name</w:t>
            </w:r>
          </w:p>
        </w:tc>
        <w:tc>
          <w:tcPr>
            <w:tcW w:w="1396" w:type="dxa"/>
            <w:tcBorders>
              <w:top w:val="single" w:color="000000" w:sz="12" w:space="0"/>
              <w:left w:val="nil"/>
              <w:bottom w:val="single" w:color="000000" w:sz="8" w:space="0"/>
              <w:right w:val="nil"/>
              <w:insideH w:val="nil"/>
              <w:insideV w:val="nil"/>
            </w:tcBorders>
          </w:tcPr>
          <w:p w14:paraId="15B256CD">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Metric</w:t>
            </w:r>
          </w:p>
        </w:tc>
        <w:tc>
          <w:tcPr>
            <w:tcW w:w="1396" w:type="dxa"/>
            <w:tcBorders>
              <w:top w:val="single" w:color="000000" w:sz="12" w:space="0"/>
              <w:left w:val="nil"/>
              <w:bottom w:val="single" w:color="000000" w:sz="8" w:space="0"/>
              <w:right w:val="nil"/>
              <w:insideH w:val="nil"/>
              <w:insideV w:val="nil"/>
            </w:tcBorders>
          </w:tcPr>
          <w:p w14:paraId="1E22083C">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Primary_Domain</w:t>
            </w:r>
          </w:p>
        </w:tc>
        <w:tc>
          <w:tcPr>
            <w:tcW w:w="1396" w:type="dxa"/>
            <w:tcBorders>
              <w:top w:val="single" w:color="000000" w:sz="12" w:space="0"/>
              <w:left w:val="nil"/>
              <w:bottom w:val="single" w:color="000000" w:sz="8" w:space="0"/>
              <w:right w:val="nil"/>
              <w:insideH w:val="nil"/>
              <w:insideV w:val="nil"/>
            </w:tcBorders>
          </w:tcPr>
          <w:p w14:paraId="73156C63">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Scale_direction (↑=better/↓=better)</w:t>
            </w:r>
          </w:p>
        </w:tc>
      </w:tr>
      <w:tr w14:paraId="6105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tcBorders>
              <w:top w:val="nil"/>
              <w:left w:val="nil"/>
              <w:bottom w:val="nil"/>
              <w:right w:val="nil"/>
              <w:insideH w:val="nil"/>
              <w:insideV w:val="nil"/>
            </w:tcBorders>
          </w:tcPr>
          <w:p w14:paraId="59ECC738">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w:t>
            </w:r>
          </w:p>
        </w:tc>
        <w:tc>
          <w:tcPr>
            <w:tcW w:w="1396" w:type="dxa"/>
            <w:tcBorders>
              <w:top w:val="nil"/>
              <w:left w:val="nil"/>
              <w:bottom w:val="nil"/>
              <w:right w:val="nil"/>
              <w:insideH w:val="nil"/>
              <w:insideV w:val="nil"/>
            </w:tcBorders>
          </w:tcPr>
          <w:p w14:paraId="1B33807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A1</w:t>
            </w:r>
          </w:p>
        </w:tc>
        <w:tc>
          <w:tcPr>
            <w:tcW w:w="1396" w:type="dxa"/>
            <w:tcBorders>
              <w:top w:val="nil"/>
              <w:left w:val="nil"/>
              <w:bottom w:val="nil"/>
              <w:right w:val="nil"/>
              <w:insideH w:val="nil"/>
              <w:insideV w:val="nil"/>
            </w:tcBorders>
          </w:tcPr>
          <w:p w14:paraId="614E784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B1</w:t>
            </w:r>
          </w:p>
        </w:tc>
        <w:tc>
          <w:tcPr>
            <w:tcW w:w="1396" w:type="dxa"/>
            <w:tcBorders>
              <w:top w:val="nil"/>
              <w:left w:val="nil"/>
              <w:bottom w:val="nil"/>
              <w:right w:val="nil"/>
              <w:insideH w:val="nil"/>
              <w:insideV w:val="nil"/>
            </w:tcBorders>
          </w:tcPr>
          <w:p w14:paraId="39D120B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Parallel</w:t>
            </w:r>
          </w:p>
        </w:tc>
        <w:tc>
          <w:tcPr>
            <w:tcW w:w="1396" w:type="dxa"/>
            <w:tcBorders>
              <w:top w:val="nil"/>
              <w:left w:val="nil"/>
              <w:bottom w:val="nil"/>
              <w:right w:val="nil"/>
              <w:insideH w:val="nil"/>
              <w:insideV w:val="nil"/>
            </w:tcBorders>
          </w:tcPr>
          <w:p w14:paraId="49FED1D3">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Cognitive Training</w:t>
            </w:r>
          </w:p>
        </w:tc>
        <w:tc>
          <w:tcPr>
            <w:tcW w:w="1396" w:type="dxa"/>
            <w:tcBorders>
              <w:top w:val="nil"/>
              <w:left w:val="nil"/>
              <w:bottom w:val="nil"/>
              <w:right w:val="nil"/>
              <w:insideH w:val="nil"/>
              <w:insideV w:val="nil"/>
            </w:tcBorders>
          </w:tcPr>
          <w:p w14:paraId="5FEA30D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Control</w:t>
            </w:r>
          </w:p>
        </w:tc>
        <w:tc>
          <w:tcPr>
            <w:tcW w:w="1396" w:type="dxa"/>
            <w:tcBorders>
              <w:top w:val="nil"/>
              <w:left w:val="nil"/>
              <w:bottom w:val="nil"/>
              <w:right w:val="nil"/>
              <w:insideH w:val="nil"/>
              <w:insideV w:val="nil"/>
            </w:tcBorders>
          </w:tcPr>
          <w:p w14:paraId="1D436322">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CPT errors commision</w:t>
            </w:r>
          </w:p>
        </w:tc>
        <w:tc>
          <w:tcPr>
            <w:tcW w:w="1396" w:type="dxa"/>
            <w:tcBorders>
              <w:top w:val="nil"/>
              <w:left w:val="nil"/>
              <w:bottom w:val="nil"/>
              <w:right w:val="nil"/>
              <w:insideH w:val="nil"/>
              <w:insideV w:val="nil"/>
            </w:tcBorders>
          </w:tcPr>
          <w:p w14:paraId="7BE36C5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Percentage</w:t>
            </w:r>
          </w:p>
        </w:tc>
        <w:tc>
          <w:tcPr>
            <w:tcW w:w="1396" w:type="dxa"/>
            <w:tcBorders>
              <w:top w:val="nil"/>
              <w:left w:val="nil"/>
              <w:bottom w:val="nil"/>
              <w:right w:val="nil"/>
              <w:insideH w:val="nil"/>
              <w:insideV w:val="nil"/>
            </w:tcBorders>
          </w:tcPr>
          <w:p w14:paraId="7A4C55C2">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Inhibitory control</w:t>
            </w:r>
          </w:p>
        </w:tc>
        <w:tc>
          <w:tcPr>
            <w:tcW w:w="1396" w:type="dxa"/>
            <w:tcBorders>
              <w:top w:val="nil"/>
              <w:left w:val="nil"/>
              <w:bottom w:val="nil"/>
              <w:right w:val="nil"/>
              <w:insideH w:val="nil"/>
              <w:insideV w:val="nil"/>
            </w:tcBorders>
          </w:tcPr>
          <w:p w14:paraId="2BCFC25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↓=better</w:t>
            </w:r>
          </w:p>
        </w:tc>
      </w:tr>
      <w:tr w14:paraId="71EB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tcBorders>
              <w:top w:val="nil"/>
              <w:left w:val="nil"/>
              <w:bottom w:val="nil"/>
              <w:right w:val="nil"/>
              <w:insideH w:val="nil"/>
              <w:insideV w:val="nil"/>
            </w:tcBorders>
          </w:tcPr>
          <w:p w14:paraId="1FCCD2B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w:t>
            </w:r>
          </w:p>
        </w:tc>
        <w:tc>
          <w:tcPr>
            <w:tcW w:w="1396" w:type="dxa"/>
            <w:tcBorders>
              <w:top w:val="nil"/>
              <w:left w:val="nil"/>
              <w:bottom w:val="nil"/>
              <w:right w:val="nil"/>
              <w:insideH w:val="nil"/>
              <w:insideV w:val="nil"/>
            </w:tcBorders>
          </w:tcPr>
          <w:p w14:paraId="614D81B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A1</w:t>
            </w:r>
          </w:p>
        </w:tc>
        <w:tc>
          <w:tcPr>
            <w:tcW w:w="1396" w:type="dxa"/>
            <w:tcBorders>
              <w:top w:val="nil"/>
              <w:left w:val="nil"/>
              <w:bottom w:val="nil"/>
              <w:right w:val="nil"/>
              <w:insideH w:val="nil"/>
              <w:insideV w:val="nil"/>
            </w:tcBorders>
          </w:tcPr>
          <w:p w14:paraId="75CB6C3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B1</w:t>
            </w:r>
          </w:p>
        </w:tc>
        <w:tc>
          <w:tcPr>
            <w:tcW w:w="1396" w:type="dxa"/>
            <w:tcBorders>
              <w:top w:val="nil"/>
              <w:left w:val="nil"/>
              <w:bottom w:val="nil"/>
              <w:right w:val="nil"/>
              <w:insideH w:val="nil"/>
              <w:insideV w:val="nil"/>
            </w:tcBorders>
          </w:tcPr>
          <w:p w14:paraId="4F19250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Parallel</w:t>
            </w:r>
          </w:p>
        </w:tc>
        <w:tc>
          <w:tcPr>
            <w:tcW w:w="1396" w:type="dxa"/>
            <w:tcBorders>
              <w:top w:val="nil"/>
              <w:left w:val="nil"/>
              <w:bottom w:val="nil"/>
              <w:right w:val="nil"/>
              <w:insideH w:val="nil"/>
              <w:insideV w:val="nil"/>
            </w:tcBorders>
          </w:tcPr>
          <w:p w14:paraId="06D70B74">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Mind-Body and Traditional Interventions</w:t>
            </w:r>
          </w:p>
        </w:tc>
        <w:tc>
          <w:tcPr>
            <w:tcW w:w="1396" w:type="dxa"/>
            <w:tcBorders>
              <w:top w:val="nil"/>
              <w:left w:val="nil"/>
              <w:bottom w:val="nil"/>
              <w:right w:val="nil"/>
              <w:insideH w:val="nil"/>
              <w:insideV w:val="nil"/>
            </w:tcBorders>
          </w:tcPr>
          <w:p w14:paraId="6212291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Behavioral therapy and parent training</w:t>
            </w:r>
          </w:p>
        </w:tc>
        <w:tc>
          <w:tcPr>
            <w:tcW w:w="1396" w:type="dxa"/>
            <w:tcBorders>
              <w:top w:val="nil"/>
              <w:left w:val="nil"/>
              <w:bottom w:val="nil"/>
              <w:right w:val="nil"/>
              <w:insideH w:val="nil"/>
              <w:insideV w:val="nil"/>
            </w:tcBorders>
          </w:tcPr>
          <w:p w14:paraId="4A0C84A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TEA-Ch Opposite Worlds opposite world total time</w:t>
            </w:r>
          </w:p>
        </w:tc>
        <w:tc>
          <w:tcPr>
            <w:tcW w:w="1396" w:type="dxa"/>
            <w:tcBorders>
              <w:top w:val="nil"/>
              <w:left w:val="nil"/>
              <w:bottom w:val="nil"/>
              <w:right w:val="nil"/>
              <w:insideH w:val="nil"/>
              <w:insideV w:val="nil"/>
            </w:tcBorders>
          </w:tcPr>
          <w:p w14:paraId="7CA7420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Seconds</w:t>
            </w:r>
          </w:p>
        </w:tc>
        <w:tc>
          <w:tcPr>
            <w:tcW w:w="1396" w:type="dxa"/>
            <w:tcBorders>
              <w:top w:val="nil"/>
              <w:left w:val="nil"/>
              <w:bottom w:val="nil"/>
              <w:right w:val="nil"/>
              <w:insideH w:val="nil"/>
              <w:insideV w:val="nil"/>
            </w:tcBorders>
          </w:tcPr>
          <w:p w14:paraId="68946AC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Inhibitory control</w:t>
            </w:r>
          </w:p>
        </w:tc>
        <w:tc>
          <w:tcPr>
            <w:tcW w:w="1396" w:type="dxa"/>
            <w:tcBorders>
              <w:top w:val="nil"/>
              <w:left w:val="nil"/>
              <w:bottom w:val="nil"/>
              <w:right w:val="nil"/>
              <w:insideH w:val="nil"/>
              <w:insideV w:val="nil"/>
            </w:tcBorders>
          </w:tcPr>
          <w:p w14:paraId="1BF11FA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↓=better</w:t>
            </w:r>
          </w:p>
        </w:tc>
      </w:tr>
      <w:tr w14:paraId="2B47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tcBorders>
              <w:top w:val="nil"/>
              <w:left w:val="nil"/>
              <w:bottom w:val="nil"/>
              <w:right w:val="nil"/>
              <w:insideH w:val="nil"/>
              <w:insideV w:val="nil"/>
            </w:tcBorders>
          </w:tcPr>
          <w:p w14:paraId="5ACFB28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w:t>
            </w:r>
          </w:p>
        </w:tc>
        <w:tc>
          <w:tcPr>
            <w:tcW w:w="1396" w:type="dxa"/>
            <w:tcBorders>
              <w:top w:val="nil"/>
              <w:left w:val="nil"/>
              <w:bottom w:val="nil"/>
              <w:right w:val="nil"/>
              <w:insideH w:val="nil"/>
              <w:insideV w:val="nil"/>
            </w:tcBorders>
          </w:tcPr>
          <w:p w14:paraId="1AE5F2DD">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A1</w:t>
            </w:r>
          </w:p>
        </w:tc>
        <w:tc>
          <w:tcPr>
            <w:tcW w:w="1396" w:type="dxa"/>
            <w:tcBorders>
              <w:top w:val="nil"/>
              <w:left w:val="nil"/>
              <w:bottom w:val="nil"/>
              <w:right w:val="nil"/>
              <w:insideH w:val="nil"/>
              <w:insideV w:val="nil"/>
            </w:tcBorders>
          </w:tcPr>
          <w:p w14:paraId="3E1282C9">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B1</w:t>
            </w:r>
          </w:p>
        </w:tc>
        <w:tc>
          <w:tcPr>
            <w:tcW w:w="1396" w:type="dxa"/>
            <w:tcBorders>
              <w:top w:val="nil"/>
              <w:left w:val="nil"/>
              <w:bottom w:val="nil"/>
              <w:right w:val="nil"/>
              <w:insideH w:val="nil"/>
              <w:insideV w:val="nil"/>
            </w:tcBorders>
          </w:tcPr>
          <w:p w14:paraId="3607860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Parallel</w:t>
            </w:r>
          </w:p>
        </w:tc>
        <w:tc>
          <w:tcPr>
            <w:tcW w:w="1396" w:type="dxa"/>
            <w:tcBorders>
              <w:top w:val="nil"/>
              <w:left w:val="nil"/>
              <w:bottom w:val="nil"/>
              <w:right w:val="nil"/>
              <w:insideH w:val="nil"/>
              <w:insideV w:val="nil"/>
            </w:tcBorders>
          </w:tcPr>
          <w:p w14:paraId="3548EB22">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Mind-Body and Traditional Interventions</w:t>
            </w:r>
          </w:p>
        </w:tc>
        <w:tc>
          <w:tcPr>
            <w:tcW w:w="1396" w:type="dxa"/>
            <w:tcBorders>
              <w:top w:val="nil"/>
              <w:left w:val="nil"/>
              <w:bottom w:val="nil"/>
              <w:right w:val="nil"/>
              <w:insideH w:val="nil"/>
              <w:insideV w:val="nil"/>
            </w:tcBorders>
          </w:tcPr>
          <w:p w14:paraId="1A7E9172">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Behavioral therapy and parent training</w:t>
            </w:r>
          </w:p>
        </w:tc>
        <w:tc>
          <w:tcPr>
            <w:tcW w:w="1396" w:type="dxa"/>
            <w:tcBorders>
              <w:top w:val="nil"/>
              <w:left w:val="nil"/>
              <w:bottom w:val="nil"/>
              <w:right w:val="nil"/>
              <w:insideH w:val="nil"/>
              <w:insideV w:val="nil"/>
            </w:tcBorders>
          </w:tcPr>
          <w:p w14:paraId="16996A0A">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ANT conflict</w:t>
            </w:r>
          </w:p>
        </w:tc>
        <w:tc>
          <w:tcPr>
            <w:tcW w:w="1396" w:type="dxa"/>
            <w:tcBorders>
              <w:top w:val="nil"/>
              <w:left w:val="nil"/>
              <w:bottom w:val="nil"/>
              <w:right w:val="nil"/>
              <w:insideH w:val="nil"/>
              <w:insideV w:val="nil"/>
            </w:tcBorders>
          </w:tcPr>
          <w:p w14:paraId="605D2A5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Milliseconds</w:t>
            </w:r>
          </w:p>
        </w:tc>
        <w:tc>
          <w:tcPr>
            <w:tcW w:w="1396" w:type="dxa"/>
            <w:tcBorders>
              <w:top w:val="nil"/>
              <w:left w:val="nil"/>
              <w:bottom w:val="nil"/>
              <w:right w:val="nil"/>
              <w:insideH w:val="nil"/>
              <w:insideV w:val="nil"/>
            </w:tcBorders>
          </w:tcPr>
          <w:p w14:paraId="34D2AE34">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Inhibitory control</w:t>
            </w:r>
          </w:p>
        </w:tc>
        <w:tc>
          <w:tcPr>
            <w:tcW w:w="1396" w:type="dxa"/>
            <w:tcBorders>
              <w:top w:val="nil"/>
              <w:left w:val="nil"/>
              <w:bottom w:val="nil"/>
              <w:right w:val="nil"/>
              <w:insideH w:val="nil"/>
              <w:insideV w:val="nil"/>
            </w:tcBorders>
          </w:tcPr>
          <w:p w14:paraId="1F762B5A">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↓=better</w:t>
            </w:r>
          </w:p>
        </w:tc>
      </w:tr>
      <w:tr w14:paraId="13CF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tcBorders>
              <w:top w:val="nil"/>
              <w:left w:val="nil"/>
              <w:bottom w:val="nil"/>
              <w:right w:val="nil"/>
              <w:insideH w:val="nil"/>
              <w:insideV w:val="nil"/>
            </w:tcBorders>
          </w:tcPr>
          <w:p w14:paraId="2E6F55C5">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w:t>
            </w:r>
          </w:p>
        </w:tc>
        <w:tc>
          <w:tcPr>
            <w:tcW w:w="1396" w:type="dxa"/>
            <w:tcBorders>
              <w:top w:val="nil"/>
              <w:left w:val="nil"/>
              <w:bottom w:val="nil"/>
              <w:right w:val="nil"/>
              <w:insideH w:val="nil"/>
              <w:insideV w:val="nil"/>
            </w:tcBorders>
          </w:tcPr>
          <w:p w14:paraId="5F12005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A1</w:t>
            </w:r>
          </w:p>
        </w:tc>
        <w:tc>
          <w:tcPr>
            <w:tcW w:w="1396" w:type="dxa"/>
            <w:tcBorders>
              <w:top w:val="nil"/>
              <w:left w:val="nil"/>
              <w:bottom w:val="nil"/>
              <w:right w:val="nil"/>
              <w:insideH w:val="nil"/>
              <w:insideV w:val="nil"/>
            </w:tcBorders>
          </w:tcPr>
          <w:p w14:paraId="4E8EC5D3">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B1</w:t>
            </w:r>
          </w:p>
        </w:tc>
        <w:tc>
          <w:tcPr>
            <w:tcW w:w="1396" w:type="dxa"/>
            <w:tcBorders>
              <w:top w:val="nil"/>
              <w:left w:val="nil"/>
              <w:bottom w:val="nil"/>
              <w:right w:val="nil"/>
              <w:insideH w:val="nil"/>
              <w:insideV w:val="nil"/>
            </w:tcBorders>
          </w:tcPr>
          <w:p w14:paraId="30A94BF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Parallel</w:t>
            </w:r>
          </w:p>
        </w:tc>
        <w:tc>
          <w:tcPr>
            <w:tcW w:w="1396" w:type="dxa"/>
            <w:tcBorders>
              <w:top w:val="nil"/>
              <w:left w:val="nil"/>
              <w:bottom w:val="nil"/>
              <w:right w:val="nil"/>
              <w:insideH w:val="nil"/>
              <w:insideV w:val="nil"/>
            </w:tcBorders>
          </w:tcPr>
          <w:p w14:paraId="251EEF1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Cognitive Training</w:t>
            </w:r>
          </w:p>
        </w:tc>
        <w:tc>
          <w:tcPr>
            <w:tcW w:w="1396" w:type="dxa"/>
            <w:tcBorders>
              <w:top w:val="nil"/>
              <w:left w:val="nil"/>
              <w:bottom w:val="nil"/>
              <w:right w:val="nil"/>
              <w:insideH w:val="nil"/>
              <w:insideV w:val="nil"/>
            </w:tcBorders>
          </w:tcPr>
          <w:p w14:paraId="7DDE1211">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Control</w:t>
            </w:r>
          </w:p>
        </w:tc>
        <w:tc>
          <w:tcPr>
            <w:tcW w:w="1396" w:type="dxa"/>
            <w:tcBorders>
              <w:top w:val="nil"/>
              <w:left w:val="nil"/>
              <w:bottom w:val="nil"/>
              <w:right w:val="nil"/>
              <w:insideH w:val="nil"/>
              <w:insideV w:val="nil"/>
            </w:tcBorders>
          </w:tcPr>
          <w:p w14:paraId="046F9A4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CW Controlled attention</w:t>
            </w:r>
          </w:p>
        </w:tc>
        <w:tc>
          <w:tcPr>
            <w:tcW w:w="1396" w:type="dxa"/>
            <w:tcBorders>
              <w:top w:val="nil"/>
              <w:left w:val="nil"/>
              <w:bottom w:val="nil"/>
              <w:right w:val="nil"/>
              <w:insideH w:val="nil"/>
              <w:insideV w:val="nil"/>
            </w:tcBorders>
          </w:tcPr>
          <w:p w14:paraId="0B515968">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Scaled score</w:t>
            </w:r>
          </w:p>
        </w:tc>
        <w:tc>
          <w:tcPr>
            <w:tcW w:w="1396" w:type="dxa"/>
            <w:tcBorders>
              <w:top w:val="nil"/>
              <w:left w:val="nil"/>
              <w:bottom w:val="nil"/>
              <w:right w:val="nil"/>
              <w:insideH w:val="nil"/>
              <w:insideV w:val="nil"/>
            </w:tcBorders>
          </w:tcPr>
          <w:p w14:paraId="14AC302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Inhibitory control</w:t>
            </w:r>
          </w:p>
        </w:tc>
        <w:tc>
          <w:tcPr>
            <w:tcW w:w="1396" w:type="dxa"/>
            <w:tcBorders>
              <w:top w:val="nil"/>
              <w:left w:val="nil"/>
              <w:bottom w:val="nil"/>
              <w:right w:val="nil"/>
              <w:insideH w:val="nil"/>
              <w:insideV w:val="nil"/>
            </w:tcBorders>
          </w:tcPr>
          <w:p w14:paraId="4BEE85D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↑=better</w:t>
            </w:r>
          </w:p>
        </w:tc>
      </w:tr>
      <w:tr w14:paraId="799E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6" w:type="dxa"/>
            <w:tcBorders>
              <w:top w:val="nil"/>
              <w:left w:val="nil"/>
              <w:bottom w:val="single" w:color="000000" w:sz="12" w:space="0"/>
              <w:right w:val="nil"/>
              <w:insideH w:val="nil"/>
              <w:insideV w:val="nil"/>
            </w:tcBorders>
          </w:tcPr>
          <w:p w14:paraId="582EF599">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w:t>
            </w:r>
          </w:p>
        </w:tc>
        <w:tc>
          <w:tcPr>
            <w:tcW w:w="1396" w:type="dxa"/>
            <w:tcBorders>
              <w:top w:val="nil"/>
              <w:left w:val="nil"/>
              <w:bottom w:val="single" w:color="000000" w:sz="12" w:space="0"/>
              <w:right w:val="nil"/>
              <w:insideH w:val="nil"/>
              <w:insideV w:val="nil"/>
            </w:tcBorders>
          </w:tcPr>
          <w:p w14:paraId="5751885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A1</w:t>
            </w:r>
          </w:p>
        </w:tc>
        <w:tc>
          <w:tcPr>
            <w:tcW w:w="1396" w:type="dxa"/>
            <w:tcBorders>
              <w:top w:val="nil"/>
              <w:left w:val="nil"/>
              <w:bottom w:val="single" w:color="000000" w:sz="12" w:space="0"/>
              <w:right w:val="nil"/>
              <w:insideH w:val="nil"/>
              <w:insideV w:val="nil"/>
            </w:tcBorders>
          </w:tcPr>
          <w:p w14:paraId="77C57CE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B1</w:t>
            </w:r>
          </w:p>
        </w:tc>
        <w:tc>
          <w:tcPr>
            <w:tcW w:w="1396" w:type="dxa"/>
            <w:tcBorders>
              <w:top w:val="nil"/>
              <w:left w:val="nil"/>
              <w:bottom w:val="single" w:color="000000" w:sz="12" w:space="0"/>
              <w:right w:val="nil"/>
              <w:insideH w:val="nil"/>
              <w:insideV w:val="nil"/>
            </w:tcBorders>
          </w:tcPr>
          <w:p w14:paraId="5F789B4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Parallel</w:t>
            </w:r>
          </w:p>
        </w:tc>
        <w:tc>
          <w:tcPr>
            <w:tcW w:w="1396" w:type="dxa"/>
            <w:tcBorders>
              <w:top w:val="nil"/>
              <w:left w:val="nil"/>
              <w:bottom w:val="single" w:color="000000" w:sz="12" w:space="0"/>
              <w:right w:val="nil"/>
              <w:insideH w:val="nil"/>
              <w:insideV w:val="nil"/>
            </w:tcBorders>
          </w:tcPr>
          <w:p w14:paraId="6CA387AA">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Cognitive Training</w:t>
            </w:r>
          </w:p>
        </w:tc>
        <w:tc>
          <w:tcPr>
            <w:tcW w:w="1396" w:type="dxa"/>
            <w:tcBorders>
              <w:top w:val="nil"/>
              <w:left w:val="nil"/>
              <w:bottom w:val="single" w:color="000000" w:sz="12" w:space="0"/>
              <w:right w:val="nil"/>
              <w:insideH w:val="nil"/>
              <w:insideV w:val="nil"/>
            </w:tcBorders>
          </w:tcPr>
          <w:p w14:paraId="1DE5DA7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Control</w:t>
            </w:r>
          </w:p>
        </w:tc>
        <w:tc>
          <w:tcPr>
            <w:tcW w:w="1396" w:type="dxa"/>
            <w:tcBorders>
              <w:top w:val="nil"/>
              <w:left w:val="nil"/>
              <w:bottom w:val="single" w:color="000000" w:sz="12" w:space="0"/>
              <w:right w:val="nil"/>
              <w:insideH w:val="nil"/>
              <w:insideV w:val="nil"/>
            </w:tcBorders>
          </w:tcPr>
          <w:p w14:paraId="6BB567F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CPT-II Hyperactivity-Impulsivity</w:t>
            </w:r>
          </w:p>
        </w:tc>
        <w:tc>
          <w:tcPr>
            <w:tcW w:w="1396" w:type="dxa"/>
            <w:tcBorders>
              <w:top w:val="nil"/>
              <w:left w:val="nil"/>
              <w:bottom w:val="single" w:color="000000" w:sz="12" w:space="0"/>
              <w:right w:val="nil"/>
              <w:insideH w:val="nil"/>
              <w:insideV w:val="nil"/>
            </w:tcBorders>
          </w:tcPr>
          <w:p w14:paraId="5D09CF9A">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T-score</w:t>
            </w:r>
          </w:p>
        </w:tc>
        <w:tc>
          <w:tcPr>
            <w:tcW w:w="1396" w:type="dxa"/>
            <w:tcBorders>
              <w:top w:val="nil"/>
              <w:left w:val="nil"/>
              <w:bottom w:val="single" w:color="000000" w:sz="12" w:space="0"/>
              <w:right w:val="nil"/>
              <w:insideH w:val="nil"/>
              <w:insideV w:val="nil"/>
            </w:tcBorders>
          </w:tcPr>
          <w:p w14:paraId="1248E2F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Inhibitory control</w:t>
            </w:r>
          </w:p>
        </w:tc>
        <w:tc>
          <w:tcPr>
            <w:tcW w:w="1396" w:type="dxa"/>
            <w:tcBorders>
              <w:top w:val="nil"/>
              <w:left w:val="nil"/>
              <w:bottom w:val="single" w:color="000000" w:sz="12" w:space="0"/>
              <w:right w:val="nil"/>
              <w:insideH w:val="nil"/>
              <w:insideV w:val="nil"/>
            </w:tcBorders>
          </w:tcPr>
          <w:p w14:paraId="38F30F06">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↓=better</w:t>
            </w:r>
          </w:p>
        </w:tc>
      </w:tr>
    </w:tbl>
    <w:p w14:paraId="53312338">
      <w:pPr>
        <w:rPr>
          <w:rFonts w:ascii="Times New Roman" w:hAnsi="Times New Roman"/>
        </w:rPr>
      </w:pPr>
    </w:p>
    <w:p w14:paraId="3934FA5E">
      <w:pPr>
        <w:spacing w:before="120" w:after="60"/>
        <w:rPr>
          <w:rFonts w:ascii="Times New Roman" w:hAnsi="Times New Roman"/>
        </w:rPr>
      </w:pPr>
      <w:r>
        <w:rPr>
          <w:rFonts w:ascii="Times New Roman" w:hAnsi="Times New Roman" w:eastAsia="Times New Roman"/>
          <w:b/>
          <w:color w:val="000000"/>
          <w:sz w:val="20"/>
        </w:rPr>
        <w:t>C2. Post-intervention values and effect-size fields</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1"/>
        <w:gridCol w:w="1551"/>
        <w:gridCol w:w="1551"/>
        <w:gridCol w:w="1551"/>
        <w:gridCol w:w="1551"/>
        <w:gridCol w:w="1551"/>
        <w:gridCol w:w="1551"/>
        <w:gridCol w:w="1551"/>
        <w:gridCol w:w="1551"/>
      </w:tblGrid>
      <w:tr w14:paraId="5303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tcBorders>
              <w:top w:val="single" w:color="000000" w:sz="12" w:space="0"/>
              <w:left w:val="nil"/>
              <w:bottom w:val="single" w:color="000000" w:sz="8" w:space="0"/>
              <w:right w:val="nil"/>
              <w:insideH w:val="nil"/>
              <w:insideV w:val="nil"/>
            </w:tcBorders>
          </w:tcPr>
          <w:p w14:paraId="44E07320">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ID</w:t>
            </w:r>
          </w:p>
        </w:tc>
        <w:tc>
          <w:tcPr>
            <w:tcW w:w="1551" w:type="dxa"/>
            <w:tcBorders>
              <w:top w:val="single" w:color="000000" w:sz="12" w:space="0"/>
              <w:left w:val="nil"/>
              <w:bottom w:val="single" w:color="000000" w:sz="8" w:space="0"/>
              <w:right w:val="nil"/>
              <w:insideH w:val="nil"/>
              <w:insideV w:val="nil"/>
            </w:tcBorders>
          </w:tcPr>
          <w:p w14:paraId="77FFEDAE">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Exp_post_M</w:t>
            </w:r>
          </w:p>
        </w:tc>
        <w:tc>
          <w:tcPr>
            <w:tcW w:w="1551" w:type="dxa"/>
            <w:tcBorders>
              <w:top w:val="single" w:color="000000" w:sz="12" w:space="0"/>
              <w:left w:val="nil"/>
              <w:bottom w:val="single" w:color="000000" w:sz="8" w:space="0"/>
              <w:right w:val="nil"/>
              <w:insideH w:val="nil"/>
              <w:insideV w:val="nil"/>
            </w:tcBorders>
          </w:tcPr>
          <w:p w14:paraId="1309DBFD">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Exp_post_SD</w:t>
            </w:r>
          </w:p>
        </w:tc>
        <w:tc>
          <w:tcPr>
            <w:tcW w:w="1551" w:type="dxa"/>
            <w:tcBorders>
              <w:top w:val="single" w:color="000000" w:sz="12" w:space="0"/>
              <w:left w:val="nil"/>
              <w:bottom w:val="single" w:color="000000" w:sz="8" w:space="0"/>
              <w:right w:val="nil"/>
              <w:insideH w:val="nil"/>
              <w:insideV w:val="nil"/>
            </w:tcBorders>
          </w:tcPr>
          <w:p w14:paraId="6FB294E5">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Exp_post_n</w:t>
            </w:r>
          </w:p>
        </w:tc>
        <w:tc>
          <w:tcPr>
            <w:tcW w:w="1551" w:type="dxa"/>
            <w:tcBorders>
              <w:top w:val="single" w:color="000000" w:sz="12" w:space="0"/>
              <w:left w:val="nil"/>
              <w:bottom w:val="single" w:color="000000" w:sz="8" w:space="0"/>
              <w:right w:val="nil"/>
              <w:insideH w:val="nil"/>
              <w:insideV w:val="nil"/>
            </w:tcBorders>
          </w:tcPr>
          <w:p w14:paraId="6E91A5F8">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Ctrl_post_M</w:t>
            </w:r>
          </w:p>
        </w:tc>
        <w:tc>
          <w:tcPr>
            <w:tcW w:w="1551" w:type="dxa"/>
            <w:tcBorders>
              <w:top w:val="single" w:color="000000" w:sz="12" w:space="0"/>
              <w:left w:val="nil"/>
              <w:bottom w:val="single" w:color="000000" w:sz="8" w:space="0"/>
              <w:right w:val="nil"/>
              <w:insideH w:val="nil"/>
              <w:insideV w:val="nil"/>
            </w:tcBorders>
          </w:tcPr>
          <w:p w14:paraId="116C557C">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Ctrl_post_SD</w:t>
            </w:r>
          </w:p>
        </w:tc>
        <w:tc>
          <w:tcPr>
            <w:tcW w:w="1551" w:type="dxa"/>
            <w:tcBorders>
              <w:top w:val="single" w:color="000000" w:sz="12" w:space="0"/>
              <w:left w:val="nil"/>
              <w:bottom w:val="single" w:color="000000" w:sz="8" w:space="0"/>
              <w:right w:val="nil"/>
              <w:insideH w:val="nil"/>
              <w:insideV w:val="nil"/>
            </w:tcBorders>
          </w:tcPr>
          <w:p w14:paraId="0DC0A65B">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Ctrl_post_n</w:t>
            </w:r>
          </w:p>
        </w:tc>
        <w:tc>
          <w:tcPr>
            <w:tcW w:w="1551" w:type="dxa"/>
            <w:tcBorders>
              <w:top w:val="single" w:color="000000" w:sz="12" w:space="0"/>
              <w:left w:val="nil"/>
              <w:bottom w:val="single" w:color="000000" w:sz="8" w:space="0"/>
              <w:right w:val="nil"/>
              <w:insideH w:val="nil"/>
              <w:insideV w:val="nil"/>
            </w:tcBorders>
          </w:tcPr>
          <w:p w14:paraId="2D559FFD">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Effect_size</w:t>
            </w:r>
          </w:p>
        </w:tc>
        <w:tc>
          <w:tcPr>
            <w:tcW w:w="1551" w:type="dxa"/>
            <w:tcBorders>
              <w:top w:val="single" w:color="000000" w:sz="12" w:space="0"/>
              <w:left w:val="nil"/>
              <w:bottom w:val="single" w:color="000000" w:sz="8" w:space="0"/>
              <w:right w:val="nil"/>
              <w:insideH w:val="nil"/>
              <w:insideV w:val="nil"/>
            </w:tcBorders>
          </w:tcPr>
          <w:p w14:paraId="1FF00ED2">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Var</w:t>
            </w:r>
          </w:p>
        </w:tc>
      </w:tr>
      <w:tr w14:paraId="0BB7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tcBorders>
              <w:top w:val="nil"/>
              <w:left w:val="nil"/>
              <w:bottom w:val="nil"/>
              <w:right w:val="nil"/>
              <w:insideH w:val="nil"/>
              <w:insideV w:val="nil"/>
            </w:tcBorders>
          </w:tcPr>
          <w:p w14:paraId="66A5830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w:t>
            </w:r>
          </w:p>
        </w:tc>
        <w:tc>
          <w:tcPr>
            <w:tcW w:w="1551" w:type="dxa"/>
            <w:tcBorders>
              <w:top w:val="nil"/>
              <w:left w:val="nil"/>
              <w:bottom w:val="nil"/>
              <w:right w:val="nil"/>
              <w:insideH w:val="nil"/>
              <w:insideV w:val="nil"/>
            </w:tcBorders>
          </w:tcPr>
          <w:p w14:paraId="2A344921">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-39.77</w:t>
            </w:r>
          </w:p>
        </w:tc>
        <w:tc>
          <w:tcPr>
            <w:tcW w:w="1551" w:type="dxa"/>
            <w:tcBorders>
              <w:top w:val="nil"/>
              <w:left w:val="nil"/>
              <w:bottom w:val="nil"/>
              <w:right w:val="nil"/>
              <w:insideH w:val="nil"/>
              <w:insideV w:val="nil"/>
            </w:tcBorders>
          </w:tcPr>
          <w:p w14:paraId="4B998EB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27.36</w:t>
            </w:r>
          </w:p>
        </w:tc>
        <w:tc>
          <w:tcPr>
            <w:tcW w:w="1551" w:type="dxa"/>
            <w:tcBorders>
              <w:top w:val="nil"/>
              <w:left w:val="nil"/>
              <w:bottom w:val="nil"/>
              <w:right w:val="nil"/>
              <w:insideH w:val="nil"/>
              <w:insideV w:val="nil"/>
            </w:tcBorders>
          </w:tcPr>
          <w:p w14:paraId="7F55EC7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41</w:t>
            </w:r>
          </w:p>
        </w:tc>
        <w:tc>
          <w:tcPr>
            <w:tcW w:w="1551" w:type="dxa"/>
            <w:tcBorders>
              <w:top w:val="nil"/>
              <w:left w:val="nil"/>
              <w:bottom w:val="nil"/>
              <w:right w:val="nil"/>
              <w:insideH w:val="nil"/>
              <w:insideV w:val="nil"/>
            </w:tcBorders>
          </w:tcPr>
          <w:p w14:paraId="5A28AD63">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-52.2</w:t>
            </w:r>
          </w:p>
        </w:tc>
        <w:tc>
          <w:tcPr>
            <w:tcW w:w="1551" w:type="dxa"/>
            <w:tcBorders>
              <w:top w:val="nil"/>
              <w:left w:val="nil"/>
              <w:bottom w:val="nil"/>
              <w:right w:val="nil"/>
              <w:insideH w:val="nil"/>
              <w:insideV w:val="nil"/>
            </w:tcBorders>
          </w:tcPr>
          <w:p w14:paraId="625B7C81">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21.15</w:t>
            </w:r>
          </w:p>
        </w:tc>
        <w:tc>
          <w:tcPr>
            <w:tcW w:w="1551" w:type="dxa"/>
            <w:tcBorders>
              <w:top w:val="nil"/>
              <w:left w:val="nil"/>
              <w:bottom w:val="nil"/>
              <w:right w:val="nil"/>
              <w:insideH w:val="nil"/>
              <w:insideV w:val="nil"/>
            </w:tcBorders>
          </w:tcPr>
          <w:p w14:paraId="14E15C1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39</w:t>
            </w:r>
          </w:p>
        </w:tc>
        <w:tc>
          <w:tcPr>
            <w:tcW w:w="1551" w:type="dxa"/>
            <w:tcBorders>
              <w:top w:val="nil"/>
              <w:left w:val="nil"/>
              <w:bottom w:val="nil"/>
              <w:right w:val="nil"/>
              <w:insideH w:val="nil"/>
              <w:insideV w:val="nil"/>
            </w:tcBorders>
          </w:tcPr>
          <w:p w14:paraId="0C6CD4E2">
            <w:pPr>
              <w:spacing w:before="0" w:after="0" w:line="240" w:lineRule="auto"/>
              <w:rPr>
                <w:rFonts w:ascii="Times New Roman" w:hAnsi="Times New Roman"/>
                <w:kern w:val="0"/>
                <w:szCs w:val="22"/>
                <w:lang w:eastAsia="en-US"/>
                <w14:ligatures w14:val="none"/>
              </w:rPr>
            </w:pPr>
          </w:p>
        </w:tc>
        <w:tc>
          <w:tcPr>
            <w:tcW w:w="1551" w:type="dxa"/>
            <w:tcBorders>
              <w:top w:val="nil"/>
              <w:left w:val="nil"/>
              <w:bottom w:val="nil"/>
              <w:right w:val="nil"/>
              <w:insideH w:val="nil"/>
              <w:insideV w:val="nil"/>
            </w:tcBorders>
          </w:tcPr>
          <w:p w14:paraId="40AB2C76">
            <w:pPr>
              <w:spacing w:before="0" w:after="0" w:line="240" w:lineRule="auto"/>
              <w:rPr>
                <w:rFonts w:ascii="Times New Roman" w:hAnsi="Times New Roman"/>
                <w:kern w:val="0"/>
                <w:szCs w:val="22"/>
                <w:lang w:eastAsia="en-US"/>
                <w14:ligatures w14:val="none"/>
              </w:rPr>
            </w:pPr>
          </w:p>
        </w:tc>
      </w:tr>
      <w:tr w14:paraId="7424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tcBorders>
              <w:top w:val="nil"/>
              <w:left w:val="nil"/>
              <w:bottom w:val="nil"/>
              <w:right w:val="nil"/>
              <w:insideH w:val="nil"/>
              <w:insideV w:val="nil"/>
            </w:tcBorders>
          </w:tcPr>
          <w:p w14:paraId="2CD158D9">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w:t>
            </w:r>
          </w:p>
        </w:tc>
        <w:tc>
          <w:tcPr>
            <w:tcW w:w="1551" w:type="dxa"/>
            <w:tcBorders>
              <w:top w:val="nil"/>
              <w:left w:val="nil"/>
              <w:bottom w:val="nil"/>
              <w:right w:val="nil"/>
              <w:insideH w:val="nil"/>
              <w:insideV w:val="nil"/>
            </w:tcBorders>
          </w:tcPr>
          <w:p w14:paraId="2F3945BA">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-11.4</w:t>
            </w:r>
          </w:p>
        </w:tc>
        <w:tc>
          <w:tcPr>
            <w:tcW w:w="1551" w:type="dxa"/>
            <w:tcBorders>
              <w:top w:val="nil"/>
              <w:left w:val="nil"/>
              <w:bottom w:val="nil"/>
              <w:right w:val="nil"/>
              <w:insideH w:val="nil"/>
              <w:insideV w:val="nil"/>
            </w:tcBorders>
          </w:tcPr>
          <w:p w14:paraId="43A3218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3.7</w:t>
            </w:r>
          </w:p>
        </w:tc>
        <w:tc>
          <w:tcPr>
            <w:tcW w:w="1551" w:type="dxa"/>
            <w:tcBorders>
              <w:top w:val="nil"/>
              <w:left w:val="nil"/>
              <w:bottom w:val="nil"/>
              <w:right w:val="nil"/>
              <w:insideH w:val="nil"/>
              <w:insideV w:val="nil"/>
            </w:tcBorders>
          </w:tcPr>
          <w:p w14:paraId="474C6373">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52</w:t>
            </w:r>
          </w:p>
        </w:tc>
        <w:tc>
          <w:tcPr>
            <w:tcW w:w="1551" w:type="dxa"/>
            <w:tcBorders>
              <w:top w:val="nil"/>
              <w:left w:val="nil"/>
              <w:bottom w:val="nil"/>
              <w:right w:val="nil"/>
              <w:insideH w:val="nil"/>
              <w:insideV w:val="nil"/>
            </w:tcBorders>
          </w:tcPr>
          <w:p w14:paraId="5D308BB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-11.7</w:t>
            </w:r>
          </w:p>
        </w:tc>
        <w:tc>
          <w:tcPr>
            <w:tcW w:w="1551" w:type="dxa"/>
            <w:tcBorders>
              <w:top w:val="nil"/>
              <w:left w:val="nil"/>
              <w:bottom w:val="nil"/>
              <w:right w:val="nil"/>
              <w:insideH w:val="nil"/>
              <w:insideV w:val="nil"/>
            </w:tcBorders>
          </w:tcPr>
          <w:p w14:paraId="6DD7868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3.8</w:t>
            </w:r>
          </w:p>
        </w:tc>
        <w:tc>
          <w:tcPr>
            <w:tcW w:w="1551" w:type="dxa"/>
            <w:tcBorders>
              <w:top w:val="nil"/>
              <w:left w:val="nil"/>
              <w:bottom w:val="nil"/>
              <w:right w:val="nil"/>
              <w:insideH w:val="nil"/>
              <w:insideV w:val="nil"/>
            </w:tcBorders>
          </w:tcPr>
          <w:p w14:paraId="74B158B9">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56</w:t>
            </w:r>
          </w:p>
        </w:tc>
        <w:tc>
          <w:tcPr>
            <w:tcW w:w="1551" w:type="dxa"/>
            <w:tcBorders>
              <w:top w:val="nil"/>
              <w:left w:val="nil"/>
              <w:bottom w:val="nil"/>
              <w:right w:val="nil"/>
              <w:insideH w:val="nil"/>
              <w:insideV w:val="nil"/>
            </w:tcBorders>
          </w:tcPr>
          <w:p w14:paraId="68A7C2D8">
            <w:pPr>
              <w:spacing w:before="0" w:after="0" w:line="240" w:lineRule="auto"/>
              <w:rPr>
                <w:rFonts w:ascii="Times New Roman" w:hAnsi="Times New Roman"/>
                <w:kern w:val="0"/>
                <w:szCs w:val="22"/>
                <w:lang w:eastAsia="en-US"/>
                <w14:ligatures w14:val="none"/>
              </w:rPr>
            </w:pPr>
          </w:p>
        </w:tc>
        <w:tc>
          <w:tcPr>
            <w:tcW w:w="1551" w:type="dxa"/>
            <w:tcBorders>
              <w:top w:val="nil"/>
              <w:left w:val="nil"/>
              <w:bottom w:val="nil"/>
              <w:right w:val="nil"/>
              <w:insideH w:val="nil"/>
              <w:insideV w:val="nil"/>
            </w:tcBorders>
          </w:tcPr>
          <w:p w14:paraId="56839D69">
            <w:pPr>
              <w:spacing w:before="0" w:after="0" w:line="240" w:lineRule="auto"/>
              <w:rPr>
                <w:rFonts w:ascii="Times New Roman" w:hAnsi="Times New Roman"/>
                <w:kern w:val="0"/>
                <w:szCs w:val="22"/>
                <w:lang w:eastAsia="en-US"/>
                <w14:ligatures w14:val="none"/>
              </w:rPr>
            </w:pPr>
          </w:p>
        </w:tc>
      </w:tr>
      <w:tr w14:paraId="6B49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tcBorders>
              <w:top w:val="nil"/>
              <w:left w:val="nil"/>
              <w:bottom w:val="nil"/>
              <w:right w:val="nil"/>
              <w:insideH w:val="nil"/>
              <w:insideV w:val="nil"/>
            </w:tcBorders>
          </w:tcPr>
          <w:p w14:paraId="7F3130BA">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w:t>
            </w:r>
          </w:p>
        </w:tc>
        <w:tc>
          <w:tcPr>
            <w:tcW w:w="1551" w:type="dxa"/>
            <w:tcBorders>
              <w:top w:val="nil"/>
              <w:left w:val="nil"/>
              <w:bottom w:val="nil"/>
              <w:right w:val="nil"/>
              <w:insideH w:val="nil"/>
              <w:insideV w:val="nil"/>
            </w:tcBorders>
          </w:tcPr>
          <w:p w14:paraId="6F1708A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-82.5</w:t>
            </w:r>
          </w:p>
        </w:tc>
        <w:tc>
          <w:tcPr>
            <w:tcW w:w="1551" w:type="dxa"/>
            <w:tcBorders>
              <w:top w:val="nil"/>
              <w:left w:val="nil"/>
              <w:bottom w:val="nil"/>
              <w:right w:val="nil"/>
              <w:insideH w:val="nil"/>
              <w:insideV w:val="nil"/>
            </w:tcBorders>
          </w:tcPr>
          <w:p w14:paraId="3584107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76.1</w:t>
            </w:r>
          </w:p>
        </w:tc>
        <w:tc>
          <w:tcPr>
            <w:tcW w:w="1551" w:type="dxa"/>
            <w:tcBorders>
              <w:top w:val="nil"/>
              <w:left w:val="nil"/>
              <w:bottom w:val="nil"/>
              <w:right w:val="nil"/>
              <w:insideH w:val="nil"/>
              <w:insideV w:val="nil"/>
            </w:tcBorders>
          </w:tcPr>
          <w:p w14:paraId="72BF0CC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52</w:t>
            </w:r>
          </w:p>
        </w:tc>
        <w:tc>
          <w:tcPr>
            <w:tcW w:w="1551" w:type="dxa"/>
            <w:tcBorders>
              <w:top w:val="nil"/>
              <w:left w:val="nil"/>
              <w:bottom w:val="nil"/>
              <w:right w:val="nil"/>
              <w:insideH w:val="nil"/>
              <w:insideV w:val="nil"/>
            </w:tcBorders>
          </w:tcPr>
          <w:p w14:paraId="746E9DD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-74.4</w:t>
            </w:r>
          </w:p>
        </w:tc>
        <w:tc>
          <w:tcPr>
            <w:tcW w:w="1551" w:type="dxa"/>
            <w:tcBorders>
              <w:top w:val="nil"/>
              <w:left w:val="nil"/>
              <w:bottom w:val="nil"/>
              <w:right w:val="nil"/>
              <w:insideH w:val="nil"/>
              <w:insideV w:val="nil"/>
            </w:tcBorders>
          </w:tcPr>
          <w:p w14:paraId="213E6B15">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62.8</w:t>
            </w:r>
          </w:p>
        </w:tc>
        <w:tc>
          <w:tcPr>
            <w:tcW w:w="1551" w:type="dxa"/>
            <w:tcBorders>
              <w:top w:val="nil"/>
              <w:left w:val="nil"/>
              <w:bottom w:val="nil"/>
              <w:right w:val="nil"/>
              <w:insideH w:val="nil"/>
              <w:insideV w:val="nil"/>
            </w:tcBorders>
          </w:tcPr>
          <w:p w14:paraId="4438893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56</w:t>
            </w:r>
          </w:p>
        </w:tc>
        <w:tc>
          <w:tcPr>
            <w:tcW w:w="1551" w:type="dxa"/>
            <w:tcBorders>
              <w:top w:val="nil"/>
              <w:left w:val="nil"/>
              <w:bottom w:val="nil"/>
              <w:right w:val="nil"/>
              <w:insideH w:val="nil"/>
              <w:insideV w:val="nil"/>
            </w:tcBorders>
          </w:tcPr>
          <w:p w14:paraId="34EBB8E2">
            <w:pPr>
              <w:spacing w:before="0" w:after="0" w:line="240" w:lineRule="auto"/>
              <w:rPr>
                <w:rFonts w:ascii="Times New Roman" w:hAnsi="Times New Roman"/>
                <w:kern w:val="0"/>
                <w:szCs w:val="22"/>
                <w:lang w:eastAsia="en-US"/>
                <w14:ligatures w14:val="none"/>
              </w:rPr>
            </w:pPr>
          </w:p>
        </w:tc>
        <w:tc>
          <w:tcPr>
            <w:tcW w:w="1551" w:type="dxa"/>
            <w:tcBorders>
              <w:top w:val="nil"/>
              <w:left w:val="nil"/>
              <w:bottom w:val="nil"/>
              <w:right w:val="nil"/>
              <w:insideH w:val="nil"/>
              <w:insideV w:val="nil"/>
            </w:tcBorders>
          </w:tcPr>
          <w:p w14:paraId="01906BC1">
            <w:pPr>
              <w:spacing w:before="0" w:after="0" w:line="240" w:lineRule="auto"/>
              <w:rPr>
                <w:rFonts w:ascii="Times New Roman" w:hAnsi="Times New Roman"/>
                <w:kern w:val="0"/>
                <w:szCs w:val="22"/>
                <w:lang w:eastAsia="en-US"/>
                <w14:ligatures w14:val="none"/>
              </w:rPr>
            </w:pPr>
          </w:p>
        </w:tc>
      </w:tr>
      <w:tr w14:paraId="0F09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tcBorders>
              <w:top w:val="nil"/>
              <w:left w:val="nil"/>
              <w:bottom w:val="nil"/>
              <w:right w:val="nil"/>
              <w:insideH w:val="nil"/>
              <w:insideV w:val="nil"/>
            </w:tcBorders>
          </w:tcPr>
          <w:p w14:paraId="54A8539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w:t>
            </w:r>
          </w:p>
        </w:tc>
        <w:tc>
          <w:tcPr>
            <w:tcW w:w="1551" w:type="dxa"/>
            <w:tcBorders>
              <w:top w:val="nil"/>
              <w:left w:val="nil"/>
              <w:bottom w:val="nil"/>
              <w:right w:val="nil"/>
              <w:insideH w:val="nil"/>
              <w:insideV w:val="nil"/>
            </w:tcBorders>
          </w:tcPr>
          <w:p w14:paraId="118497A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10.8</w:t>
            </w:r>
          </w:p>
        </w:tc>
        <w:tc>
          <w:tcPr>
            <w:tcW w:w="1551" w:type="dxa"/>
            <w:tcBorders>
              <w:top w:val="nil"/>
              <w:left w:val="nil"/>
              <w:bottom w:val="nil"/>
              <w:right w:val="nil"/>
              <w:insideH w:val="nil"/>
              <w:insideV w:val="nil"/>
            </w:tcBorders>
          </w:tcPr>
          <w:p w14:paraId="431AA15A">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w:t>
            </w:r>
          </w:p>
        </w:tc>
        <w:tc>
          <w:tcPr>
            <w:tcW w:w="1551" w:type="dxa"/>
            <w:tcBorders>
              <w:top w:val="nil"/>
              <w:left w:val="nil"/>
              <w:bottom w:val="nil"/>
              <w:right w:val="nil"/>
              <w:insideH w:val="nil"/>
              <w:insideV w:val="nil"/>
            </w:tcBorders>
          </w:tcPr>
          <w:p w14:paraId="2C85A89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33</w:t>
            </w:r>
          </w:p>
        </w:tc>
        <w:tc>
          <w:tcPr>
            <w:tcW w:w="1551" w:type="dxa"/>
            <w:tcBorders>
              <w:top w:val="nil"/>
              <w:left w:val="nil"/>
              <w:bottom w:val="nil"/>
              <w:right w:val="nil"/>
              <w:insideH w:val="nil"/>
              <w:insideV w:val="nil"/>
            </w:tcBorders>
          </w:tcPr>
          <w:p w14:paraId="6CEF499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10.9</w:t>
            </w:r>
          </w:p>
        </w:tc>
        <w:tc>
          <w:tcPr>
            <w:tcW w:w="1551" w:type="dxa"/>
            <w:tcBorders>
              <w:top w:val="nil"/>
              <w:left w:val="nil"/>
              <w:bottom w:val="nil"/>
              <w:right w:val="nil"/>
              <w:insideH w:val="nil"/>
              <w:insideV w:val="nil"/>
            </w:tcBorders>
          </w:tcPr>
          <w:p w14:paraId="6199690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1.9</w:t>
            </w:r>
          </w:p>
        </w:tc>
        <w:tc>
          <w:tcPr>
            <w:tcW w:w="1551" w:type="dxa"/>
            <w:tcBorders>
              <w:top w:val="nil"/>
              <w:left w:val="nil"/>
              <w:bottom w:val="nil"/>
              <w:right w:val="nil"/>
              <w:insideH w:val="nil"/>
              <w:insideV w:val="nil"/>
            </w:tcBorders>
          </w:tcPr>
          <w:p w14:paraId="0E5D6FC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34</w:t>
            </w:r>
          </w:p>
        </w:tc>
        <w:tc>
          <w:tcPr>
            <w:tcW w:w="1551" w:type="dxa"/>
            <w:tcBorders>
              <w:top w:val="nil"/>
              <w:left w:val="nil"/>
              <w:bottom w:val="nil"/>
              <w:right w:val="nil"/>
              <w:insideH w:val="nil"/>
              <w:insideV w:val="nil"/>
            </w:tcBorders>
          </w:tcPr>
          <w:p w14:paraId="62A980A4">
            <w:pPr>
              <w:spacing w:before="0" w:after="0" w:line="240" w:lineRule="auto"/>
              <w:rPr>
                <w:rFonts w:ascii="Times New Roman" w:hAnsi="Times New Roman"/>
                <w:kern w:val="0"/>
                <w:szCs w:val="22"/>
                <w:lang w:eastAsia="en-US"/>
                <w14:ligatures w14:val="none"/>
              </w:rPr>
            </w:pPr>
          </w:p>
        </w:tc>
        <w:tc>
          <w:tcPr>
            <w:tcW w:w="1551" w:type="dxa"/>
            <w:tcBorders>
              <w:top w:val="nil"/>
              <w:left w:val="nil"/>
              <w:bottom w:val="nil"/>
              <w:right w:val="nil"/>
              <w:insideH w:val="nil"/>
              <w:insideV w:val="nil"/>
            </w:tcBorders>
          </w:tcPr>
          <w:p w14:paraId="68EFC539">
            <w:pPr>
              <w:spacing w:before="0" w:after="0" w:line="240" w:lineRule="auto"/>
              <w:rPr>
                <w:rFonts w:ascii="Times New Roman" w:hAnsi="Times New Roman"/>
                <w:kern w:val="0"/>
                <w:szCs w:val="22"/>
                <w:lang w:eastAsia="en-US"/>
                <w14:ligatures w14:val="none"/>
              </w:rPr>
            </w:pPr>
          </w:p>
        </w:tc>
      </w:tr>
      <w:tr w14:paraId="134F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dxa"/>
            <w:tcBorders>
              <w:top w:val="nil"/>
              <w:left w:val="nil"/>
              <w:bottom w:val="single" w:color="000000" w:sz="12" w:space="0"/>
              <w:right w:val="nil"/>
              <w:insideH w:val="nil"/>
              <w:insideV w:val="nil"/>
            </w:tcBorders>
          </w:tcPr>
          <w:p w14:paraId="6217992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w:t>
            </w:r>
          </w:p>
        </w:tc>
        <w:tc>
          <w:tcPr>
            <w:tcW w:w="1551" w:type="dxa"/>
            <w:tcBorders>
              <w:top w:val="nil"/>
              <w:left w:val="nil"/>
              <w:bottom w:val="single" w:color="000000" w:sz="12" w:space="0"/>
              <w:right w:val="nil"/>
              <w:insideH w:val="nil"/>
              <w:insideV w:val="nil"/>
            </w:tcBorders>
          </w:tcPr>
          <w:p w14:paraId="6E87EF79">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-45</w:t>
            </w:r>
          </w:p>
        </w:tc>
        <w:tc>
          <w:tcPr>
            <w:tcW w:w="1551" w:type="dxa"/>
            <w:tcBorders>
              <w:top w:val="nil"/>
              <w:left w:val="nil"/>
              <w:bottom w:val="single" w:color="000000" w:sz="12" w:space="0"/>
              <w:right w:val="nil"/>
              <w:insideH w:val="nil"/>
              <w:insideV w:val="nil"/>
            </w:tcBorders>
          </w:tcPr>
          <w:p w14:paraId="307070A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w:t>
            </w:r>
          </w:p>
        </w:tc>
        <w:tc>
          <w:tcPr>
            <w:tcW w:w="1551" w:type="dxa"/>
            <w:tcBorders>
              <w:top w:val="nil"/>
              <w:left w:val="nil"/>
              <w:bottom w:val="single" w:color="000000" w:sz="12" w:space="0"/>
              <w:right w:val="nil"/>
              <w:insideH w:val="nil"/>
              <w:insideV w:val="nil"/>
            </w:tcBorders>
          </w:tcPr>
          <w:p w14:paraId="79ADD40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33</w:t>
            </w:r>
          </w:p>
        </w:tc>
        <w:tc>
          <w:tcPr>
            <w:tcW w:w="1551" w:type="dxa"/>
            <w:tcBorders>
              <w:top w:val="nil"/>
              <w:left w:val="nil"/>
              <w:bottom w:val="single" w:color="000000" w:sz="12" w:space="0"/>
              <w:right w:val="nil"/>
              <w:insideH w:val="nil"/>
              <w:insideV w:val="nil"/>
            </w:tcBorders>
          </w:tcPr>
          <w:p w14:paraId="4D6EAFB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-47</w:t>
            </w:r>
          </w:p>
        </w:tc>
        <w:tc>
          <w:tcPr>
            <w:tcW w:w="1551" w:type="dxa"/>
            <w:tcBorders>
              <w:top w:val="nil"/>
              <w:left w:val="nil"/>
              <w:bottom w:val="single" w:color="000000" w:sz="12" w:space="0"/>
              <w:right w:val="nil"/>
              <w:insideH w:val="nil"/>
              <w:insideV w:val="nil"/>
            </w:tcBorders>
          </w:tcPr>
          <w:p w14:paraId="4746C418">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6</w:t>
            </w:r>
          </w:p>
        </w:tc>
        <w:tc>
          <w:tcPr>
            <w:tcW w:w="1551" w:type="dxa"/>
            <w:tcBorders>
              <w:top w:val="nil"/>
              <w:left w:val="nil"/>
              <w:bottom w:val="single" w:color="000000" w:sz="12" w:space="0"/>
              <w:right w:val="nil"/>
              <w:insideH w:val="nil"/>
              <w:insideV w:val="nil"/>
            </w:tcBorders>
          </w:tcPr>
          <w:p w14:paraId="67E8889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34</w:t>
            </w:r>
          </w:p>
        </w:tc>
        <w:tc>
          <w:tcPr>
            <w:tcW w:w="1551" w:type="dxa"/>
            <w:tcBorders>
              <w:top w:val="nil"/>
              <w:left w:val="nil"/>
              <w:bottom w:val="single" w:color="000000" w:sz="12" w:space="0"/>
              <w:right w:val="nil"/>
              <w:insideH w:val="nil"/>
              <w:insideV w:val="nil"/>
            </w:tcBorders>
          </w:tcPr>
          <w:p w14:paraId="1C38D3A8">
            <w:pPr>
              <w:spacing w:before="0" w:after="0" w:line="240" w:lineRule="auto"/>
              <w:rPr>
                <w:rFonts w:ascii="Times New Roman" w:hAnsi="Times New Roman"/>
                <w:kern w:val="0"/>
                <w:szCs w:val="22"/>
                <w:lang w:eastAsia="en-US"/>
                <w14:ligatures w14:val="none"/>
              </w:rPr>
            </w:pPr>
          </w:p>
        </w:tc>
        <w:tc>
          <w:tcPr>
            <w:tcW w:w="1551" w:type="dxa"/>
            <w:tcBorders>
              <w:top w:val="nil"/>
              <w:left w:val="nil"/>
              <w:bottom w:val="single" w:color="000000" w:sz="12" w:space="0"/>
              <w:right w:val="nil"/>
              <w:insideH w:val="nil"/>
              <w:insideV w:val="nil"/>
            </w:tcBorders>
          </w:tcPr>
          <w:p w14:paraId="7292A012">
            <w:pPr>
              <w:spacing w:before="0" w:after="0" w:line="240" w:lineRule="auto"/>
              <w:rPr>
                <w:rFonts w:ascii="Times New Roman" w:hAnsi="Times New Roman"/>
                <w:kern w:val="0"/>
                <w:szCs w:val="22"/>
                <w:lang w:eastAsia="en-US"/>
                <w14:ligatures w14:val="none"/>
              </w:rPr>
            </w:pPr>
          </w:p>
        </w:tc>
      </w:tr>
    </w:tbl>
    <w:p w14:paraId="1704A3DD">
      <w:pPr>
        <w:rPr>
          <w:rFonts w:ascii="Times New Roman" w:hAnsi="Times New Roman"/>
        </w:rPr>
      </w:pPr>
    </w:p>
    <w:p w14:paraId="1862FC20">
      <w:pPr>
        <w:spacing w:before="120" w:after="60"/>
        <w:rPr>
          <w:rFonts w:ascii="Times New Roman" w:hAnsi="Times New Roman"/>
        </w:rPr>
      </w:pPr>
      <w:r>
        <w:rPr>
          <w:rFonts w:ascii="Times New Roman" w:hAnsi="Times New Roman" w:eastAsia="Times New Roman"/>
          <w:b/>
          <w:color w:val="000000"/>
          <w:sz w:val="20"/>
        </w:rPr>
        <w:t>C3. Baseline values</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4"/>
        <w:gridCol w:w="1994"/>
        <w:gridCol w:w="1994"/>
        <w:gridCol w:w="1994"/>
        <w:gridCol w:w="1994"/>
        <w:gridCol w:w="1994"/>
        <w:gridCol w:w="1994"/>
      </w:tblGrid>
      <w:tr w14:paraId="5D03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Borders>
              <w:top w:val="single" w:color="000000" w:sz="12" w:space="0"/>
              <w:left w:val="nil"/>
              <w:bottom w:val="single" w:color="000000" w:sz="8" w:space="0"/>
              <w:right w:val="nil"/>
              <w:insideH w:val="nil"/>
              <w:insideV w:val="nil"/>
            </w:tcBorders>
          </w:tcPr>
          <w:p w14:paraId="0F214346">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ID</w:t>
            </w:r>
          </w:p>
        </w:tc>
        <w:tc>
          <w:tcPr>
            <w:tcW w:w="1994" w:type="dxa"/>
            <w:tcBorders>
              <w:top w:val="single" w:color="000000" w:sz="12" w:space="0"/>
              <w:left w:val="nil"/>
              <w:bottom w:val="single" w:color="000000" w:sz="8" w:space="0"/>
              <w:right w:val="nil"/>
              <w:insideH w:val="nil"/>
              <w:insideV w:val="nil"/>
            </w:tcBorders>
          </w:tcPr>
          <w:p w14:paraId="784E10AE">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Exp_pre_M</w:t>
            </w:r>
          </w:p>
        </w:tc>
        <w:tc>
          <w:tcPr>
            <w:tcW w:w="1994" w:type="dxa"/>
            <w:tcBorders>
              <w:top w:val="single" w:color="000000" w:sz="12" w:space="0"/>
              <w:left w:val="nil"/>
              <w:bottom w:val="single" w:color="000000" w:sz="8" w:space="0"/>
              <w:right w:val="nil"/>
              <w:insideH w:val="nil"/>
              <w:insideV w:val="nil"/>
            </w:tcBorders>
          </w:tcPr>
          <w:p w14:paraId="321794AA">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Exp_pre_SD</w:t>
            </w:r>
          </w:p>
        </w:tc>
        <w:tc>
          <w:tcPr>
            <w:tcW w:w="1994" w:type="dxa"/>
            <w:tcBorders>
              <w:top w:val="single" w:color="000000" w:sz="12" w:space="0"/>
              <w:left w:val="nil"/>
              <w:bottom w:val="single" w:color="000000" w:sz="8" w:space="0"/>
              <w:right w:val="nil"/>
              <w:insideH w:val="nil"/>
              <w:insideV w:val="nil"/>
            </w:tcBorders>
          </w:tcPr>
          <w:p w14:paraId="7E527ACF">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Exp_pre_n</w:t>
            </w:r>
          </w:p>
        </w:tc>
        <w:tc>
          <w:tcPr>
            <w:tcW w:w="1994" w:type="dxa"/>
            <w:tcBorders>
              <w:top w:val="single" w:color="000000" w:sz="12" w:space="0"/>
              <w:left w:val="nil"/>
              <w:bottom w:val="single" w:color="000000" w:sz="8" w:space="0"/>
              <w:right w:val="nil"/>
              <w:insideH w:val="nil"/>
              <w:insideV w:val="nil"/>
            </w:tcBorders>
          </w:tcPr>
          <w:p w14:paraId="536A3422">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Ctrl_pre_M</w:t>
            </w:r>
          </w:p>
        </w:tc>
        <w:tc>
          <w:tcPr>
            <w:tcW w:w="1994" w:type="dxa"/>
            <w:tcBorders>
              <w:top w:val="single" w:color="000000" w:sz="12" w:space="0"/>
              <w:left w:val="nil"/>
              <w:bottom w:val="single" w:color="000000" w:sz="8" w:space="0"/>
              <w:right w:val="nil"/>
              <w:insideH w:val="nil"/>
              <w:insideV w:val="nil"/>
            </w:tcBorders>
          </w:tcPr>
          <w:p w14:paraId="618EBBA5">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Ctrl_pre_SD</w:t>
            </w:r>
          </w:p>
        </w:tc>
        <w:tc>
          <w:tcPr>
            <w:tcW w:w="1994" w:type="dxa"/>
            <w:tcBorders>
              <w:top w:val="single" w:color="000000" w:sz="12" w:space="0"/>
              <w:left w:val="nil"/>
              <w:bottom w:val="single" w:color="000000" w:sz="8" w:space="0"/>
              <w:right w:val="nil"/>
              <w:insideH w:val="nil"/>
              <w:insideV w:val="nil"/>
            </w:tcBorders>
          </w:tcPr>
          <w:p w14:paraId="589C6CBD">
            <w:pPr>
              <w:spacing w:before="0" w:after="0" w:line="240" w:lineRule="auto"/>
              <w:rPr>
                <w:rFonts w:ascii="Times New Roman" w:hAnsi="Times New Roman"/>
                <w:kern w:val="0"/>
                <w:szCs w:val="22"/>
                <w:lang w:eastAsia="en-US"/>
                <w14:ligatures w14:val="none"/>
              </w:rPr>
            </w:pPr>
            <w:r>
              <w:rPr>
                <w:rFonts w:ascii="Times New Roman" w:hAnsi="Times New Roman" w:eastAsia="Times New Roman"/>
                <w:b/>
                <w:color w:val="000000"/>
                <w:kern w:val="0"/>
                <w:sz w:val="15"/>
                <w:szCs w:val="22"/>
                <w:lang w:eastAsia="en-US"/>
                <w14:ligatures w14:val="none"/>
              </w:rPr>
              <w:t>Ctrl_pre_n</w:t>
            </w:r>
          </w:p>
        </w:tc>
      </w:tr>
      <w:tr w14:paraId="4009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Borders>
              <w:top w:val="nil"/>
              <w:left w:val="nil"/>
              <w:bottom w:val="nil"/>
              <w:right w:val="nil"/>
              <w:insideH w:val="nil"/>
              <w:insideV w:val="nil"/>
            </w:tcBorders>
          </w:tcPr>
          <w:p w14:paraId="234E8DAD">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w:t>
            </w:r>
          </w:p>
        </w:tc>
        <w:tc>
          <w:tcPr>
            <w:tcW w:w="1994" w:type="dxa"/>
            <w:tcBorders>
              <w:top w:val="nil"/>
              <w:left w:val="nil"/>
              <w:bottom w:val="nil"/>
              <w:right w:val="nil"/>
              <w:insideH w:val="nil"/>
              <w:insideV w:val="nil"/>
            </w:tcBorders>
          </w:tcPr>
          <w:p w14:paraId="280A149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-58.6</w:t>
            </w:r>
          </w:p>
        </w:tc>
        <w:tc>
          <w:tcPr>
            <w:tcW w:w="1994" w:type="dxa"/>
            <w:tcBorders>
              <w:top w:val="nil"/>
              <w:left w:val="nil"/>
              <w:bottom w:val="nil"/>
              <w:right w:val="nil"/>
              <w:insideH w:val="nil"/>
              <w:insideV w:val="nil"/>
            </w:tcBorders>
          </w:tcPr>
          <w:p w14:paraId="0935DD2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22.77</w:t>
            </w:r>
          </w:p>
        </w:tc>
        <w:tc>
          <w:tcPr>
            <w:tcW w:w="1994" w:type="dxa"/>
            <w:tcBorders>
              <w:top w:val="nil"/>
              <w:left w:val="nil"/>
              <w:bottom w:val="nil"/>
              <w:right w:val="nil"/>
              <w:insideH w:val="nil"/>
              <w:insideV w:val="nil"/>
            </w:tcBorders>
          </w:tcPr>
          <w:p w14:paraId="17F58DE8">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41</w:t>
            </w:r>
          </w:p>
        </w:tc>
        <w:tc>
          <w:tcPr>
            <w:tcW w:w="1994" w:type="dxa"/>
            <w:tcBorders>
              <w:top w:val="nil"/>
              <w:left w:val="nil"/>
              <w:bottom w:val="nil"/>
              <w:right w:val="nil"/>
              <w:insideH w:val="nil"/>
              <w:insideV w:val="nil"/>
            </w:tcBorders>
          </w:tcPr>
          <w:p w14:paraId="70306B58">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-62.06</w:t>
            </w:r>
          </w:p>
        </w:tc>
        <w:tc>
          <w:tcPr>
            <w:tcW w:w="1994" w:type="dxa"/>
            <w:tcBorders>
              <w:top w:val="nil"/>
              <w:left w:val="nil"/>
              <w:bottom w:val="nil"/>
              <w:right w:val="nil"/>
              <w:insideH w:val="nil"/>
              <w:insideV w:val="nil"/>
            </w:tcBorders>
          </w:tcPr>
          <w:p w14:paraId="3AA621B3">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17.05</w:t>
            </w:r>
          </w:p>
        </w:tc>
        <w:tc>
          <w:tcPr>
            <w:tcW w:w="1994" w:type="dxa"/>
            <w:tcBorders>
              <w:top w:val="nil"/>
              <w:left w:val="nil"/>
              <w:bottom w:val="nil"/>
              <w:right w:val="nil"/>
              <w:insideH w:val="nil"/>
              <w:insideV w:val="nil"/>
            </w:tcBorders>
          </w:tcPr>
          <w:p w14:paraId="7025A0B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39</w:t>
            </w:r>
          </w:p>
        </w:tc>
      </w:tr>
      <w:tr w14:paraId="29B9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Borders>
              <w:top w:val="nil"/>
              <w:left w:val="nil"/>
              <w:bottom w:val="nil"/>
              <w:right w:val="nil"/>
              <w:insideH w:val="nil"/>
              <w:insideV w:val="nil"/>
            </w:tcBorders>
          </w:tcPr>
          <w:p w14:paraId="08EEF706">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w:t>
            </w:r>
          </w:p>
        </w:tc>
        <w:tc>
          <w:tcPr>
            <w:tcW w:w="1994" w:type="dxa"/>
            <w:tcBorders>
              <w:top w:val="nil"/>
              <w:left w:val="nil"/>
              <w:bottom w:val="nil"/>
              <w:right w:val="nil"/>
              <w:insideH w:val="nil"/>
              <w:insideV w:val="nil"/>
            </w:tcBorders>
          </w:tcPr>
          <w:p w14:paraId="6BEBCBE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-10.1</w:t>
            </w:r>
          </w:p>
        </w:tc>
        <w:tc>
          <w:tcPr>
            <w:tcW w:w="1994" w:type="dxa"/>
            <w:tcBorders>
              <w:top w:val="nil"/>
              <w:left w:val="nil"/>
              <w:bottom w:val="nil"/>
              <w:right w:val="nil"/>
              <w:insideH w:val="nil"/>
              <w:insideV w:val="nil"/>
            </w:tcBorders>
          </w:tcPr>
          <w:p w14:paraId="36F30A4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3.2</w:t>
            </w:r>
          </w:p>
        </w:tc>
        <w:tc>
          <w:tcPr>
            <w:tcW w:w="1994" w:type="dxa"/>
            <w:tcBorders>
              <w:top w:val="nil"/>
              <w:left w:val="nil"/>
              <w:bottom w:val="nil"/>
              <w:right w:val="nil"/>
              <w:insideH w:val="nil"/>
              <w:insideV w:val="nil"/>
            </w:tcBorders>
          </w:tcPr>
          <w:p w14:paraId="600C9E2F">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52</w:t>
            </w:r>
          </w:p>
        </w:tc>
        <w:tc>
          <w:tcPr>
            <w:tcW w:w="1994" w:type="dxa"/>
            <w:tcBorders>
              <w:top w:val="nil"/>
              <w:left w:val="nil"/>
              <w:bottom w:val="nil"/>
              <w:right w:val="nil"/>
              <w:insideH w:val="nil"/>
              <w:insideV w:val="nil"/>
            </w:tcBorders>
          </w:tcPr>
          <w:p w14:paraId="5D492E36">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-10.3</w:t>
            </w:r>
          </w:p>
        </w:tc>
        <w:tc>
          <w:tcPr>
            <w:tcW w:w="1994" w:type="dxa"/>
            <w:tcBorders>
              <w:top w:val="nil"/>
              <w:left w:val="nil"/>
              <w:bottom w:val="nil"/>
              <w:right w:val="nil"/>
              <w:insideH w:val="nil"/>
              <w:insideV w:val="nil"/>
            </w:tcBorders>
          </w:tcPr>
          <w:p w14:paraId="55563136">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3.3</w:t>
            </w:r>
          </w:p>
        </w:tc>
        <w:tc>
          <w:tcPr>
            <w:tcW w:w="1994" w:type="dxa"/>
            <w:tcBorders>
              <w:top w:val="nil"/>
              <w:left w:val="nil"/>
              <w:bottom w:val="nil"/>
              <w:right w:val="nil"/>
              <w:insideH w:val="nil"/>
              <w:insideV w:val="nil"/>
            </w:tcBorders>
          </w:tcPr>
          <w:p w14:paraId="65DFD3E1">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56</w:t>
            </w:r>
          </w:p>
        </w:tc>
      </w:tr>
      <w:tr w14:paraId="1CF9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Borders>
              <w:top w:val="nil"/>
              <w:left w:val="nil"/>
              <w:bottom w:val="nil"/>
              <w:right w:val="nil"/>
              <w:insideH w:val="nil"/>
              <w:insideV w:val="nil"/>
            </w:tcBorders>
          </w:tcPr>
          <w:p w14:paraId="0E00BB06">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w:t>
            </w:r>
          </w:p>
        </w:tc>
        <w:tc>
          <w:tcPr>
            <w:tcW w:w="1994" w:type="dxa"/>
            <w:tcBorders>
              <w:top w:val="nil"/>
              <w:left w:val="nil"/>
              <w:bottom w:val="nil"/>
              <w:right w:val="nil"/>
              <w:insideH w:val="nil"/>
              <w:insideV w:val="nil"/>
            </w:tcBorders>
          </w:tcPr>
          <w:p w14:paraId="5A5F6102">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-101.6</w:t>
            </w:r>
          </w:p>
        </w:tc>
        <w:tc>
          <w:tcPr>
            <w:tcW w:w="1994" w:type="dxa"/>
            <w:tcBorders>
              <w:top w:val="nil"/>
              <w:left w:val="nil"/>
              <w:bottom w:val="nil"/>
              <w:right w:val="nil"/>
              <w:insideH w:val="nil"/>
              <w:insideV w:val="nil"/>
            </w:tcBorders>
          </w:tcPr>
          <w:p w14:paraId="5E273754">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73.6</w:t>
            </w:r>
          </w:p>
        </w:tc>
        <w:tc>
          <w:tcPr>
            <w:tcW w:w="1994" w:type="dxa"/>
            <w:tcBorders>
              <w:top w:val="nil"/>
              <w:left w:val="nil"/>
              <w:bottom w:val="nil"/>
              <w:right w:val="nil"/>
              <w:insideH w:val="nil"/>
              <w:insideV w:val="nil"/>
            </w:tcBorders>
          </w:tcPr>
          <w:p w14:paraId="3E68B2F1">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52</w:t>
            </w:r>
          </w:p>
        </w:tc>
        <w:tc>
          <w:tcPr>
            <w:tcW w:w="1994" w:type="dxa"/>
            <w:tcBorders>
              <w:top w:val="nil"/>
              <w:left w:val="nil"/>
              <w:bottom w:val="nil"/>
              <w:right w:val="nil"/>
              <w:insideH w:val="nil"/>
              <w:insideV w:val="nil"/>
            </w:tcBorders>
          </w:tcPr>
          <w:p w14:paraId="4F625076">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-104.6</w:t>
            </w:r>
          </w:p>
        </w:tc>
        <w:tc>
          <w:tcPr>
            <w:tcW w:w="1994" w:type="dxa"/>
            <w:tcBorders>
              <w:top w:val="nil"/>
              <w:left w:val="nil"/>
              <w:bottom w:val="nil"/>
              <w:right w:val="nil"/>
              <w:insideH w:val="nil"/>
              <w:insideV w:val="nil"/>
            </w:tcBorders>
          </w:tcPr>
          <w:p w14:paraId="7058F615">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66.7</w:t>
            </w:r>
          </w:p>
        </w:tc>
        <w:tc>
          <w:tcPr>
            <w:tcW w:w="1994" w:type="dxa"/>
            <w:tcBorders>
              <w:top w:val="nil"/>
              <w:left w:val="nil"/>
              <w:bottom w:val="nil"/>
              <w:right w:val="nil"/>
              <w:insideH w:val="nil"/>
              <w:insideV w:val="nil"/>
            </w:tcBorders>
          </w:tcPr>
          <w:p w14:paraId="0CA45FB5">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56</w:t>
            </w:r>
          </w:p>
        </w:tc>
      </w:tr>
      <w:tr w14:paraId="4DDB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Borders>
              <w:top w:val="nil"/>
              <w:left w:val="nil"/>
              <w:bottom w:val="nil"/>
              <w:right w:val="nil"/>
              <w:insideH w:val="nil"/>
              <w:insideV w:val="nil"/>
            </w:tcBorders>
          </w:tcPr>
          <w:p w14:paraId="587472F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w:t>
            </w:r>
          </w:p>
        </w:tc>
        <w:tc>
          <w:tcPr>
            <w:tcW w:w="1994" w:type="dxa"/>
            <w:tcBorders>
              <w:top w:val="nil"/>
              <w:left w:val="nil"/>
              <w:bottom w:val="nil"/>
              <w:right w:val="nil"/>
              <w:insideH w:val="nil"/>
              <w:insideV w:val="nil"/>
            </w:tcBorders>
          </w:tcPr>
          <w:p w14:paraId="44DF9CD4">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w:t>
            </w:r>
          </w:p>
        </w:tc>
        <w:tc>
          <w:tcPr>
            <w:tcW w:w="1994" w:type="dxa"/>
            <w:tcBorders>
              <w:top w:val="nil"/>
              <w:left w:val="nil"/>
              <w:bottom w:val="nil"/>
              <w:right w:val="nil"/>
              <w:insideH w:val="nil"/>
              <w:insideV w:val="nil"/>
            </w:tcBorders>
          </w:tcPr>
          <w:p w14:paraId="32FD249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2.2</w:t>
            </w:r>
          </w:p>
        </w:tc>
        <w:tc>
          <w:tcPr>
            <w:tcW w:w="1994" w:type="dxa"/>
            <w:tcBorders>
              <w:top w:val="nil"/>
              <w:left w:val="nil"/>
              <w:bottom w:val="nil"/>
              <w:right w:val="nil"/>
              <w:insideH w:val="nil"/>
              <w:insideV w:val="nil"/>
            </w:tcBorders>
          </w:tcPr>
          <w:p w14:paraId="29975C34">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38</w:t>
            </w:r>
          </w:p>
        </w:tc>
        <w:tc>
          <w:tcPr>
            <w:tcW w:w="1994" w:type="dxa"/>
            <w:tcBorders>
              <w:top w:val="nil"/>
              <w:left w:val="nil"/>
              <w:bottom w:val="nil"/>
              <w:right w:val="nil"/>
              <w:insideH w:val="nil"/>
              <w:insideV w:val="nil"/>
            </w:tcBorders>
          </w:tcPr>
          <w:p w14:paraId="6E3CBFF9">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9.7</w:t>
            </w:r>
          </w:p>
        </w:tc>
        <w:tc>
          <w:tcPr>
            <w:tcW w:w="1994" w:type="dxa"/>
            <w:tcBorders>
              <w:top w:val="nil"/>
              <w:left w:val="nil"/>
              <w:bottom w:val="nil"/>
              <w:right w:val="nil"/>
              <w:insideH w:val="nil"/>
              <w:insideV w:val="nil"/>
            </w:tcBorders>
          </w:tcPr>
          <w:p w14:paraId="686471F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1.9</w:t>
            </w:r>
          </w:p>
        </w:tc>
        <w:tc>
          <w:tcPr>
            <w:tcW w:w="1994" w:type="dxa"/>
            <w:tcBorders>
              <w:top w:val="nil"/>
              <w:left w:val="nil"/>
              <w:bottom w:val="nil"/>
              <w:right w:val="nil"/>
              <w:insideH w:val="nil"/>
              <w:insideV w:val="nil"/>
            </w:tcBorders>
          </w:tcPr>
          <w:p w14:paraId="0793B1A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37</w:t>
            </w:r>
          </w:p>
        </w:tc>
      </w:tr>
      <w:tr w14:paraId="1E32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Borders>
              <w:top w:val="nil"/>
              <w:left w:val="nil"/>
              <w:bottom w:val="single" w:color="000000" w:sz="12" w:space="0"/>
              <w:right w:val="nil"/>
              <w:insideH w:val="nil"/>
              <w:insideV w:val="nil"/>
            </w:tcBorders>
          </w:tcPr>
          <w:p w14:paraId="522ACDD0">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10</w:t>
            </w:r>
          </w:p>
        </w:tc>
        <w:tc>
          <w:tcPr>
            <w:tcW w:w="1994" w:type="dxa"/>
            <w:tcBorders>
              <w:top w:val="nil"/>
              <w:left w:val="nil"/>
              <w:bottom w:val="single" w:color="000000" w:sz="12" w:space="0"/>
              <w:right w:val="nil"/>
              <w:insideH w:val="nil"/>
              <w:insideV w:val="nil"/>
            </w:tcBorders>
          </w:tcPr>
          <w:p w14:paraId="66EDAC11">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-45</w:t>
            </w:r>
          </w:p>
        </w:tc>
        <w:tc>
          <w:tcPr>
            <w:tcW w:w="1994" w:type="dxa"/>
            <w:tcBorders>
              <w:top w:val="nil"/>
              <w:left w:val="nil"/>
              <w:bottom w:val="single" w:color="000000" w:sz="12" w:space="0"/>
              <w:right w:val="nil"/>
              <w:insideH w:val="nil"/>
              <w:insideV w:val="nil"/>
            </w:tcBorders>
          </w:tcPr>
          <w:p w14:paraId="047E3D5E">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w:t>
            </w:r>
          </w:p>
        </w:tc>
        <w:tc>
          <w:tcPr>
            <w:tcW w:w="1994" w:type="dxa"/>
            <w:tcBorders>
              <w:top w:val="nil"/>
              <w:left w:val="nil"/>
              <w:bottom w:val="single" w:color="000000" w:sz="12" w:space="0"/>
              <w:right w:val="nil"/>
              <w:insideH w:val="nil"/>
              <w:insideV w:val="nil"/>
            </w:tcBorders>
          </w:tcPr>
          <w:p w14:paraId="1DD43E1C">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38</w:t>
            </w:r>
          </w:p>
        </w:tc>
        <w:tc>
          <w:tcPr>
            <w:tcW w:w="1994" w:type="dxa"/>
            <w:tcBorders>
              <w:top w:val="nil"/>
              <w:left w:val="nil"/>
              <w:bottom w:val="single" w:color="000000" w:sz="12" w:space="0"/>
              <w:right w:val="nil"/>
              <w:insideH w:val="nil"/>
              <w:insideV w:val="nil"/>
            </w:tcBorders>
          </w:tcPr>
          <w:p w14:paraId="37B8A19B">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-45</w:t>
            </w:r>
          </w:p>
        </w:tc>
        <w:tc>
          <w:tcPr>
            <w:tcW w:w="1994" w:type="dxa"/>
            <w:tcBorders>
              <w:top w:val="nil"/>
              <w:left w:val="nil"/>
              <w:bottom w:val="single" w:color="000000" w:sz="12" w:space="0"/>
              <w:right w:val="nil"/>
              <w:insideH w:val="nil"/>
              <w:insideV w:val="nil"/>
            </w:tcBorders>
          </w:tcPr>
          <w:p w14:paraId="0FF4D2E7">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5</w:t>
            </w:r>
          </w:p>
        </w:tc>
        <w:tc>
          <w:tcPr>
            <w:tcW w:w="1994" w:type="dxa"/>
            <w:tcBorders>
              <w:top w:val="nil"/>
              <w:left w:val="nil"/>
              <w:bottom w:val="single" w:color="000000" w:sz="12" w:space="0"/>
              <w:right w:val="nil"/>
              <w:insideH w:val="nil"/>
              <w:insideV w:val="nil"/>
            </w:tcBorders>
          </w:tcPr>
          <w:p w14:paraId="4EB4BD43">
            <w:pPr>
              <w:spacing w:before="0" w:after="0" w:line="240" w:lineRule="auto"/>
              <w:rPr>
                <w:rFonts w:ascii="Times New Roman" w:hAnsi="Times New Roman"/>
                <w:kern w:val="0"/>
                <w:szCs w:val="22"/>
                <w:lang w:eastAsia="en-US"/>
                <w14:ligatures w14:val="none"/>
              </w:rPr>
            </w:pPr>
            <w:r>
              <w:rPr>
                <w:rFonts w:ascii="Times New Roman" w:hAnsi="Times New Roman" w:eastAsia="Times New Roman"/>
                <w:color w:val="000000"/>
                <w:kern w:val="0"/>
                <w:sz w:val="15"/>
                <w:szCs w:val="22"/>
                <w:lang w:eastAsia="en-US"/>
                <w14:ligatures w14:val="none"/>
              </w:rPr>
              <w:t>37</w:t>
            </w:r>
          </w:p>
        </w:tc>
      </w:tr>
    </w:tbl>
    <w:p w14:paraId="3873E8F2">
      <w:pPr>
        <w:rPr>
          <w:rFonts w:ascii="Times New Roman" w:hAnsi="Times New Roman"/>
        </w:rPr>
      </w:pPr>
    </w:p>
    <w:p w14:paraId="7F6A674C">
      <w:pPr>
        <w:rPr>
          <w:rFonts w:ascii="Times New Roman" w:hAnsi="Times New Roman" w:cs="Times New Roman"/>
          <w:kern w:val="0"/>
          <w:szCs w:val="22"/>
          <w:lang w:eastAsia="en-US"/>
          <w14:ligatures w14:val="none"/>
        </w:rPr>
      </w:pPr>
    </w:p>
    <w:p w14:paraId="70A83A8A">
      <w:pPr>
        <w:rPr>
          <w:rFonts w:ascii="Times New Roman" w:hAnsi="Times New Roman" w:cs="Times New Roman"/>
          <w:kern w:val="0"/>
          <w:szCs w:val="22"/>
          <w:lang w:eastAsia="en-US"/>
          <w14:ligatures w14:val="none"/>
        </w:rPr>
      </w:pPr>
      <w:r>
        <w:rPr>
          <w:rFonts w:ascii="Times New Roman" w:hAnsi="Times New Roman" w:cs="Times New Roman"/>
          <w:kern w:val="0"/>
          <w:szCs w:val="22"/>
          <w:lang w:eastAsia="en-US"/>
          <w14:ligatures w14:val="none"/>
        </w:rPr>
        <w:br w:type="page"/>
      </w:r>
    </w:p>
    <w:p w14:paraId="5EF65B1E">
      <w:pPr>
        <w:rPr>
          <w:rFonts w:hint="eastAsia" w:ascii="Times New Roman" w:hAnsi="Times New Roman" w:cs="Times New Roman"/>
          <w:b/>
          <w:bCs/>
          <w:kern w:val="0"/>
          <w:szCs w:val="22"/>
          <w:lang w:eastAsia="en-US"/>
          <w14:ligatures w14:val="none"/>
        </w:rPr>
      </w:pPr>
      <w:r>
        <w:rPr>
          <w:rFonts w:hint="eastAsia" w:ascii="Times New Roman" w:hAnsi="Times New Roman" w:cs="Times New Roman"/>
          <w:b/>
          <w:bCs/>
          <w:kern w:val="0"/>
          <w:szCs w:val="22"/>
          <w:lang w:eastAsia="en-US"/>
          <w14:ligatures w14:val="none"/>
        </w:rPr>
        <w:t>Supplementary Table Legends</w:t>
      </w:r>
    </w:p>
    <w:p w14:paraId="6D91A1D5">
      <w:pPr>
        <w:rPr>
          <w:rFonts w:hint="eastAsia" w:ascii="Times New Roman" w:hAnsi="Times New Roman" w:cs="Times New Roman"/>
          <w:kern w:val="0"/>
          <w:szCs w:val="22"/>
          <w:lang w:eastAsia="en-US"/>
          <w14:ligatures w14:val="none"/>
        </w:rPr>
      </w:pPr>
      <w:r>
        <w:rPr>
          <w:rFonts w:hint="eastAsia" w:ascii="Times New Roman" w:hAnsi="Times New Roman" w:cs="Times New Roman"/>
          <w:kern w:val="0"/>
          <w:szCs w:val="22"/>
          <w:lang w:eastAsia="en-US"/>
          <w14:ligatures w14:val="none"/>
        </w:rPr>
        <w:t>Supplementary Tables S1-S18 are provided in the accompanying Supplementary Tables.xlsx file. The tables are arranged to mirror the workflow of the manuscript: search and coding materials, risk-of-bias assessment, primary network results, sensitivity and exploratory study-level covariate analyses, and confidence-in-evidence assessments.</w:t>
      </w:r>
    </w:p>
    <w:p w14:paraId="52744416">
      <w:pPr>
        <w:rPr>
          <w:rFonts w:hint="eastAsia" w:ascii="Times New Roman" w:hAnsi="Times New Roman"/>
          <w:b/>
          <w:bCs/>
        </w:rPr>
      </w:pPr>
      <w:r>
        <w:rPr>
          <w:rFonts w:hint="eastAsia" w:ascii="Times New Roman" w:hAnsi="Times New Roman"/>
          <w:b/>
          <w:bCs/>
        </w:rPr>
        <w:t>A. Search, outcome classification, intervention coding, and risk-of-bias assessment</w:t>
      </w:r>
    </w:p>
    <w:p w14:paraId="2B846A32">
      <w:pPr>
        <w:rPr>
          <w:rFonts w:hint="eastAsia" w:ascii="Times New Roman" w:hAnsi="Times New Roman"/>
        </w:rPr>
      </w:pPr>
      <w:r>
        <w:rPr>
          <w:rFonts w:hint="eastAsia" w:ascii="Times New Roman" w:hAnsi="Times New Roman"/>
        </w:rPr>
        <w:t>Table S1. Search strategies and study-selection exclusion categories.</w:t>
      </w:r>
    </w:p>
    <w:p w14:paraId="22D40A1C">
      <w:pPr>
        <w:rPr>
          <w:rFonts w:hint="eastAsia" w:ascii="Times New Roman" w:hAnsi="Times New Roman"/>
        </w:rPr>
      </w:pPr>
      <w:r>
        <w:rPr>
          <w:rFonts w:hint="eastAsia" w:ascii="Times New Roman" w:hAnsi="Times New Roman"/>
        </w:rPr>
        <w:t>Table S2. Classification rules for task-based executive-function and attentional-control task-family domains.</w:t>
      </w:r>
    </w:p>
    <w:p w14:paraId="52FBC5E4">
      <w:pPr>
        <w:rPr>
          <w:rFonts w:hint="eastAsia" w:ascii="Times New Roman" w:hAnsi="Times New Roman"/>
        </w:rPr>
      </w:pPr>
      <w:r>
        <w:rPr>
          <w:rFonts w:hint="eastAsia" w:ascii="Times New Roman" w:hAnsi="Times New Roman"/>
        </w:rPr>
        <w:t>Table S3. Operational definitions and coding rules for intervention and comparator nodes.</w:t>
      </w:r>
    </w:p>
    <w:p w14:paraId="2BC03808">
      <w:pPr>
        <w:rPr>
          <w:rFonts w:hint="eastAsia" w:ascii="Times New Roman" w:hAnsi="Times New Roman"/>
        </w:rPr>
      </w:pPr>
      <w:r>
        <w:rPr>
          <w:rFonts w:hint="eastAsia" w:ascii="Times New Roman" w:hAnsi="Times New Roman"/>
        </w:rPr>
        <w:t>Table S4. Risk-of-bias assessments for individual trials using the Cochrane RoB 2 tool.</w:t>
      </w:r>
    </w:p>
    <w:p w14:paraId="1FC28119">
      <w:pPr>
        <w:rPr>
          <w:rFonts w:hint="eastAsia" w:ascii="Times New Roman" w:hAnsi="Times New Roman"/>
          <w:b/>
          <w:bCs/>
        </w:rPr>
      </w:pPr>
      <w:r>
        <w:rPr>
          <w:rFonts w:hint="eastAsia" w:ascii="Times New Roman" w:hAnsi="Times New Roman"/>
          <w:b/>
          <w:bCs/>
        </w:rPr>
        <w:t>B. Primary network meta-analysis and inconsistency checks</w:t>
      </w:r>
    </w:p>
    <w:p w14:paraId="585AD263">
      <w:pPr>
        <w:rPr>
          <w:rFonts w:hint="eastAsia" w:ascii="Times New Roman" w:hAnsi="Times New Roman"/>
        </w:rPr>
      </w:pPr>
      <w:r>
        <w:rPr>
          <w:rFonts w:hint="eastAsia" w:ascii="Times New Roman" w:hAnsi="Times New Roman"/>
        </w:rPr>
        <w:t>Table S5. Network geometry, between-study heterogeneity, and convergence diagnostics by cognitive domain in the primary analysis.</w:t>
      </w:r>
    </w:p>
    <w:p w14:paraId="2F55A0A7">
      <w:pPr>
        <w:rPr>
          <w:rFonts w:hint="eastAsia" w:ascii="Times New Roman" w:hAnsi="Times New Roman"/>
        </w:rPr>
      </w:pPr>
      <w:r>
        <w:rPr>
          <w:rFonts w:hint="eastAsia" w:ascii="Times New Roman" w:hAnsi="Times New Roman"/>
        </w:rPr>
        <w:t>Table S6. Relative effects versus pooled Control and SUCRA rankings in the primary Bayesian network meta-analysis.</w:t>
      </w:r>
    </w:p>
    <w:p w14:paraId="691309BC">
      <w:pPr>
        <w:rPr>
          <w:rFonts w:hint="eastAsia" w:ascii="Times New Roman" w:hAnsi="Times New Roman"/>
        </w:rPr>
      </w:pPr>
      <w:r>
        <w:rPr>
          <w:rFonts w:hint="eastAsia" w:ascii="Times New Roman" w:hAnsi="Times New Roman"/>
        </w:rPr>
        <w:t>Table S7. Node-splitting inconsistency checks by cognitive domain in the primary analysis.</w:t>
      </w:r>
    </w:p>
    <w:p w14:paraId="7A97E7ED">
      <w:pPr>
        <w:rPr>
          <w:rFonts w:hint="eastAsia" w:ascii="Times New Roman" w:hAnsi="Times New Roman"/>
          <w:b/>
          <w:bCs/>
        </w:rPr>
      </w:pPr>
      <w:r>
        <w:rPr>
          <w:rFonts w:hint="eastAsia" w:ascii="Times New Roman" w:hAnsi="Times New Roman"/>
          <w:b/>
          <w:bCs/>
        </w:rPr>
        <w:t>C. Sensitivity, robustness, and exploratory study-level covariate analyses</w:t>
      </w:r>
    </w:p>
    <w:p w14:paraId="32612AC2">
      <w:pPr>
        <w:rPr>
          <w:rFonts w:hint="eastAsia" w:ascii="Times New Roman" w:hAnsi="Times New Roman"/>
        </w:rPr>
      </w:pPr>
      <w:r>
        <w:rPr>
          <w:rFonts w:hint="eastAsia" w:ascii="Times New Roman" w:hAnsi="Times New Roman"/>
        </w:rPr>
        <w:t>Table S8. Sensitivity analyses specified before the final quantitative synthesis: restrictions, estimands, rationale, and interpretation rules.</w:t>
      </w:r>
    </w:p>
    <w:p w14:paraId="394D1A98">
      <w:pPr>
        <w:rPr>
          <w:rFonts w:hint="eastAsia" w:ascii="Times New Roman" w:hAnsi="Times New Roman"/>
        </w:rPr>
      </w:pPr>
      <w:r>
        <w:rPr>
          <w:rFonts w:hint="eastAsia" w:ascii="Times New Roman" w:hAnsi="Times New Roman"/>
        </w:rPr>
        <w:t>Table S9. Network size across primary and sensitivity analyses by cognitive domain.</w:t>
      </w:r>
    </w:p>
    <w:p w14:paraId="392A7BBE">
      <w:pPr>
        <w:rPr>
          <w:rFonts w:hint="eastAsia" w:ascii="Times New Roman" w:hAnsi="Times New Roman"/>
        </w:rPr>
      </w:pPr>
      <w:r>
        <w:rPr>
          <w:rFonts w:hint="eastAsia" w:ascii="Times New Roman" w:hAnsi="Times New Roman"/>
        </w:rPr>
        <w:t>Table S10. Relative effects versus pooled Control and SUCRA values across sensitivity analyses.</w:t>
      </w:r>
    </w:p>
    <w:p w14:paraId="562737AA">
      <w:pPr>
        <w:rPr>
          <w:rFonts w:hint="eastAsia" w:ascii="Times New Roman" w:hAnsi="Times New Roman"/>
        </w:rPr>
      </w:pPr>
      <w:r>
        <w:rPr>
          <w:rFonts w:hint="eastAsia" w:ascii="Times New Roman" w:hAnsi="Times New Roman"/>
        </w:rPr>
        <w:t>Table S11. Between-study heterogeneity (τ) by cognitive domain across sensitivity analyses.</w:t>
      </w:r>
    </w:p>
    <w:p w14:paraId="219DCEFF">
      <w:pPr>
        <w:rPr>
          <w:rFonts w:hint="eastAsia" w:ascii="Times New Roman" w:hAnsi="Times New Roman"/>
        </w:rPr>
      </w:pPr>
      <w:r>
        <w:rPr>
          <w:rFonts w:hint="eastAsia" w:ascii="Times New Roman" w:hAnsi="Times New Roman"/>
        </w:rPr>
        <w:t>Table S12. Node-splitting inconsistency checks across sensitivity analyses.</w:t>
      </w:r>
    </w:p>
    <w:p w14:paraId="44A32C00">
      <w:pPr>
        <w:rPr>
          <w:rFonts w:hint="eastAsia" w:ascii="Times New Roman" w:hAnsi="Times New Roman"/>
        </w:rPr>
      </w:pPr>
      <w:r>
        <w:rPr>
          <w:rFonts w:hint="eastAsia" w:ascii="Times New Roman" w:hAnsi="Times New Roman"/>
        </w:rPr>
        <w:t>Table S13. Exploratory study-level mean-age moderator analyses.</w:t>
      </w:r>
    </w:p>
    <w:p w14:paraId="43D2CD1F">
      <w:pPr>
        <w:rPr>
          <w:rFonts w:hint="eastAsia" w:ascii="Times New Roman" w:hAnsi="Times New Roman"/>
        </w:rPr>
      </w:pPr>
      <w:r>
        <w:rPr>
          <w:rFonts w:hint="eastAsia" w:ascii="Times New Roman" w:hAnsi="Times New Roman"/>
        </w:rPr>
        <w:t>Table S14. Direct-evidence subgroup analysis by study-level mean age (&lt;9 vs. ≥9 years).</w:t>
      </w:r>
    </w:p>
    <w:p w14:paraId="39B198EC">
      <w:pPr>
        <w:rPr>
          <w:rFonts w:hint="eastAsia" w:ascii="Times New Roman" w:hAnsi="Times New Roman"/>
        </w:rPr>
      </w:pPr>
      <w:r>
        <w:rPr>
          <w:rFonts w:hint="eastAsia" w:ascii="Times New Roman" w:hAnsi="Times New Roman"/>
        </w:rPr>
        <w:t>Table S15. Exploratory study-level male-proportion moderator analyses.</w:t>
      </w:r>
    </w:p>
    <w:p w14:paraId="277B82E5">
      <w:pPr>
        <w:rPr>
          <w:rFonts w:hint="eastAsia" w:ascii="Times New Roman" w:hAnsi="Times New Roman"/>
        </w:rPr>
      </w:pPr>
      <w:r>
        <w:rPr>
          <w:rFonts w:hint="eastAsia" w:ascii="Times New Roman" w:hAnsi="Times New Roman"/>
        </w:rPr>
        <w:t>Table S16. Direct-evidence subgroup analysis by study-level male proportion (&lt;75% vs. ≥75% male).</w:t>
      </w:r>
    </w:p>
    <w:p w14:paraId="07F3116E">
      <w:pPr>
        <w:rPr>
          <w:rFonts w:hint="eastAsia" w:ascii="Times New Roman" w:hAnsi="Times New Roman"/>
          <w:b/>
          <w:bCs/>
        </w:rPr>
      </w:pPr>
      <w:r>
        <w:rPr>
          <w:rFonts w:hint="eastAsia" w:ascii="Times New Roman" w:hAnsi="Times New Roman"/>
          <w:b/>
          <w:bCs/>
        </w:rPr>
        <w:t>D. Confidence in the network estimates</w:t>
      </w:r>
    </w:p>
    <w:p w14:paraId="4B9028A1">
      <w:pPr>
        <w:rPr>
          <w:rFonts w:hint="eastAsia" w:ascii="Times New Roman" w:hAnsi="Times New Roman"/>
        </w:rPr>
      </w:pPr>
      <w:r>
        <w:rPr>
          <w:rFonts w:hint="eastAsia" w:ascii="Times New Roman" w:hAnsi="Times New Roman"/>
        </w:rPr>
        <w:t>Table S17. CINeMA assessment for network estimates versus pooled Control by cognitive domain.</w:t>
      </w:r>
    </w:p>
    <w:p w14:paraId="222F720B">
      <w:pPr>
        <w:rPr>
          <w:rFonts w:hint="eastAsia" w:ascii="Times New Roman" w:hAnsi="Times New Roman"/>
        </w:rPr>
      </w:pPr>
      <w:r>
        <w:rPr>
          <w:rFonts w:hint="eastAsia" w:ascii="Times New Roman" w:hAnsi="Times New Roman"/>
        </w:rPr>
        <w:t>Table S18. CINeMA assessment for all pairwise comparisons by cognitive domain.</w:t>
      </w:r>
    </w:p>
    <w:p w14:paraId="2DFE44FC">
      <w:pPr>
        <w:rPr>
          <w:rFonts w:ascii="Times New Roman" w:hAnsi="Times New Roman"/>
        </w:rPr>
      </w:pPr>
      <w:r>
        <w:rPr>
          <w:rFonts w:ascii="Times New Roman" w:hAnsi="Times New Roman"/>
        </w:rPr>
        <w:br w:type="page"/>
      </w:r>
    </w:p>
    <w:p w14:paraId="61B044B3">
      <w:pPr>
        <w:ind w:left="440" w:hanging="440" w:hangingChars="200"/>
        <w:rPr>
          <w:rFonts w:ascii="Times New Roman" w:hAnsi="Times New Roman"/>
          <w:b/>
        </w:rPr>
      </w:pPr>
      <w:r>
        <w:rPr>
          <w:rFonts w:hint="eastAsia" w:ascii="Times New Roman" w:hAnsi="Times New Roman"/>
          <w:b/>
        </w:rPr>
        <w:t>Supplementary Figure Legends and Figures</w:t>
      </w:r>
    </w:p>
    <w:p w14:paraId="6B355295">
      <w:pPr>
        <w:ind w:left="440" w:hanging="440" w:hangingChars="200"/>
        <w:rPr>
          <w:rFonts w:ascii="Times New Roman" w:hAnsi="Times New Roman" w:cs="Times New Roman"/>
          <w:b/>
          <w:bCs/>
          <w:kern w:val="0"/>
          <w:szCs w:val="22"/>
          <w:lang w:eastAsia="en-US"/>
          <w14:ligatures w14:val="none"/>
        </w:rPr>
      </w:pPr>
      <w:r>
        <w:rPr>
          <w:rFonts w:ascii="Times New Roman" w:hAnsi="Times New Roman"/>
          <w:b/>
        </w:rPr>
        <w:t>Figure S1. Inhibitory control.</w:t>
      </w:r>
    </w:p>
    <w:p w14:paraId="4E0CAE80">
      <w:pPr>
        <w:rPr>
          <w:rFonts w:ascii="Times New Roman" w:hAnsi="Times New Roman" w:eastAsia="Times New Roman" w:cs="Times New Roman"/>
          <w:color w:val="000000"/>
          <w:sz w:val="20"/>
        </w:rPr>
      </w:pPr>
      <w:r>
        <w:rPr>
          <w:rFonts w:ascii="Times New Roman" w:hAnsi="Times New Roman"/>
          <w:b w:val="0"/>
        </w:rPr>
        <w:t>Bayesian NMA evidence structure and results for inhibitory control. (A) Evidence network. Node size and edge width are proportional to the number of trials and direct comparisons, respectively; node colour indicates SUCRA. (B) League table showing posterior mean relative effects (lower triangle); * denotes 95% CrI excluding 0. (C) SUCRA ranking probabilities and rankogram. (D) Node-splitting inconsistency checks summarised into pre-specified P-value categories. Positive Hedges’ g values indicate better task performance.</w:t>
      </w:r>
    </w:p>
    <w:p w14:paraId="0EC322BB">
      <w:pPr>
        <w:ind w:left="440" w:hanging="400" w:hangingChars="200"/>
        <w:rPr>
          <w:rFonts w:ascii="Times New Roman" w:hAnsi="Times New Roman" w:cs="Times New Roman"/>
          <w:b/>
          <w:bCs/>
        </w:rPr>
      </w:pPr>
      <w:r>
        <w:rPr>
          <w:rFonts w:ascii="Times New Roman" w:hAnsi="Times New Roman" w:eastAsia="Times New Roman" w:cs="Times New Roman"/>
          <w:color w:val="000000"/>
          <w:sz w:val="20"/>
        </w:rPr>
        <w:drawing>
          <wp:inline distT="0" distB="0" distL="0" distR="0">
            <wp:extent cx="4637405" cy="3142615"/>
            <wp:effectExtent l="0" t="0" r="1270" b="635"/>
            <wp:docPr id="1915311012" name="图片 2"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11012" name="图片 2" descr="图表&#10;&#10;AI 生成的内容可能不正确。"/>
                    <pic:cNvPicPr>
                      <a:picLocks noChangeAspect="1" noChangeArrowheads="1"/>
                    </pic:cNvPicPr>
                  </pic:nvPicPr>
                  <pic:blipFill>
                    <a:blip r:embed="rId6" cstate="print">
                      <a:extLst>
                        <a:ext uri="{28A0092B-C50C-407E-A947-70E740481C1C}">
                          <a14:useLocalDpi xmlns:a14="http://schemas.microsoft.com/office/drawing/2010/main" val="0"/>
                        </a:ext>
                      </a:extLst>
                    </a:blip>
                    <a:srcRect t="5141"/>
                    <a:stretch>
                      <a:fillRect/>
                    </a:stretch>
                  </pic:blipFill>
                  <pic:spPr>
                    <a:xfrm>
                      <a:off x="0" y="0"/>
                      <a:ext cx="4637405" cy="3142615"/>
                    </a:xfrm>
                    <a:prstGeom prst="rect">
                      <a:avLst/>
                    </a:prstGeom>
                    <a:noFill/>
                    <a:ln>
                      <a:noFill/>
                    </a:ln>
                  </pic:spPr>
                </pic:pic>
              </a:graphicData>
            </a:graphic>
          </wp:inline>
        </w:drawing>
      </w:r>
    </w:p>
    <w:p w14:paraId="0AA714CE">
      <w:pPr>
        <w:rPr>
          <w:rFonts w:ascii="Times New Roman" w:hAnsi="Times New Roman"/>
          <w:b/>
        </w:rPr>
      </w:pPr>
      <w:r>
        <w:rPr>
          <w:rFonts w:ascii="Times New Roman" w:hAnsi="Times New Roman"/>
          <w:b/>
        </w:rPr>
        <w:br w:type="page"/>
      </w:r>
    </w:p>
    <w:p w14:paraId="7735FB53">
      <w:pPr>
        <w:ind w:left="440" w:hanging="440" w:hangingChars="200"/>
        <w:rPr>
          <w:rFonts w:ascii="Times New Roman" w:hAnsi="Times New Roman" w:cs="Times New Roman"/>
          <w:b/>
          <w:bCs/>
        </w:rPr>
      </w:pPr>
      <w:r>
        <w:rPr>
          <w:rFonts w:ascii="Times New Roman" w:hAnsi="Times New Roman"/>
          <w:b/>
        </w:rPr>
        <w:t>Figure S2. Working memory.</w:t>
      </w:r>
    </w:p>
    <w:p w14:paraId="1278796F">
      <w:pPr>
        <w:rPr>
          <w:rFonts w:ascii="Times New Roman" w:hAnsi="Times New Roman"/>
        </w:rPr>
      </w:pPr>
      <w:r>
        <w:rPr>
          <w:rFonts w:ascii="Times New Roman" w:hAnsi="Times New Roman"/>
          <w:b w:val="0"/>
        </w:rPr>
        <w:t>Same layout as Figure S1. (A) Evidence network with node size and edge width proportional to trial counts; node colour indicates SUCRA. (B) League table (lower triangle) showing posterior mean relative effects; * denotes 95% CrI excluding 0. (C) SUCRA ranking probabilities and rankogram. (D) Node-splitting inconsistency checks. Positive Hedges’ g values indicate better task performance.</w:t>
      </w:r>
    </w:p>
    <w:p w14:paraId="39CF0ACA">
      <w:pPr>
        <w:ind w:left="440" w:hanging="400" w:hangingChars="200"/>
        <w:rPr>
          <w:rFonts w:ascii="Times New Roman" w:hAnsi="Times New Roman" w:eastAsia="Times New Roman" w:cs="Times New Roman"/>
          <w:color w:val="000000"/>
          <w:sz w:val="20"/>
        </w:rPr>
      </w:pPr>
    </w:p>
    <w:p w14:paraId="6B191256">
      <w:pPr>
        <w:ind w:left="440" w:hanging="400" w:hangingChars="200"/>
        <w:rPr>
          <w:rFonts w:ascii="Times New Roman" w:hAnsi="Times New Roman" w:cs="Times New Roman"/>
          <w:b/>
          <w:bCs/>
        </w:rPr>
      </w:pPr>
      <w:r>
        <w:rPr>
          <w:rFonts w:ascii="Times New Roman" w:hAnsi="Times New Roman" w:eastAsia="Times New Roman" w:cs="Times New Roman"/>
          <w:color w:val="000000"/>
          <w:sz w:val="20"/>
        </w:rPr>
        <w:drawing>
          <wp:inline distT="0" distB="0" distL="0" distR="0">
            <wp:extent cx="5274310" cy="3602990"/>
            <wp:effectExtent l="0" t="0" r="0" b="0"/>
            <wp:docPr id="1886048361"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48361" name="图片 3" descr="图表&#10;&#10;AI 生成的内容可能不正确。"/>
                    <pic:cNvPicPr>
                      <a:picLocks noChangeAspect="1" noChangeArrowheads="1"/>
                    </pic:cNvPicPr>
                  </pic:nvPicPr>
                  <pic:blipFill>
                    <a:blip r:embed="rId7" cstate="print">
                      <a:extLst>
                        <a:ext uri="{28A0092B-C50C-407E-A947-70E740481C1C}">
                          <a14:useLocalDpi xmlns:a14="http://schemas.microsoft.com/office/drawing/2010/main" val="0"/>
                        </a:ext>
                      </a:extLst>
                    </a:blip>
                    <a:srcRect t="4365"/>
                    <a:stretch>
                      <a:fillRect/>
                    </a:stretch>
                  </pic:blipFill>
                  <pic:spPr>
                    <a:xfrm>
                      <a:off x="0" y="0"/>
                      <a:ext cx="5274310" cy="3602990"/>
                    </a:xfrm>
                    <a:prstGeom prst="rect">
                      <a:avLst/>
                    </a:prstGeom>
                    <a:noFill/>
                    <a:ln>
                      <a:noFill/>
                    </a:ln>
                  </pic:spPr>
                </pic:pic>
              </a:graphicData>
            </a:graphic>
          </wp:inline>
        </w:drawing>
      </w:r>
    </w:p>
    <w:p w14:paraId="1C0EE7BF">
      <w:pPr>
        <w:rPr>
          <w:rFonts w:ascii="Times New Roman" w:hAnsi="Times New Roman" w:cs="Times New Roman"/>
          <w:b/>
          <w:bCs/>
        </w:rPr>
      </w:pPr>
      <w:r>
        <w:rPr>
          <w:rFonts w:ascii="Times New Roman" w:hAnsi="Times New Roman"/>
          <w:b/>
        </w:rPr>
        <w:t>Figure S3. Cognitive flexibility.</w:t>
      </w:r>
    </w:p>
    <w:p w14:paraId="0D67C3CB">
      <w:pPr>
        <w:rPr>
          <w:rFonts w:ascii="Times New Roman" w:hAnsi="Times New Roman"/>
        </w:rPr>
      </w:pPr>
      <w:r>
        <w:rPr>
          <w:rFonts w:ascii="Times New Roman" w:hAnsi="Times New Roman"/>
          <w:b w:val="0"/>
        </w:rPr>
        <w:t>Same layout as Figure S1. (A) Evidence network; node colour indicates SUCRA. (B) League table (lower triangle) with posterior mean relative effects; * denotes 95% CrI excluding 0. (C) SUCRA ranking and rankogram for the top-ranked interventions. (D) Node-splitting inconsistency checks. Positive Hedges’ g values indicate better task performance.</w:t>
      </w:r>
    </w:p>
    <w:p w14:paraId="24C580F9">
      <w:pPr>
        <w:rPr>
          <w:rFonts w:ascii="Times New Roman" w:hAnsi="Times New Roman" w:cs="Times New Roman"/>
          <w:b/>
          <w:bCs/>
        </w:rPr>
      </w:pPr>
      <w:r>
        <w:rPr>
          <w:rFonts w:ascii="Times New Roman" w:hAnsi="Times New Roman" w:eastAsia="Times New Roman" w:cs="Times New Roman"/>
          <w:color w:val="000000"/>
          <w:sz w:val="20"/>
        </w:rPr>
        <w:drawing>
          <wp:inline distT="0" distB="0" distL="0" distR="0">
            <wp:extent cx="5274310" cy="3585845"/>
            <wp:effectExtent l="0" t="0" r="0" b="0"/>
            <wp:docPr id="464301446" name="图片 4"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301446" name="图片 4" descr="图表&#10;&#10;AI 生成的内容可能不正确。"/>
                    <pic:cNvPicPr>
                      <a:picLocks noChangeAspect="1" noChangeArrowheads="1"/>
                    </pic:cNvPicPr>
                  </pic:nvPicPr>
                  <pic:blipFill>
                    <a:blip r:embed="rId8" cstate="print">
                      <a:extLst>
                        <a:ext uri="{28A0092B-C50C-407E-A947-70E740481C1C}">
                          <a14:useLocalDpi xmlns:a14="http://schemas.microsoft.com/office/drawing/2010/main" val="0"/>
                        </a:ext>
                      </a:extLst>
                    </a:blip>
                    <a:srcRect t="4820"/>
                    <a:stretch>
                      <a:fillRect/>
                    </a:stretch>
                  </pic:blipFill>
                  <pic:spPr>
                    <a:xfrm>
                      <a:off x="0" y="0"/>
                      <a:ext cx="5274310" cy="3585845"/>
                    </a:xfrm>
                    <a:prstGeom prst="rect">
                      <a:avLst/>
                    </a:prstGeom>
                    <a:noFill/>
                    <a:ln>
                      <a:noFill/>
                    </a:ln>
                  </pic:spPr>
                </pic:pic>
              </a:graphicData>
            </a:graphic>
          </wp:inline>
        </w:drawing>
      </w:r>
    </w:p>
    <w:p w14:paraId="7E82E6F1">
      <w:pPr>
        <w:rPr>
          <w:rFonts w:ascii="Times New Roman" w:hAnsi="Times New Roman" w:cs="Times New Roman"/>
          <w:b/>
          <w:bCs/>
        </w:rPr>
      </w:pPr>
      <w:r>
        <w:rPr>
          <w:rFonts w:ascii="Times New Roman" w:hAnsi="Times New Roman"/>
          <w:b/>
        </w:rPr>
        <w:t>Figure S4. Planning / high-order executive function.</w:t>
      </w:r>
    </w:p>
    <w:p w14:paraId="61042184">
      <w:pPr>
        <w:rPr>
          <w:rFonts w:ascii="Times New Roman" w:hAnsi="Times New Roman" w:eastAsia="Times New Roman" w:cs="Times New Roman"/>
          <w:color w:val="000000"/>
          <w:sz w:val="20"/>
        </w:rPr>
      </w:pPr>
      <w:r>
        <w:rPr>
          <w:rFonts w:ascii="Times New Roman" w:hAnsi="Times New Roman"/>
          <w:b w:val="0"/>
        </w:rPr>
        <w:t>Same layout as Figure S1. (A) Evidence network; node colour indicates SUCRA. (B) League table (lower triangle) showing posterior mean relative effects; * denotes 95% CrI excluding 0. (C) SUCRA ranking and rankogram for the top-ranked interventions. (D) Node-splitting inconsistency checks. Positive Hedges’ g values indicate better task performance.</w:t>
      </w:r>
    </w:p>
    <w:p w14:paraId="4BB2AEEA">
      <w:pPr>
        <w:ind w:left="880" w:hanging="800" w:hangingChars="400"/>
        <w:rPr>
          <w:rFonts w:ascii="Times New Roman" w:hAnsi="Times New Roman" w:cs="Times New Roman"/>
          <w:b/>
          <w:bCs/>
        </w:rPr>
      </w:pPr>
      <w:r>
        <w:rPr>
          <w:rFonts w:ascii="Times New Roman" w:hAnsi="Times New Roman" w:eastAsia="Times New Roman" w:cs="Times New Roman"/>
          <w:color w:val="000000"/>
          <w:sz w:val="20"/>
        </w:rPr>
        <w:drawing>
          <wp:inline distT="0" distB="0" distL="0" distR="0">
            <wp:extent cx="5295900" cy="3612515"/>
            <wp:effectExtent l="0" t="0" r="0" b="0"/>
            <wp:docPr id="837450909" name="图片 5"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50909" name="图片 5" descr="图表&#10;&#10;AI 生成的内容可能不正确。"/>
                    <pic:cNvPicPr>
                      <a:picLocks noChangeAspect="1" noChangeArrowheads="1"/>
                    </pic:cNvPicPr>
                  </pic:nvPicPr>
                  <pic:blipFill>
                    <a:blip r:embed="rId9" cstate="print">
                      <a:extLst>
                        <a:ext uri="{28A0092B-C50C-407E-A947-70E740481C1C}">
                          <a14:useLocalDpi xmlns:a14="http://schemas.microsoft.com/office/drawing/2010/main" val="0"/>
                        </a:ext>
                      </a:extLst>
                    </a:blip>
                    <a:srcRect t="4515"/>
                    <a:stretch>
                      <a:fillRect/>
                    </a:stretch>
                  </pic:blipFill>
                  <pic:spPr>
                    <a:xfrm>
                      <a:off x="0" y="0"/>
                      <a:ext cx="5295900" cy="3612515"/>
                    </a:xfrm>
                    <a:prstGeom prst="rect">
                      <a:avLst/>
                    </a:prstGeom>
                    <a:noFill/>
                    <a:ln>
                      <a:noFill/>
                    </a:ln>
                  </pic:spPr>
                </pic:pic>
              </a:graphicData>
            </a:graphic>
          </wp:inline>
        </w:drawing>
      </w:r>
    </w:p>
    <w:p w14:paraId="366BBC61">
      <w:pPr>
        <w:rPr>
          <w:rFonts w:ascii="Times New Roman" w:hAnsi="Times New Roman" w:cs="Times New Roman"/>
          <w:b/>
          <w:bCs/>
        </w:rPr>
      </w:pPr>
      <w:r>
        <w:rPr>
          <w:rFonts w:ascii="Times New Roman" w:hAnsi="Times New Roman"/>
          <w:b/>
        </w:rPr>
        <w:t>Figure S5. Sustained attention.</w:t>
      </w:r>
    </w:p>
    <w:p w14:paraId="1C64B714">
      <w:pPr>
        <w:rPr>
          <w:rFonts w:ascii="Times New Roman" w:hAnsi="Times New Roman" w:eastAsia="Times New Roman" w:cs="Times New Roman"/>
          <w:color w:val="000000"/>
          <w:sz w:val="20"/>
        </w:rPr>
      </w:pPr>
      <w:r>
        <w:rPr>
          <w:rFonts w:ascii="Times New Roman" w:hAnsi="Times New Roman"/>
          <w:b w:val="0"/>
        </w:rPr>
        <w:t>Same layout as Figure S1. (A) Evidence network; node colour indicates SUCRA. (B) League table (lower triangle) showing posterior mean relative effects; * denotes 95% CrI excluding 0. (C) SUCRA ranking and rankogram for the top-ranked interventions. (D) Node-splitting inconsistency checks. Positive Hedges’ g values indicate better task performance.</w:t>
      </w:r>
    </w:p>
    <w:p w14:paraId="5D1B2D6C">
      <w:pPr>
        <w:ind w:left="1100" w:hanging="1000" w:hangingChars="500"/>
        <w:rPr>
          <w:rFonts w:ascii="Times New Roman" w:hAnsi="Times New Roman" w:cs="Times New Roman"/>
          <w:b/>
          <w:bCs/>
        </w:rPr>
      </w:pPr>
      <w:r>
        <w:rPr>
          <w:rFonts w:ascii="Times New Roman" w:hAnsi="Times New Roman" w:eastAsia="Times New Roman" w:cs="Times New Roman"/>
          <w:color w:val="000000"/>
          <w:sz w:val="20"/>
        </w:rPr>
        <w:drawing>
          <wp:inline distT="0" distB="0" distL="0" distR="0">
            <wp:extent cx="5382895" cy="3673475"/>
            <wp:effectExtent l="0" t="0" r="0" b="0"/>
            <wp:docPr id="767036080" name="图片 6"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36080" name="图片 6" descr="图表&#10;&#10;AI 生成的内容可能不正确。"/>
                    <pic:cNvPicPr>
                      <a:picLocks noChangeAspect="1" noChangeArrowheads="1"/>
                    </pic:cNvPicPr>
                  </pic:nvPicPr>
                  <pic:blipFill>
                    <a:blip r:embed="rId10" cstate="print">
                      <a:extLst>
                        <a:ext uri="{28A0092B-C50C-407E-A947-70E740481C1C}">
                          <a14:useLocalDpi xmlns:a14="http://schemas.microsoft.com/office/drawing/2010/main" val="0"/>
                        </a:ext>
                      </a:extLst>
                    </a:blip>
                    <a:srcRect t="4459"/>
                    <a:stretch>
                      <a:fillRect/>
                    </a:stretch>
                  </pic:blipFill>
                  <pic:spPr>
                    <a:xfrm>
                      <a:off x="0" y="0"/>
                      <a:ext cx="5382895" cy="3673475"/>
                    </a:xfrm>
                    <a:prstGeom prst="rect">
                      <a:avLst/>
                    </a:prstGeom>
                    <a:noFill/>
                    <a:ln>
                      <a:noFill/>
                    </a:ln>
                  </pic:spPr>
                </pic:pic>
              </a:graphicData>
            </a:graphic>
          </wp:inline>
        </w:drawing>
      </w:r>
    </w:p>
    <w:p w14:paraId="55196297">
      <w:pPr>
        <w:rPr>
          <w:rFonts w:ascii="Times New Roman" w:hAnsi="Times New Roman" w:cs="Times New Roman"/>
          <w:b/>
          <w:bCs/>
        </w:rPr>
      </w:pPr>
      <w:r>
        <w:rPr>
          <w:rFonts w:ascii="Times New Roman" w:hAnsi="Times New Roman"/>
          <w:b/>
        </w:rPr>
        <w:t>Figure S6. Selective attention.</w:t>
      </w:r>
    </w:p>
    <w:p w14:paraId="687A98DA">
      <w:pPr>
        <w:rPr>
          <w:rFonts w:ascii="Times New Roman" w:hAnsi="Times New Roman"/>
        </w:rPr>
      </w:pPr>
      <w:r>
        <w:rPr>
          <w:rFonts w:ascii="Times New Roman" w:hAnsi="Times New Roman"/>
          <w:b w:val="0"/>
        </w:rPr>
        <w:t>Same layout as Figure S1. (A) Evidence network; node colour indicates SUCRA. (B) League table (lower triangle) showing posterior mean relative effects; * denotes 95% CrI excluding 0. (C) SUCRA ranking and rankogram for the top-ranked interventions. (D) Node-splitting inconsistency checks. Positive Hedges’ g values indicate better task performance.</w:t>
      </w:r>
    </w:p>
    <w:p w14:paraId="3C436BC1">
      <w:pPr>
        <w:ind w:left="1320" w:hanging="1200" w:hangingChars="600"/>
        <w:rPr>
          <w:rFonts w:ascii="Times New Roman" w:hAnsi="Times New Roman" w:eastAsia="Times New Roman" w:cs="Times New Roman"/>
          <w:color w:val="000000"/>
          <w:sz w:val="20"/>
        </w:rPr>
      </w:pPr>
    </w:p>
    <w:p w14:paraId="1769A8EB">
      <w:pPr>
        <w:ind w:left="1320" w:hanging="1200" w:hangingChars="600"/>
        <w:rPr>
          <w:rFonts w:ascii="Times New Roman" w:hAnsi="Times New Roman" w:eastAsia="Times New Roman" w:cs="Times New Roman"/>
          <w:color w:val="000000"/>
          <w:sz w:val="20"/>
        </w:rPr>
      </w:pPr>
    </w:p>
    <w:p w14:paraId="684658A2">
      <w:pPr>
        <w:ind w:left="1320" w:hanging="1200" w:hangingChars="600"/>
        <w:rPr>
          <w:rFonts w:ascii="Times New Roman" w:hAnsi="Times New Roman" w:cs="Times New Roman"/>
          <w:b/>
          <w:bCs/>
        </w:rPr>
      </w:pPr>
      <w:bookmarkStart w:id="0" w:name="_GoBack"/>
      <w:r>
        <w:rPr>
          <w:rFonts w:ascii="Times New Roman" w:hAnsi="Times New Roman" w:eastAsia="Times New Roman" w:cs="Times New Roman"/>
          <w:color w:val="000000"/>
          <w:sz w:val="20"/>
        </w:rPr>
        <w:drawing>
          <wp:inline distT="0" distB="0" distL="0" distR="0">
            <wp:extent cx="4799330" cy="3256915"/>
            <wp:effectExtent l="0" t="0" r="1270" b="635"/>
            <wp:docPr id="305509207" name="图片 7"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509207" name="图片 7" descr="图表&#10;&#10;AI 生成的内容可能不正确。"/>
                    <pic:cNvPicPr>
                      <a:picLocks noChangeAspect="1" noChangeArrowheads="1"/>
                    </pic:cNvPicPr>
                  </pic:nvPicPr>
                  <pic:blipFill>
                    <a:blip r:embed="rId11" cstate="print">
                      <a:extLst>
                        <a:ext uri="{28A0092B-C50C-407E-A947-70E740481C1C}">
                          <a14:useLocalDpi xmlns:a14="http://schemas.microsoft.com/office/drawing/2010/main" val="0"/>
                        </a:ext>
                      </a:extLst>
                    </a:blip>
                    <a:srcRect t="4998"/>
                    <a:stretch>
                      <a:fillRect/>
                    </a:stretch>
                  </pic:blipFill>
                  <pic:spPr>
                    <a:xfrm>
                      <a:off x="0" y="0"/>
                      <a:ext cx="4799330" cy="3256915"/>
                    </a:xfrm>
                    <a:prstGeom prst="rect">
                      <a:avLst/>
                    </a:prstGeom>
                    <a:noFill/>
                    <a:ln>
                      <a:noFill/>
                    </a:ln>
                  </pic:spPr>
                </pic:pic>
              </a:graphicData>
            </a:graphic>
          </wp:inline>
        </w:drawing>
      </w:r>
      <w:bookmarkEnd w:id="0"/>
    </w:p>
    <w:p w14:paraId="5D6234B7">
      <w:pPr>
        <w:rPr>
          <w:rFonts w:ascii="Times New Roman" w:hAnsi="Times New Roman" w:cs="Times New Roman"/>
          <w:b/>
          <w:bCs/>
        </w:rPr>
      </w:pPr>
      <w:r>
        <w:rPr>
          <w:rFonts w:ascii="Times New Roman" w:hAnsi="Times New Roman"/>
          <w:b/>
        </w:rPr>
        <w:t>Figure S7. Processing speed / reaction time variability.</w:t>
      </w:r>
    </w:p>
    <w:p w14:paraId="036F3157">
      <w:pPr>
        <w:rPr>
          <w:rFonts w:ascii="Times New Roman" w:hAnsi="Times New Roman"/>
        </w:rPr>
      </w:pPr>
      <w:r>
        <w:rPr>
          <w:rFonts w:ascii="Times New Roman" w:hAnsi="Times New Roman"/>
          <w:b w:val="0"/>
        </w:rPr>
        <w:t>Same layout as Figure S1. (A) Evidence network; node colour indicates SUCRA. (B) League table (lower triangle) showing posterior mean relative effects; * denotes 95% CrI excluding 0. (C) SUCRA ranking and rankogram for the top-ranked interventions. (D) Node-splitting inconsistency checks. Positive Hedges’ g values indicate better task performance.</w:t>
      </w:r>
    </w:p>
    <w:p w14:paraId="7549D982">
      <w:pPr>
        <w:ind w:left="1760" w:hanging="1600" w:hangingChars="800"/>
        <w:rPr>
          <w:rFonts w:ascii="Times New Roman" w:hAnsi="Times New Roman" w:eastAsia="Times New Roman" w:cs="Times New Roman"/>
          <w:color w:val="000000"/>
          <w:sz w:val="20"/>
        </w:rPr>
      </w:pPr>
    </w:p>
    <w:p w14:paraId="610FE8DB">
      <w:pPr>
        <w:ind w:left="1760" w:hanging="1600" w:hangingChars="800"/>
        <w:rPr>
          <w:rFonts w:ascii="Times New Roman" w:hAnsi="Times New Roman" w:cs="Times New Roman"/>
          <w:b/>
          <w:bCs/>
        </w:rPr>
      </w:pPr>
      <w:r>
        <w:rPr>
          <w:rFonts w:ascii="Times New Roman" w:hAnsi="Times New Roman" w:eastAsia="Times New Roman" w:cs="Times New Roman"/>
          <w:color w:val="000000"/>
          <w:sz w:val="20"/>
        </w:rPr>
        <w:drawing>
          <wp:inline distT="0" distB="0" distL="0" distR="0">
            <wp:extent cx="5274310" cy="3576955"/>
            <wp:effectExtent l="0" t="0" r="0" b="0"/>
            <wp:docPr id="2030062420"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2420" name="图片 1" descr="图表&#10;&#10;AI 生成的内容可能不正确。"/>
                    <pic:cNvPicPr>
                      <a:picLocks noChangeAspect="1" noChangeArrowheads="1"/>
                    </pic:cNvPicPr>
                  </pic:nvPicPr>
                  <pic:blipFill>
                    <a:blip r:embed="rId12" cstate="print">
                      <a:extLst>
                        <a:ext uri="{28A0092B-C50C-407E-A947-70E740481C1C}">
                          <a14:useLocalDpi xmlns:a14="http://schemas.microsoft.com/office/drawing/2010/main" val="0"/>
                        </a:ext>
                      </a:extLst>
                    </a:blip>
                    <a:srcRect t="5056"/>
                    <a:stretch>
                      <a:fillRect/>
                    </a:stretch>
                  </pic:blipFill>
                  <pic:spPr>
                    <a:xfrm>
                      <a:off x="0" y="0"/>
                      <a:ext cx="5274310" cy="3576955"/>
                    </a:xfrm>
                    <a:prstGeom prst="rect">
                      <a:avLst/>
                    </a:prstGeom>
                    <a:noFill/>
                    <a:ln>
                      <a:noFill/>
                    </a:ln>
                  </pic:spPr>
                </pic:pic>
              </a:graphicData>
            </a:graphic>
          </wp:inline>
        </w:drawing>
      </w:r>
    </w:p>
    <w:p w14:paraId="040030BD">
      <w:pPr>
        <w:rPr>
          <w:rFonts w:ascii="Times New Roman" w:hAnsi="Times New Roman"/>
        </w:rPr>
      </w:pPr>
      <w:r>
        <w:rPr>
          <w:rFonts w:ascii="Times New Roman" w:hAnsi="Times New Roman" w:eastAsia="Times New Roman"/>
          <w:color w:val="000000"/>
          <w:sz w:val="20"/>
        </w:rPr>
        <w:br w:type="page"/>
      </w:r>
    </w:p>
    <w:p w14:paraId="46D384D4">
      <w:pPr>
        <w:spacing w:after="60"/>
        <w:rPr>
          <w:rFonts w:ascii="Times New Roman" w:hAnsi="Times New Roman"/>
        </w:rPr>
      </w:pPr>
      <w:r>
        <w:rPr>
          <w:rFonts w:ascii="Times New Roman" w:hAnsi="Times New Roman"/>
          <w:b/>
        </w:rPr>
        <w:t>Figure S8. Study-level moderator coefficients for age and male proportion across main domains.</w:t>
      </w:r>
    </w:p>
    <w:p w14:paraId="5E267984">
      <w:pPr>
        <w:rPr>
          <w:rFonts w:ascii="Times New Roman" w:hAnsi="Times New Roman"/>
        </w:rPr>
      </w:pPr>
      <w:r>
        <w:rPr>
          <w:rFonts w:ascii="Times New Roman" w:hAnsi="Times New Roman"/>
          <w:b w:val="0"/>
        </w:rPr>
        <w:t>Exploratory post-based aggregate-level moderator coefficients are shown for the four better-powered domains. The age coefficient represents the change in Hedges’ g per 1-year increase in study-level mean age centered at 9 years. The male-proportion coefficient represents the change in Hedges’ g per 1-percentage-point increase in study-level male proportion centered at 75% male. Horizontal bars indicate 95% confidence intervals.</w:t>
      </w:r>
    </w:p>
    <w:p w14:paraId="64A52EB2">
      <w:pPr>
        <w:spacing w:after="80"/>
        <w:jc w:val="left"/>
        <w:rPr>
          <w:rFonts w:ascii="Times New Roman" w:hAnsi="Times New Roman"/>
        </w:rPr>
      </w:pPr>
      <w:r>
        <w:rPr>
          <w:rFonts w:ascii="Times New Roman" w:hAnsi="Times New Roman" w:eastAsia="Times New Roman"/>
          <w:color w:val="000000"/>
          <w:sz w:val="20"/>
        </w:rPr>
        <w:drawing>
          <wp:inline distT="0" distB="0" distL="114300" distR="114300">
            <wp:extent cx="6400800" cy="3345815"/>
            <wp:effectExtent l="0" t="0" r="0" b="6985"/>
            <wp:docPr id="2030062421" name="Picture 203006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2421" name="Picture 2030062421"/>
                    <pic:cNvPicPr>
                      <a:picLocks noChangeAspect="1"/>
                    </pic:cNvPicPr>
                  </pic:nvPicPr>
                  <pic:blipFill>
                    <a:blip r:embed="rId13"/>
                    <a:stretch>
                      <a:fillRect/>
                    </a:stretch>
                  </pic:blipFill>
                  <pic:spPr>
                    <a:xfrm>
                      <a:off x="0" y="0"/>
                      <a:ext cx="6400800" cy="3345873"/>
                    </a:xfrm>
                    <a:prstGeom prst="rect">
                      <a:avLst/>
                    </a:prstGeom>
                  </pic:spPr>
                </pic:pic>
              </a:graphicData>
            </a:graphic>
          </wp:inline>
        </w:drawing>
      </w:r>
    </w:p>
    <w:p w14:paraId="146CE4F1">
      <w:pPr>
        <w:rPr>
          <w:rFonts w:ascii="Times New Roman" w:hAnsi="Times New Roman"/>
        </w:rPr>
      </w:pPr>
      <w:r>
        <w:rPr>
          <w:rFonts w:ascii="Times New Roman" w:hAnsi="Times New Roman" w:eastAsia="Times New Roman"/>
          <w:color w:val="000000"/>
          <w:sz w:val="20"/>
        </w:rPr>
        <w:br w:type="page"/>
      </w:r>
    </w:p>
    <w:p w14:paraId="2B7C1D0D">
      <w:pPr>
        <w:spacing w:after="60"/>
        <w:rPr>
          <w:rFonts w:ascii="Times New Roman" w:hAnsi="Times New Roman"/>
        </w:rPr>
      </w:pPr>
      <w:r>
        <w:rPr>
          <w:rFonts w:ascii="Times New Roman" w:hAnsi="Times New Roman"/>
          <w:b/>
        </w:rPr>
        <w:t>Figure S9. Direct-evidence subgroup analysis by study-level mean age across main domains.</w:t>
      </w:r>
    </w:p>
    <w:p w14:paraId="11B455C7">
      <w:pPr>
        <w:rPr>
          <w:rFonts w:ascii="Times New Roman" w:hAnsi="Times New Roman"/>
        </w:rPr>
      </w:pPr>
      <w:r>
        <w:rPr>
          <w:rFonts w:ascii="Times New Roman" w:hAnsi="Times New Roman"/>
          <w:b w:val="0"/>
        </w:rPr>
        <w:t>Direct active-versus-Control post-based effect estimates are stratified by study-level mean age (&lt;9 years vs. ≥9 years) for the four better-powered domains. Positive Hedges’ g values indicate better task performance in the active intervention arm. Estimates are exploratory and based on study-level rather than individual-level age.</w:t>
      </w:r>
    </w:p>
    <w:p w14:paraId="13245A01">
      <w:pPr>
        <w:spacing w:after="80"/>
        <w:jc w:val="left"/>
        <w:rPr>
          <w:rFonts w:ascii="Times New Roman" w:hAnsi="Times New Roman"/>
        </w:rPr>
      </w:pPr>
      <w:r>
        <w:rPr>
          <w:rFonts w:ascii="Times New Roman" w:hAnsi="Times New Roman" w:eastAsia="Times New Roman"/>
          <w:color w:val="000000"/>
          <w:sz w:val="20"/>
        </w:rPr>
        <w:drawing>
          <wp:inline distT="0" distB="0" distL="114300" distR="114300">
            <wp:extent cx="5198110" cy="3971925"/>
            <wp:effectExtent l="0" t="0" r="2540" b="0"/>
            <wp:docPr id="2030062422" name="Picture 203006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2422" name="Picture 2030062422"/>
                    <pic:cNvPicPr>
                      <a:picLocks noChangeAspect="1"/>
                    </pic:cNvPicPr>
                  </pic:nvPicPr>
                  <pic:blipFill>
                    <a:blip r:embed="rId14"/>
                    <a:stretch>
                      <a:fillRect/>
                    </a:stretch>
                  </pic:blipFill>
                  <pic:spPr>
                    <a:xfrm>
                      <a:off x="0" y="0"/>
                      <a:ext cx="5198110" cy="3971925"/>
                    </a:xfrm>
                    <a:prstGeom prst="rect">
                      <a:avLst/>
                    </a:prstGeom>
                  </pic:spPr>
                </pic:pic>
              </a:graphicData>
            </a:graphic>
          </wp:inline>
        </w:drawing>
      </w:r>
    </w:p>
    <w:p w14:paraId="3CDB80A6">
      <w:pPr>
        <w:rPr>
          <w:rFonts w:ascii="Times New Roman" w:hAnsi="Times New Roman"/>
          <w:b/>
        </w:rPr>
      </w:pPr>
      <w:r>
        <w:rPr>
          <w:rFonts w:ascii="Times New Roman" w:hAnsi="Times New Roman"/>
          <w:b/>
        </w:rPr>
        <w:br w:type="page"/>
      </w:r>
    </w:p>
    <w:p w14:paraId="78881EEF">
      <w:pPr>
        <w:spacing w:after="60"/>
        <w:rPr>
          <w:rFonts w:ascii="Times New Roman" w:hAnsi="Times New Roman"/>
        </w:rPr>
      </w:pPr>
      <w:r>
        <w:rPr>
          <w:rFonts w:ascii="Times New Roman" w:hAnsi="Times New Roman"/>
          <w:b/>
        </w:rPr>
        <w:t>Figure S10. Direct-evidence subgroup analysis by study-level male proportion across main domains.</w:t>
      </w:r>
    </w:p>
    <w:p w14:paraId="27D1D79D">
      <w:pPr>
        <w:rPr>
          <w:rFonts w:ascii="Times New Roman" w:hAnsi="Times New Roman"/>
        </w:rPr>
      </w:pPr>
      <w:r>
        <w:rPr>
          <w:rFonts w:ascii="Times New Roman" w:hAnsi="Times New Roman"/>
          <w:b w:val="0"/>
        </w:rPr>
        <w:t>Direct active-versus-Control post-based effect estimates are stratified by study-level male proportion (&lt;75% male vs. ≥75% male) for the four better-powered domains. Positive Hedges’ g values indicate better task performance in the active intervention arm. Estimates are exploratory and based on study-level sex composition rather than individual-level sex-specific effects.</w:t>
      </w:r>
    </w:p>
    <w:p w14:paraId="445FB8BA">
      <w:pPr>
        <w:spacing w:after="80"/>
        <w:jc w:val="left"/>
        <w:rPr>
          <w:rFonts w:ascii="Times New Roman" w:hAnsi="Times New Roman"/>
        </w:rPr>
      </w:pPr>
      <w:r>
        <w:rPr>
          <w:rFonts w:ascii="Times New Roman" w:hAnsi="Times New Roman" w:eastAsia="Times New Roman"/>
          <w:color w:val="000000"/>
          <w:sz w:val="20"/>
        </w:rPr>
        <w:drawing>
          <wp:inline distT="0" distB="0" distL="114300" distR="114300">
            <wp:extent cx="5352415" cy="4089400"/>
            <wp:effectExtent l="0" t="0" r="635" b="6350"/>
            <wp:docPr id="2030062423" name="Picture 203006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2423" name="Picture 2030062423"/>
                    <pic:cNvPicPr>
                      <a:picLocks noChangeAspect="1"/>
                    </pic:cNvPicPr>
                  </pic:nvPicPr>
                  <pic:blipFill>
                    <a:blip r:embed="rId15"/>
                    <a:stretch>
                      <a:fillRect/>
                    </a:stretch>
                  </pic:blipFill>
                  <pic:spPr>
                    <a:xfrm>
                      <a:off x="0" y="0"/>
                      <a:ext cx="5352415" cy="4089400"/>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9E2"/>
    <w:rsid w:val="0001437E"/>
    <w:rsid w:val="00026FE3"/>
    <w:rsid w:val="000A40F4"/>
    <w:rsid w:val="0012569D"/>
    <w:rsid w:val="00126C99"/>
    <w:rsid w:val="00183E2D"/>
    <w:rsid w:val="001A2F15"/>
    <w:rsid w:val="003A5A36"/>
    <w:rsid w:val="003B6470"/>
    <w:rsid w:val="003B7A2A"/>
    <w:rsid w:val="003E0B61"/>
    <w:rsid w:val="00496E9C"/>
    <w:rsid w:val="005003A8"/>
    <w:rsid w:val="00551937"/>
    <w:rsid w:val="00561D38"/>
    <w:rsid w:val="00580753"/>
    <w:rsid w:val="005B0ED8"/>
    <w:rsid w:val="00663859"/>
    <w:rsid w:val="006749DC"/>
    <w:rsid w:val="00683915"/>
    <w:rsid w:val="006A0FC3"/>
    <w:rsid w:val="00707622"/>
    <w:rsid w:val="007650CD"/>
    <w:rsid w:val="00797D18"/>
    <w:rsid w:val="00842B7B"/>
    <w:rsid w:val="008D7DAE"/>
    <w:rsid w:val="00A20E8B"/>
    <w:rsid w:val="00A2427D"/>
    <w:rsid w:val="00A365CC"/>
    <w:rsid w:val="00A81D86"/>
    <w:rsid w:val="00B1180A"/>
    <w:rsid w:val="00B339BC"/>
    <w:rsid w:val="00BA0DE7"/>
    <w:rsid w:val="00BA19E2"/>
    <w:rsid w:val="00C97B20"/>
    <w:rsid w:val="00DF0155"/>
    <w:rsid w:val="00E26ABC"/>
    <w:rsid w:val="00E537F1"/>
    <w:rsid w:val="00EE4125"/>
    <w:rsid w:val="00F0277C"/>
    <w:rsid w:val="00F3740C"/>
    <w:rsid w:val="00F80F0E"/>
    <w:rsid w:val="00FD36D1"/>
    <w:rsid w:val="111C165B"/>
    <w:rsid w:val="388E4F08"/>
    <w:rsid w:val="512A776D"/>
    <w:rsid w:val="62CA0BA9"/>
    <w:rsid w:val="771C2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59"/>
    <w:pPr>
      <w:spacing w:after="0" w:line="240" w:lineRule="auto"/>
    </w:pPr>
    <w:rPr>
      <w:kern w:val="0"/>
      <w:szCs w:val="22"/>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17</Pages>
  <Words>1805</Words>
  <Characters>11833</Characters>
  <Lines>629</Lines>
  <Paragraphs>326</Paragraphs>
  <TotalTime>1</TotalTime>
  <ScaleCrop>false</ScaleCrop>
  <LinksUpToDate>false</LinksUpToDate>
  <CharactersWithSpaces>13285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2025-12-01T13:14:00Z</dcterms:created>
  <dc:creator>zifan you</dc:creator>
  <cp:lastModifiedBy>饥饿青春</cp:lastModifiedBy>
  <dcterms:modified xsi:type="dcterms:W3CDTF">2026-07-08T14:27:20Z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eyJoZGlkIjoiMzViYmU3NDRhYTAzNTY5MTIyMjJmMDE5YjFmM2JlMGIiLCJ1c2VySWQiOiIyNDAxMTUzMjIifQ==</vt:lpwstr>
  </property>
  <property fmtid="{D5CDD505-2E9C-101B-9397-08002B2CF9AE}" pid="3" name="KSOProductBuildVer">
    <vt:lpwstr>2052-12.1.0.26895</vt:lpwstr>
  </property>
  <property fmtid="{D5CDD505-2E9C-101B-9397-08002B2CF9AE}" pid="4" name="ICV">
    <vt:lpwstr>7CC6D65678924494BEA3944C867439A6_12</vt:lpwstr>
  </property>
</Properties>
</file>