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20F29A" w14:textId="77777777" w:rsidR="00F83167" w:rsidRPr="00962EA8" w:rsidRDefault="00F83167" w:rsidP="00980DBE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62EA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Figure legends for Supplementary Figures</w:t>
      </w:r>
    </w:p>
    <w:p w14:paraId="68BC1625" w14:textId="31E94BA0" w:rsidR="00BE170F" w:rsidRPr="00962EA8" w:rsidRDefault="00BE170F" w:rsidP="00980DBE">
      <w:pPr>
        <w:widowControl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Cs w:val="24"/>
        </w:rPr>
      </w:pP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Supplementary Figure 1. </w:t>
      </w:r>
      <w:r w:rsidR="00935E16"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>Before-and-after body weight plot and average daily energy intake across experimental periods.</w:t>
      </w: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(A)</w:t>
      </w:r>
      <w:r w:rsidR="001254E8" w:rsidRPr="00962EA8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935E16" w:rsidRPr="00962EA8">
        <w:rPr>
          <w:rFonts w:ascii="Times New Roman" w:hAnsi="Times New Roman" w:cs="Times New Roman"/>
          <w:color w:val="000000" w:themeColor="text1"/>
          <w:szCs w:val="24"/>
        </w:rPr>
        <w:t xml:space="preserve">Before-and-after body weight measured throughout the experimental period. </w:t>
      </w:r>
      <w:r w:rsidR="00935E16" w:rsidRPr="00962EA8">
        <w:rPr>
          <w:rFonts w:ascii="Times New Roman" w:eastAsia="標楷體" w:hAnsi="Times New Roman" w:cs="Times New Roman"/>
          <w:b/>
          <w:color w:val="000000" w:themeColor="text1"/>
          <w:kern w:val="0"/>
        </w:rPr>
        <w:t xml:space="preserve">(B) </w:t>
      </w:r>
      <w:r w:rsidR="00935E16" w:rsidRPr="00962EA8">
        <w:rPr>
          <w:rFonts w:ascii="Times New Roman" w:eastAsia="標楷體" w:hAnsi="Times New Roman" w:cs="Times New Roman"/>
          <w:bCs/>
          <w:color w:val="000000" w:themeColor="text1"/>
          <w:kern w:val="0"/>
        </w:rPr>
        <w:t xml:space="preserve">The average daily energy intake within each week during the feeding phase (weeks 1-8). </w:t>
      </w:r>
      <w:r w:rsidR="00935E16" w:rsidRPr="00962EA8">
        <w:rPr>
          <w:rFonts w:ascii="Times New Roman" w:eastAsia="標楷體" w:hAnsi="Times New Roman" w:cs="Times New Roman"/>
          <w:b/>
          <w:color w:val="000000" w:themeColor="text1"/>
          <w:kern w:val="0"/>
        </w:rPr>
        <w:t xml:space="preserve">(C) </w:t>
      </w:r>
      <w:r w:rsidR="00935E16" w:rsidRPr="00962EA8">
        <w:rPr>
          <w:rFonts w:ascii="Times New Roman" w:eastAsia="標楷體" w:hAnsi="Times New Roman" w:cs="Times New Roman"/>
          <w:bCs/>
          <w:color w:val="000000" w:themeColor="text1"/>
          <w:kern w:val="0"/>
        </w:rPr>
        <w:t>The average daily energy intake within each week during the intervention phase (weeks 9-12).</w:t>
      </w:r>
      <w:r w:rsidR="00935E16" w:rsidRPr="00962EA8">
        <w:rPr>
          <w:rFonts w:ascii="Times New Roman" w:hAnsi="Times New Roman" w:cs="Times New Roman"/>
          <w:color w:val="000000" w:themeColor="text1"/>
        </w:rPr>
        <w:t xml:space="preserve"> In panel </w:t>
      </w:r>
      <w:r w:rsidR="00935E16" w:rsidRPr="00962EA8">
        <w:rPr>
          <w:rFonts w:ascii="Times New Roman" w:hAnsi="Times New Roman" w:cs="Times New Roman"/>
          <w:b/>
          <w:bCs/>
          <w:color w:val="000000" w:themeColor="text1"/>
        </w:rPr>
        <w:t>(B)</w:t>
      </w:r>
      <w:r w:rsidR="00935E16" w:rsidRPr="00962EA8">
        <w:rPr>
          <w:rFonts w:ascii="Times New Roman" w:hAnsi="Times New Roman" w:cs="Times New Roman"/>
          <w:color w:val="000000" w:themeColor="text1"/>
        </w:rPr>
        <w:t xml:space="preserve"> and </w:t>
      </w:r>
      <w:r w:rsidR="00935E16" w:rsidRPr="00962EA8">
        <w:rPr>
          <w:rFonts w:ascii="Times New Roman" w:hAnsi="Times New Roman" w:cs="Times New Roman"/>
          <w:b/>
          <w:bCs/>
          <w:color w:val="000000" w:themeColor="text1"/>
        </w:rPr>
        <w:t>(C)</w:t>
      </w:r>
      <w:r w:rsidR="00935E16" w:rsidRPr="00962EA8">
        <w:rPr>
          <w:rFonts w:ascii="Times New Roman" w:hAnsi="Times New Roman" w:cs="Times New Roman"/>
          <w:color w:val="000000" w:themeColor="text1"/>
        </w:rPr>
        <w:t>, data are presented as median with interquartile range. *</w:t>
      </w:r>
      <w:r w:rsidR="00935E16" w:rsidRPr="00962EA8">
        <w:rPr>
          <w:rFonts w:ascii="Times New Roman" w:hAnsi="Times New Roman" w:cs="Times New Roman"/>
          <w:i/>
          <w:iCs/>
          <w:color w:val="000000" w:themeColor="text1"/>
        </w:rPr>
        <w:t>p</w:t>
      </w:r>
      <w:r w:rsidR="00935E16" w:rsidRPr="00962EA8">
        <w:rPr>
          <w:rFonts w:ascii="Times New Roman" w:hAnsi="Times New Roman" w:cs="Times New Roman"/>
          <w:color w:val="000000" w:themeColor="text1"/>
        </w:rPr>
        <w:t xml:space="preserve"> &lt; 0.05. </w:t>
      </w:r>
      <w:r w:rsidR="00935E16" w:rsidRPr="00962EA8">
        <w:rPr>
          <w:rFonts w:ascii="Times New Roman" w:hAnsi="Times New Roman" w:cs="Times New Roman" w:hint="eastAsia"/>
          <w:color w:val="000000" w:themeColor="text1"/>
        </w:rPr>
        <w:t>Th</w:t>
      </w:r>
      <w:r w:rsidR="00935E16" w:rsidRPr="00962EA8">
        <w:rPr>
          <w:rFonts w:ascii="Times New Roman" w:hAnsi="Times New Roman" w:cs="Times New Roman"/>
          <w:color w:val="000000" w:themeColor="text1"/>
        </w:rPr>
        <w:t>e asterisks indicate the statistical results of repeated-measures two-way ANOVAs.</w:t>
      </w:r>
      <w:r w:rsidR="00935E16" w:rsidRPr="00962EA8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935E16" w:rsidRPr="00962EA8">
        <w:rPr>
          <w:rFonts w:ascii="Times New Roman" w:hAnsi="Times New Roman" w:cs="Times New Roman"/>
          <w:color w:val="000000" w:themeColor="text1"/>
        </w:rPr>
        <w:t>The absence of a symbol between any two groups indicates a non-significant difference. n = 4 cages (20 mice</w:t>
      </w:r>
      <w:r w:rsidR="00935E16" w:rsidRPr="00962EA8">
        <w:rPr>
          <w:rFonts w:ascii="Times New Roman" w:hAnsi="Times New Roman" w:cs="Times New Roman" w:hint="eastAsia"/>
          <w:color w:val="000000" w:themeColor="text1"/>
        </w:rPr>
        <w:t>;</w:t>
      </w:r>
      <w:r w:rsidR="00935E16" w:rsidRPr="00962EA8">
        <w:rPr>
          <w:rFonts w:ascii="Times New Roman" w:hAnsi="Times New Roman" w:cs="Times New Roman"/>
          <w:color w:val="000000" w:themeColor="text1"/>
        </w:rPr>
        <w:t xml:space="preserve"> 5 mice per cage).</w:t>
      </w:r>
    </w:p>
    <w:p w14:paraId="1A60FDCC" w14:textId="77777777" w:rsidR="00BE170F" w:rsidRPr="00962EA8" w:rsidRDefault="00BE170F" w:rsidP="00980DBE">
      <w:pPr>
        <w:widowControl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Cs w:val="24"/>
        </w:rPr>
      </w:pPr>
    </w:p>
    <w:p w14:paraId="23B63EC9" w14:textId="77777777" w:rsidR="00BE170F" w:rsidRPr="00962EA8" w:rsidRDefault="00BE170F" w:rsidP="00980DBE">
      <w:pPr>
        <w:widowControl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Cs w:val="24"/>
        </w:rPr>
      </w:pPr>
    </w:p>
    <w:p w14:paraId="25A05493" w14:textId="53E0D0DC" w:rsidR="00C41DAE" w:rsidRPr="00962EA8" w:rsidRDefault="009E341D" w:rsidP="009E341D">
      <w:pPr>
        <w:widowControl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Cs w:val="24"/>
        </w:rPr>
      </w:pPr>
      <w:r w:rsidRPr="00962EA8">
        <w:rPr>
          <w:rFonts w:ascii="Times New Roman" w:hAnsi="Times New Roman" w:cs="Times New Roman"/>
          <w:b/>
          <w:bCs/>
          <w:color w:val="000000" w:themeColor="text1"/>
        </w:rPr>
        <w:t xml:space="preserve">Supplementary Figure 2. Basal </w:t>
      </w:r>
      <w:proofErr w:type="spellStart"/>
      <w:r w:rsidRPr="00962EA8">
        <w:rPr>
          <w:rFonts w:ascii="Times New Roman" w:hAnsi="Times New Roman" w:cs="Times New Roman"/>
          <w:b/>
          <w:bCs/>
          <w:color w:val="000000" w:themeColor="text1"/>
        </w:rPr>
        <w:t>vHPC</w:t>
      </w:r>
      <w:proofErr w:type="spellEnd"/>
      <w:r w:rsidRPr="00962EA8">
        <w:rPr>
          <w:rFonts w:ascii="Times New Roman" w:hAnsi="Times New Roman" w:cs="Times New Roman"/>
          <w:b/>
          <w:bCs/>
          <w:color w:val="000000" w:themeColor="text1"/>
        </w:rPr>
        <w:t xml:space="preserve"> IR</w:t>
      </w:r>
      <w:r w:rsidRPr="00962EA8">
        <w:rPr>
          <w:rFonts w:ascii="Times New Roman" w:hAnsi="Times New Roman" w:cs="Times New Roman"/>
          <w:b/>
          <w:bCs/>
          <w:color w:val="000000" w:themeColor="text1"/>
          <w:vertAlign w:val="subscript"/>
        </w:rPr>
        <w:t>β</w:t>
      </w:r>
      <w:r w:rsidRPr="00962EA8">
        <w:rPr>
          <w:rFonts w:ascii="Times New Roman" w:hAnsi="Times New Roman" w:cs="Times New Roman"/>
          <w:b/>
          <w:bCs/>
          <w:color w:val="000000" w:themeColor="text1"/>
        </w:rPr>
        <w:t>/Akt signaling and insulin‑evoked IRS-1 phosphorylation under CD, HFD, DC, and Ex. (A)</w:t>
      </w:r>
      <w:r w:rsidRPr="00962EA8">
        <w:rPr>
          <w:rFonts w:ascii="Times New Roman" w:hAnsi="Times New Roman" w:cs="Times New Roman"/>
          <w:color w:val="000000" w:themeColor="text1"/>
        </w:rPr>
        <w:t xml:space="preserve"> Representative Western blot images for IR</w:t>
      </w:r>
      <w:r w:rsidRPr="00962EA8">
        <w:rPr>
          <w:rFonts w:ascii="Times New Roman" w:hAnsi="Times New Roman" w:cs="Times New Roman"/>
          <w:color w:val="000000" w:themeColor="text1"/>
          <w:vertAlign w:val="subscript"/>
        </w:rPr>
        <w:t>β</w:t>
      </w:r>
      <w:r w:rsidRPr="00962EA8">
        <w:rPr>
          <w:rFonts w:ascii="Times New Roman" w:hAnsi="Times New Roman" w:cs="Times New Roman"/>
          <w:color w:val="000000" w:themeColor="text1"/>
        </w:rPr>
        <w:t xml:space="preserve"> expression and Akt phosphorylation levels in the </w:t>
      </w:r>
      <w:proofErr w:type="spellStart"/>
      <w:r w:rsidRPr="00962EA8">
        <w:rPr>
          <w:rFonts w:ascii="Times New Roman" w:hAnsi="Times New Roman" w:cs="Times New Roman"/>
          <w:color w:val="000000" w:themeColor="text1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</w:rPr>
        <w:t xml:space="preserve">. </w:t>
      </w:r>
      <w:r w:rsidRPr="00962EA8">
        <w:rPr>
          <w:rFonts w:ascii="Times New Roman" w:hAnsi="Times New Roman" w:cs="Times New Roman"/>
          <w:b/>
          <w:bCs/>
          <w:color w:val="000000" w:themeColor="text1"/>
        </w:rPr>
        <w:t>(B)</w:t>
      </w:r>
      <w:r w:rsidRPr="00962EA8">
        <w:rPr>
          <w:rFonts w:ascii="Times New Roman" w:hAnsi="Times New Roman" w:cs="Times New Roman"/>
          <w:color w:val="000000" w:themeColor="text1"/>
        </w:rPr>
        <w:t xml:space="preserve"> Quantitative results of Western blots for </w:t>
      </w:r>
      <w:proofErr w:type="spellStart"/>
      <w:r w:rsidRPr="00962EA8">
        <w:rPr>
          <w:rFonts w:ascii="Times New Roman" w:hAnsi="Times New Roman" w:cs="Times New Roman"/>
          <w:color w:val="000000" w:themeColor="text1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</w:rPr>
        <w:t xml:space="preserve"> IR</w:t>
      </w:r>
      <w:r w:rsidRPr="00962EA8">
        <w:rPr>
          <w:rFonts w:ascii="Times New Roman" w:hAnsi="Times New Roman" w:cs="Times New Roman"/>
          <w:color w:val="000000" w:themeColor="text1"/>
          <w:vertAlign w:val="subscript"/>
        </w:rPr>
        <w:t>β</w:t>
      </w:r>
      <w:r w:rsidRPr="00962EA8">
        <w:rPr>
          <w:rFonts w:ascii="Times New Roman" w:hAnsi="Times New Roman" w:cs="Times New Roman"/>
          <w:color w:val="000000" w:themeColor="text1"/>
        </w:rPr>
        <w:t xml:space="preserve"> in mice. </w:t>
      </w:r>
      <w:r w:rsidRPr="00962EA8">
        <w:rPr>
          <w:rFonts w:ascii="Times New Roman" w:hAnsi="Times New Roman" w:cs="Times New Roman"/>
          <w:b/>
          <w:bCs/>
          <w:color w:val="000000" w:themeColor="text1"/>
        </w:rPr>
        <w:t>(C)</w:t>
      </w:r>
      <w:r w:rsidRPr="00962EA8">
        <w:rPr>
          <w:rFonts w:ascii="Times New Roman" w:hAnsi="Times New Roman" w:cs="Times New Roman"/>
          <w:color w:val="000000" w:themeColor="text1"/>
        </w:rPr>
        <w:t xml:space="preserve"> Quantitative results of Western blots for the ratio of phosphorylated Akt (S473) to total Akt expression in the </w:t>
      </w:r>
      <w:proofErr w:type="spellStart"/>
      <w:r w:rsidRPr="00962EA8">
        <w:rPr>
          <w:rFonts w:ascii="Times New Roman" w:hAnsi="Times New Roman" w:cs="Times New Roman"/>
          <w:color w:val="000000" w:themeColor="text1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</w:rPr>
        <w:t xml:space="preserve"> of mice. </w:t>
      </w:r>
      <w:r w:rsidRPr="00962EA8">
        <w:rPr>
          <w:rFonts w:ascii="Times New Roman" w:hAnsi="Times New Roman" w:cs="Times New Roman"/>
          <w:b/>
          <w:bCs/>
          <w:color w:val="000000" w:themeColor="text1"/>
        </w:rPr>
        <w:t>(D)</w:t>
      </w:r>
      <w:r w:rsidRPr="00962EA8">
        <w:rPr>
          <w:rFonts w:ascii="Times New Roman" w:hAnsi="Times New Roman" w:cs="Times New Roman"/>
          <w:color w:val="000000" w:themeColor="text1"/>
        </w:rPr>
        <w:t xml:space="preserve"> Experimental timeline and schematic illustration for assessing insulin sensitivity in the </w:t>
      </w:r>
      <w:proofErr w:type="spellStart"/>
      <w:r w:rsidRPr="00962EA8">
        <w:rPr>
          <w:rFonts w:ascii="Times New Roman" w:hAnsi="Times New Roman" w:cs="Times New Roman"/>
          <w:color w:val="000000" w:themeColor="text1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</w:rPr>
        <w:t xml:space="preserve"> of mice. </w:t>
      </w:r>
      <w:r w:rsidRPr="00962EA8">
        <w:rPr>
          <w:rFonts w:ascii="Times New Roman" w:hAnsi="Times New Roman" w:cs="Times New Roman"/>
          <w:b/>
          <w:bCs/>
          <w:color w:val="000000" w:themeColor="text1"/>
        </w:rPr>
        <w:t>(E)</w:t>
      </w:r>
      <w:r w:rsidRPr="00962EA8">
        <w:rPr>
          <w:rFonts w:ascii="Times New Roman" w:hAnsi="Times New Roman" w:cs="Times New Roman"/>
          <w:color w:val="000000" w:themeColor="text1"/>
        </w:rPr>
        <w:t xml:space="preserve"> Representative Western blot images for phosphorylation levels of IRS-1 in the </w:t>
      </w:r>
      <w:proofErr w:type="spellStart"/>
      <w:r w:rsidRPr="00962EA8">
        <w:rPr>
          <w:rFonts w:ascii="Times New Roman" w:hAnsi="Times New Roman" w:cs="Times New Roman"/>
          <w:color w:val="000000" w:themeColor="text1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</w:rPr>
        <w:t xml:space="preserve">. </w:t>
      </w:r>
      <w:r w:rsidRPr="00962EA8">
        <w:rPr>
          <w:rFonts w:ascii="Times New Roman" w:hAnsi="Times New Roman" w:cs="Times New Roman"/>
          <w:b/>
          <w:bCs/>
          <w:color w:val="000000" w:themeColor="text1"/>
        </w:rPr>
        <w:t>(F)</w:t>
      </w:r>
      <w:r w:rsidRPr="00962EA8">
        <w:rPr>
          <w:rFonts w:ascii="Times New Roman" w:hAnsi="Times New Roman" w:cs="Times New Roman"/>
          <w:color w:val="000000" w:themeColor="text1"/>
        </w:rPr>
        <w:t xml:space="preserve"> Quantitative results of Western blots for the ratio of phosphorylated IRS-1 (Y608) to total IRS-1 expression in the </w:t>
      </w:r>
      <w:proofErr w:type="spellStart"/>
      <w:r w:rsidRPr="00962EA8">
        <w:rPr>
          <w:rFonts w:ascii="Times New Roman" w:hAnsi="Times New Roman" w:cs="Times New Roman"/>
          <w:color w:val="000000" w:themeColor="text1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</w:rPr>
        <w:t xml:space="preserve"> of mice. Data are presented as mean ± SD. **</w:t>
      </w:r>
      <w:r w:rsidRPr="00962EA8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962EA8">
        <w:rPr>
          <w:rFonts w:ascii="Times New Roman" w:hAnsi="Times New Roman" w:cs="Times New Roman"/>
          <w:color w:val="000000" w:themeColor="text1"/>
        </w:rPr>
        <w:t xml:space="preserve"> &lt; 0.01. The absence of symbols between groups indicates no significant difference in panels </w:t>
      </w:r>
      <w:r w:rsidRPr="00962EA8">
        <w:rPr>
          <w:rFonts w:ascii="Times New Roman" w:hAnsi="Times New Roman" w:cs="Times New Roman"/>
          <w:b/>
          <w:bCs/>
          <w:color w:val="000000" w:themeColor="text1"/>
        </w:rPr>
        <w:t>(B)</w:t>
      </w:r>
      <w:r w:rsidRPr="00962EA8">
        <w:rPr>
          <w:rFonts w:ascii="Times New Roman" w:hAnsi="Times New Roman" w:cs="Times New Roman"/>
          <w:color w:val="000000" w:themeColor="text1"/>
        </w:rPr>
        <w:t xml:space="preserve"> and </w:t>
      </w:r>
      <w:r w:rsidRPr="00962EA8">
        <w:rPr>
          <w:rFonts w:ascii="Times New Roman" w:hAnsi="Times New Roman" w:cs="Times New Roman"/>
          <w:b/>
          <w:bCs/>
          <w:color w:val="000000" w:themeColor="text1"/>
        </w:rPr>
        <w:t>(C)</w:t>
      </w:r>
      <w:r w:rsidRPr="00962EA8">
        <w:rPr>
          <w:rFonts w:ascii="Times New Roman" w:hAnsi="Times New Roman" w:cs="Times New Roman"/>
          <w:color w:val="000000" w:themeColor="text1"/>
        </w:rPr>
        <w:t xml:space="preserve">, which were analyzed using ordinary one-way ANOVA followed by Tukey’s multiple comparisons test. Asterisks in panel </w:t>
      </w:r>
      <w:r w:rsidRPr="00962EA8">
        <w:rPr>
          <w:rFonts w:ascii="Times New Roman" w:hAnsi="Times New Roman" w:cs="Times New Roman"/>
          <w:b/>
          <w:bCs/>
          <w:color w:val="000000" w:themeColor="text1"/>
        </w:rPr>
        <w:t>(F)</w:t>
      </w:r>
      <w:r w:rsidRPr="00962EA8">
        <w:rPr>
          <w:rFonts w:ascii="Times New Roman" w:hAnsi="Times New Roman" w:cs="Times New Roman"/>
          <w:color w:val="000000" w:themeColor="text1"/>
        </w:rPr>
        <w:t xml:space="preserve"> indicate the results of Tukey’s multiple comparisons test following ordinary two-way </w:t>
      </w:r>
      <w:r w:rsidRPr="00962EA8">
        <w:rPr>
          <w:rFonts w:ascii="Times New Roman" w:hAnsi="Times New Roman" w:cs="Times New Roman"/>
          <w:color w:val="000000" w:themeColor="text1"/>
        </w:rPr>
        <w:lastRenderedPageBreak/>
        <w:t xml:space="preserve">ANOVA. </w:t>
      </w:r>
      <w:proofErr w:type="spellStart"/>
      <w:r w:rsidRPr="00962EA8">
        <w:rPr>
          <w:rFonts w:ascii="Times New Roman" w:hAnsi="Times New Roman" w:cs="Times New Roman"/>
          <w:color w:val="000000" w:themeColor="text1"/>
        </w:rPr>
        <w:t>n.s</w:t>
      </w:r>
      <w:proofErr w:type="spellEnd"/>
      <w:r w:rsidRPr="00962EA8">
        <w:rPr>
          <w:rFonts w:ascii="Times New Roman" w:hAnsi="Times New Roman" w:cs="Times New Roman"/>
          <w:color w:val="000000" w:themeColor="text1"/>
        </w:rPr>
        <w:t xml:space="preserve">., non-significant. n = 10 mice per group for panels </w:t>
      </w:r>
      <w:r w:rsidRPr="00962EA8">
        <w:rPr>
          <w:rFonts w:ascii="Times New Roman" w:hAnsi="Times New Roman" w:cs="Times New Roman"/>
          <w:b/>
          <w:bCs/>
          <w:color w:val="000000" w:themeColor="text1"/>
        </w:rPr>
        <w:t>(B)</w:t>
      </w:r>
      <w:r w:rsidRPr="00962EA8">
        <w:rPr>
          <w:rFonts w:ascii="Times New Roman" w:hAnsi="Times New Roman" w:cs="Times New Roman"/>
          <w:color w:val="000000" w:themeColor="text1"/>
        </w:rPr>
        <w:t xml:space="preserve"> and </w:t>
      </w:r>
      <w:r w:rsidRPr="00962EA8">
        <w:rPr>
          <w:rFonts w:ascii="Times New Roman" w:hAnsi="Times New Roman" w:cs="Times New Roman"/>
          <w:b/>
          <w:bCs/>
          <w:color w:val="000000" w:themeColor="text1"/>
        </w:rPr>
        <w:t>(C)</w:t>
      </w:r>
      <w:r w:rsidRPr="00962EA8">
        <w:rPr>
          <w:rFonts w:ascii="Times New Roman" w:hAnsi="Times New Roman" w:cs="Times New Roman"/>
          <w:color w:val="000000" w:themeColor="text1"/>
        </w:rPr>
        <w:t xml:space="preserve">; n = 7-8 mice per group for panel </w:t>
      </w:r>
      <w:r w:rsidRPr="00962EA8">
        <w:rPr>
          <w:rFonts w:ascii="Times New Roman" w:hAnsi="Times New Roman" w:cs="Times New Roman"/>
          <w:b/>
          <w:bCs/>
          <w:color w:val="000000" w:themeColor="text1"/>
        </w:rPr>
        <w:t>(F)</w:t>
      </w:r>
      <w:r w:rsidRPr="00962EA8">
        <w:rPr>
          <w:rFonts w:ascii="Times New Roman" w:hAnsi="Times New Roman" w:cs="Times New Roman"/>
          <w:color w:val="000000" w:themeColor="text1"/>
        </w:rPr>
        <w:t>.</w:t>
      </w:r>
    </w:p>
    <w:p w14:paraId="42376D95" w14:textId="77777777" w:rsidR="00C41DAE" w:rsidRPr="00962EA8" w:rsidRDefault="00C41DAE" w:rsidP="009E341D">
      <w:pPr>
        <w:widowControl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Cs w:val="24"/>
        </w:rPr>
      </w:pPr>
    </w:p>
    <w:p w14:paraId="07869CE9" w14:textId="77777777" w:rsidR="00C41DAE" w:rsidRPr="00962EA8" w:rsidRDefault="00C41DAE" w:rsidP="00980DBE">
      <w:pPr>
        <w:widowControl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Cs w:val="24"/>
        </w:rPr>
      </w:pPr>
    </w:p>
    <w:p w14:paraId="1BA139FE" w14:textId="2BB52738" w:rsidR="00BE170F" w:rsidRPr="00962EA8" w:rsidRDefault="00935E16" w:rsidP="00980DBE">
      <w:pPr>
        <w:widowControl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Cs w:val="24"/>
        </w:rPr>
      </w:pP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Supplementary Figure </w:t>
      </w:r>
      <w:r w:rsidR="00B147CE"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>3</w:t>
      </w: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>. Amount of solution consumption in the SPT.</w:t>
      </w:r>
      <w:r w:rsidR="00E71DF0" w:rsidRPr="00962EA8">
        <w:rPr>
          <w:rFonts w:ascii="Times New Roman" w:hAnsi="Times New Roman" w:cs="Times New Roman" w:hint="eastAsia"/>
          <w:b/>
          <w:bCs/>
          <w:color w:val="000000" w:themeColor="text1"/>
          <w:szCs w:val="24"/>
        </w:rPr>
        <w:t xml:space="preserve"> </w:t>
      </w:r>
      <w:r w:rsidR="00E71DF0"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(A) </w:t>
      </w:r>
      <w:r w:rsidR="00E71DF0" w:rsidRPr="00962EA8">
        <w:rPr>
          <w:rFonts w:ascii="Times New Roman" w:hAnsi="Times New Roman" w:cs="Times New Roman"/>
          <w:color w:val="000000" w:themeColor="text1"/>
          <w:szCs w:val="24"/>
        </w:rPr>
        <w:t xml:space="preserve">Results of average water intake </w:t>
      </w:r>
      <w:r w:rsidR="00947E54" w:rsidRPr="00962EA8">
        <w:rPr>
          <w:rFonts w:ascii="Times New Roman" w:hAnsi="Times New Roman" w:cs="Times New Roman"/>
          <w:color w:val="000000" w:themeColor="text1"/>
          <w:szCs w:val="24"/>
        </w:rPr>
        <w:t xml:space="preserve">per </w:t>
      </w:r>
      <w:r w:rsidR="004E52AA" w:rsidRPr="00962EA8">
        <w:rPr>
          <w:rFonts w:ascii="Times New Roman" w:hAnsi="Times New Roman" w:cs="Times New Roman"/>
          <w:color w:val="000000" w:themeColor="text1"/>
          <w:szCs w:val="24"/>
        </w:rPr>
        <w:t>mouse in each cage</w:t>
      </w:r>
      <w:r w:rsidR="00E71DF0" w:rsidRPr="00962EA8">
        <w:rPr>
          <w:rFonts w:ascii="Times New Roman" w:hAnsi="Times New Roman" w:cs="Times New Roman"/>
          <w:color w:val="000000" w:themeColor="text1"/>
          <w:szCs w:val="24"/>
        </w:rPr>
        <w:t xml:space="preserve"> in SPT.</w:t>
      </w:r>
      <w:r w:rsidR="00947E54" w:rsidRPr="00962EA8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947E54"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(B) </w:t>
      </w:r>
      <w:r w:rsidR="00947E54" w:rsidRPr="00962EA8">
        <w:rPr>
          <w:rFonts w:ascii="Times New Roman" w:hAnsi="Times New Roman" w:cs="Times New Roman"/>
          <w:color w:val="000000" w:themeColor="text1"/>
          <w:szCs w:val="24"/>
        </w:rPr>
        <w:t xml:space="preserve">Results of average sucrose solution intake per mouse in each cage in SPT. </w:t>
      </w:r>
      <w:r w:rsidR="00947E54"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(C) </w:t>
      </w:r>
      <w:r w:rsidR="00947E54" w:rsidRPr="00962EA8">
        <w:rPr>
          <w:rFonts w:ascii="Times New Roman" w:hAnsi="Times New Roman" w:cs="Times New Roman"/>
          <w:color w:val="000000" w:themeColor="text1"/>
          <w:szCs w:val="24"/>
        </w:rPr>
        <w:t>Results of average total solution intake per mouse in each cage in SPT.</w:t>
      </w:r>
      <w:r w:rsidR="00947E54" w:rsidRPr="00962EA8">
        <w:rPr>
          <w:rFonts w:ascii="Times New Roman" w:hAnsi="Times New Roman" w:cs="Times New Roman" w:hint="eastAsia"/>
          <w:b/>
          <w:bCs/>
          <w:color w:val="000000" w:themeColor="text1"/>
          <w:szCs w:val="24"/>
        </w:rPr>
        <w:t xml:space="preserve"> </w:t>
      </w:r>
      <w:r w:rsidR="00E71DF0" w:rsidRPr="00962EA8">
        <w:rPr>
          <w:rFonts w:ascii="Times New Roman" w:hAnsi="Times New Roman" w:cs="Times New Roman"/>
          <w:color w:val="000000" w:themeColor="text1"/>
          <w:szCs w:val="24"/>
        </w:rPr>
        <w:t>Data are expressed as mean ± SD. *</w:t>
      </w:r>
      <w:r w:rsidR="00E71DF0" w:rsidRPr="00962EA8">
        <w:rPr>
          <w:rFonts w:ascii="Times New Roman" w:hAnsi="Times New Roman" w:cs="Times New Roman"/>
          <w:i/>
          <w:iCs/>
          <w:color w:val="000000" w:themeColor="text1"/>
          <w:szCs w:val="24"/>
        </w:rPr>
        <w:t>p</w:t>
      </w:r>
      <w:r w:rsidR="00E71DF0" w:rsidRPr="00962EA8">
        <w:rPr>
          <w:rFonts w:ascii="Times New Roman" w:hAnsi="Times New Roman" w:cs="Times New Roman"/>
          <w:color w:val="000000" w:themeColor="text1"/>
          <w:szCs w:val="24"/>
        </w:rPr>
        <w:t xml:space="preserve"> &lt; 0.05, **</w:t>
      </w:r>
      <w:r w:rsidR="00E71DF0" w:rsidRPr="00962EA8">
        <w:rPr>
          <w:rFonts w:ascii="Times New Roman" w:hAnsi="Times New Roman" w:cs="Times New Roman"/>
          <w:i/>
          <w:iCs/>
          <w:color w:val="000000" w:themeColor="text1"/>
          <w:szCs w:val="24"/>
        </w:rPr>
        <w:t>p</w:t>
      </w:r>
      <w:r w:rsidR="00E71DF0" w:rsidRPr="00962EA8">
        <w:rPr>
          <w:rFonts w:ascii="Times New Roman" w:hAnsi="Times New Roman" w:cs="Times New Roman"/>
          <w:color w:val="000000" w:themeColor="text1"/>
          <w:szCs w:val="24"/>
        </w:rPr>
        <w:t xml:space="preserve"> &lt; 0.01, ***</w:t>
      </w:r>
      <w:r w:rsidR="00E71DF0" w:rsidRPr="00962EA8">
        <w:rPr>
          <w:rFonts w:ascii="Times New Roman" w:hAnsi="Times New Roman" w:cs="Times New Roman"/>
          <w:i/>
          <w:iCs/>
          <w:color w:val="000000" w:themeColor="text1"/>
          <w:szCs w:val="24"/>
        </w:rPr>
        <w:t>p</w:t>
      </w:r>
      <w:r w:rsidR="00E71DF0" w:rsidRPr="00962EA8">
        <w:rPr>
          <w:rFonts w:ascii="Times New Roman" w:hAnsi="Times New Roman" w:cs="Times New Roman"/>
          <w:color w:val="000000" w:themeColor="text1"/>
          <w:szCs w:val="24"/>
        </w:rPr>
        <w:t xml:space="preserve"> &lt; 0.001. The asterisks indicate the statistical results of Tukey’s multiple comparison tests after ordinary one-way ANOVAs. The absence of a symbol between any two groups indicates a non-significant difference. n = 8 cages (20 mice) per group.</w:t>
      </w:r>
    </w:p>
    <w:p w14:paraId="7BAEC783" w14:textId="77777777" w:rsidR="00BE170F" w:rsidRPr="00962EA8" w:rsidRDefault="00BE170F" w:rsidP="00980DBE">
      <w:pPr>
        <w:widowControl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Cs w:val="24"/>
        </w:rPr>
      </w:pPr>
    </w:p>
    <w:p w14:paraId="3D939286" w14:textId="77777777" w:rsidR="00BE170F" w:rsidRPr="00962EA8" w:rsidRDefault="00BE170F" w:rsidP="00980DBE">
      <w:pPr>
        <w:widowControl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Cs w:val="24"/>
        </w:rPr>
      </w:pPr>
    </w:p>
    <w:p w14:paraId="5807DA2E" w14:textId="27360A60" w:rsidR="00F83167" w:rsidRPr="00962EA8" w:rsidRDefault="00F83167" w:rsidP="00980DBE">
      <w:pPr>
        <w:widowControl/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Supplementary Figure </w:t>
      </w:r>
      <w:r w:rsidR="00B147CE"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>4</w:t>
      </w: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. Correlations of </w:t>
      </w:r>
      <w:proofErr w:type="spellStart"/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astrocytic morphological deficits with behavioral despair and GLAST/GLT-1 expression. (A)</w:t>
      </w:r>
      <w:r w:rsidRPr="00962EA8">
        <w:rPr>
          <w:rFonts w:ascii="Times New Roman" w:hAnsi="Times New Roman" w:cs="Times New Roman"/>
          <w:color w:val="000000" w:themeColor="text1"/>
        </w:rPr>
        <w:t xml:space="preserve"> 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>Correlation between area fraction of GFAP</w:t>
      </w:r>
      <w:r w:rsidRPr="00962EA8">
        <w:rPr>
          <w:rFonts w:ascii="Times New Roman" w:hAnsi="Times New Roman" w:cs="Times New Roman"/>
          <w:color w:val="000000" w:themeColor="text1"/>
          <w:szCs w:val="24"/>
          <w:vertAlign w:val="superscript"/>
        </w:rPr>
        <w:t>+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signaling in the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and exhibition of immobility in FST. </w:t>
      </w: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>(B)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Correlation between density of GFAP</w:t>
      </w:r>
      <w:r w:rsidRPr="00962EA8">
        <w:rPr>
          <w:rFonts w:ascii="Times New Roman" w:hAnsi="Times New Roman" w:cs="Times New Roman"/>
          <w:color w:val="000000" w:themeColor="text1"/>
          <w:szCs w:val="24"/>
          <w:vertAlign w:val="superscript"/>
        </w:rPr>
        <w:t>+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cells in the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and exhibition of immobility in FST. </w:t>
      </w: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>(C)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Correlation between total length of GFAP</w:t>
      </w:r>
      <w:r w:rsidRPr="00962EA8">
        <w:rPr>
          <w:rFonts w:ascii="Times New Roman" w:hAnsi="Times New Roman" w:cs="Times New Roman"/>
          <w:color w:val="000000" w:themeColor="text1"/>
          <w:szCs w:val="24"/>
          <w:vertAlign w:val="superscript"/>
        </w:rPr>
        <w:t>+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processes in the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and exhibition of immobility in FST. </w:t>
      </w: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>(D)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Correlation between number of branch points of GFAP</w:t>
      </w:r>
      <w:r w:rsidRPr="00962EA8">
        <w:rPr>
          <w:rFonts w:ascii="Times New Roman" w:hAnsi="Times New Roman" w:cs="Times New Roman"/>
          <w:color w:val="000000" w:themeColor="text1"/>
          <w:szCs w:val="24"/>
          <w:vertAlign w:val="superscript"/>
        </w:rPr>
        <w:t>+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processes in the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and exhibition of immobility in FST. </w:t>
      </w: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>(E)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Correlation between area fraction of GFAP</w:t>
      </w:r>
      <w:r w:rsidRPr="00962EA8">
        <w:rPr>
          <w:rFonts w:ascii="Times New Roman" w:hAnsi="Times New Roman" w:cs="Times New Roman"/>
          <w:color w:val="000000" w:themeColor="text1"/>
          <w:szCs w:val="24"/>
          <w:vertAlign w:val="superscript"/>
        </w:rPr>
        <w:t>+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signaling in the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and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level of GLAST. </w:t>
      </w: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>(F)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Correlation between density of GFAP</w:t>
      </w:r>
      <w:r w:rsidRPr="00962EA8">
        <w:rPr>
          <w:rFonts w:ascii="Times New Roman" w:hAnsi="Times New Roman" w:cs="Times New Roman"/>
          <w:color w:val="000000" w:themeColor="text1"/>
          <w:szCs w:val="24"/>
          <w:vertAlign w:val="superscript"/>
        </w:rPr>
        <w:t>+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cells in the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and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level of GLAST. </w:t>
      </w: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>(G)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Correlation between total length of GFAP</w:t>
      </w:r>
      <w:r w:rsidRPr="00962EA8">
        <w:rPr>
          <w:rFonts w:ascii="Times New Roman" w:hAnsi="Times New Roman" w:cs="Times New Roman"/>
          <w:color w:val="000000" w:themeColor="text1"/>
          <w:szCs w:val="24"/>
          <w:vertAlign w:val="superscript"/>
        </w:rPr>
        <w:t>+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processes in the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and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level of GLAST. </w:t>
      </w: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>(H)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Correlation between number of branch points of GFAP</w:t>
      </w:r>
      <w:r w:rsidRPr="00962EA8">
        <w:rPr>
          <w:rFonts w:ascii="Times New Roman" w:hAnsi="Times New Roman" w:cs="Times New Roman"/>
          <w:color w:val="000000" w:themeColor="text1"/>
          <w:szCs w:val="24"/>
          <w:vertAlign w:val="superscript"/>
        </w:rPr>
        <w:t>+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processes in the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and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level of GLAST. </w:t>
      </w: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>(I)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Correlation between area fraction of GFAP</w:t>
      </w:r>
      <w:r w:rsidRPr="00962EA8">
        <w:rPr>
          <w:rFonts w:ascii="Times New Roman" w:hAnsi="Times New Roman" w:cs="Times New Roman"/>
          <w:color w:val="000000" w:themeColor="text1"/>
          <w:szCs w:val="24"/>
          <w:vertAlign w:val="superscript"/>
        </w:rPr>
        <w:t>+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signaling in the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and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level of GLT-1. </w:t>
      </w: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>(J)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Correlation between density of 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lastRenderedPageBreak/>
        <w:t>GFAP</w:t>
      </w:r>
      <w:r w:rsidRPr="00962EA8">
        <w:rPr>
          <w:rFonts w:ascii="Times New Roman" w:hAnsi="Times New Roman" w:cs="Times New Roman"/>
          <w:color w:val="000000" w:themeColor="text1"/>
          <w:szCs w:val="24"/>
          <w:vertAlign w:val="superscript"/>
        </w:rPr>
        <w:t>+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cells in the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and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level of GLT-1. </w:t>
      </w: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>(K)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Correlation between total length of GFAP</w:t>
      </w:r>
      <w:r w:rsidRPr="00962EA8">
        <w:rPr>
          <w:rFonts w:ascii="Times New Roman" w:hAnsi="Times New Roman" w:cs="Times New Roman"/>
          <w:color w:val="000000" w:themeColor="text1"/>
          <w:szCs w:val="24"/>
          <w:vertAlign w:val="superscript"/>
        </w:rPr>
        <w:t>+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processes in the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and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level of GLT-1. </w:t>
      </w: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>(L)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Correlation between number of branch points of GFAP</w:t>
      </w:r>
      <w:r w:rsidRPr="00962EA8">
        <w:rPr>
          <w:rFonts w:ascii="Times New Roman" w:hAnsi="Times New Roman" w:cs="Times New Roman"/>
          <w:color w:val="000000" w:themeColor="text1"/>
          <w:szCs w:val="24"/>
          <w:vertAlign w:val="superscript"/>
        </w:rPr>
        <w:t>+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processes in the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and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level of GLT-1. The</w:t>
      </w:r>
      <w:r w:rsidR="00525FD5" w:rsidRPr="00962EA8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525FD5" w:rsidRPr="00962EA8">
        <w:rPr>
          <w:rFonts w:ascii="Times New Roman" w:hAnsi="Times New Roman" w:cs="Times New Roman"/>
          <w:i/>
          <w:iCs/>
          <w:color w:val="000000" w:themeColor="text1"/>
          <w:szCs w:val="24"/>
        </w:rPr>
        <w:t>p</w:t>
      </w:r>
      <w:r w:rsidR="00525FD5" w:rsidRPr="00962EA8">
        <w:rPr>
          <w:rFonts w:ascii="Times New Roman" w:hAnsi="Times New Roman" w:cs="Times New Roman"/>
          <w:color w:val="000000" w:themeColor="text1"/>
          <w:szCs w:val="24"/>
        </w:rPr>
        <w:t xml:space="preserve"> and </w:t>
      </w:r>
      <w:r w:rsidR="00525FD5" w:rsidRPr="00962EA8">
        <w:rPr>
          <w:rFonts w:ascii="Times New Roman" w:hAnsi="Times New Roman" w:cs="Times New Roman"/>
          <w:i/>
          <w:iCs/>
          <w:color w:val="000000" w:themeColor="text1"/>
          <w:szCs w:val="24"/>
        </w:rPr>
        <w:t>r</w:t>
      </w:r>
      <w:r w:rsidR="00525FD5" w:rsidRPr="00962EA8">
        <w:rPr>
          <w:rFonts w:ascii="Times New Roman" w:hAnsi="Times New Roman" w:cs="Times New Roman"/>
          <w:color w:val="000000" w:themeColor="text1"/>
          <w:szCs w:val="24"/>
        </w:rPr>
        <w:t xml:space="preserve"> values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indicate the statistical results of Pearson correlation analyses. Each correlation plot includes 40 data points.</w:t>
      </w:r>
    </w:p>
    <w:p w14:paraId="73109B30" w14:textId="77777777" w:rsidR="00F83167" w:rsidRPr="00962EA8" w:rsidRDefault="00F83167" w:rsidP="00980DB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22980D8F" w14:textId="77777777" w:rsidR="00525FD5" w:rsidRPr="00962EA8" w:rsidRDefault="00525FD5" w:rsidP="00980DB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302758AE" w14:textId="6043519B" w:rsidR="00BE170F" w:rsidRPr="00962EA8" w:rsidRDefault="00F83167" w:rsidP="00980DB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Supplementary Figure </w:t>
      </w:r>
      <w:r w:rsidR="00B147CE"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>5</w:t>
      </w: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. Interaction effects of HFD and DC/Ex on </w:t>
      </w:r>
      <w:proofErr w:type="spellStart"/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microglial structure and microvasculature. (A) 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Representative images of Iba1 immunostaining in the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. The red frames in the images of the upper row indicate the regions shown at higher magnification in the lower row. </w:t>
      </w: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>(B)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Quantitative results of are fraction of Iba1</w:t>
      </w:r>
      <w:r w:rsidRPr="00962EA8">
        <w:rPr>
          <w:rFonts w:ascii="Times New Roman" w:hAnsi="Times New Roman" w:cs="Times New Roman"/>
          <w:color w:val="000000" w:themeColor="text1"/>
          <w:szCs w:val="24"/>
          <w:vertAlign w:val="superscript"/>
        </w:rPr>
        <w:t>+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signaling in the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. </w:t>
      </w: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>(C)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Quantitative results of the density of Iba1</w:t>
      </w:r>
      <w:r w:rsidRPr="00962EA8">
        <w:rPr>
          <w:rFonts w:ascii="Times New Roman" w:hAnsi="Times New Roman" w:cs="Times New Roman"/>
          <w:color w:val="000000" w:themeColor="text1"/>
          <w:szCs w:val="24"/>
          <w:vertAlign w:val="superscript"/>
        </w:rPr>
        <w:t>+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cells in the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. </w:t>
      </w: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>(D)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Representative images of CD31 immunostaining in the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. </w:t>
      </w: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>(E)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Quantitative results of are fraction of CD31</w:t>
      </w:r>
      <w:r w:rsidRPr="00962EA8">
        <w:rPr>
          <w:rFonts w:ascii="Times New Roman" w:hAnsi="Times New Roman" w:cs="Times New Roman"/>
          <w:color w:val="000000" w:themeColor="text1"/>
          <w:szCs w:val="24"/>
          <w:vertAlign w:val="superscript"/>
        </w:rPr>
        <w:t>+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signaling in the </w:t>
      </w:r>
      <w:proofErr w:type="spellStart"/>
      <w:r w:rsidRPr="00962EA8">
        <w:rPr>
          <w:rFonts w:ascii="Times New Roman" w:hAnsi="Times New Roman" w:cs="Times New Roman"/>
          <w:color w:val="000000" w:themeColor="text1"/>
          <w:szCs w:val="24"/>
        </w:rPr>
        <w:t>vHPC</w:t>
      </w:r>
      <w:proofErr w:type="spellEnd"/>
      <w:r w:rsidRPr="00962EA8">
        <w:rPr>
          <w:rFonts w:ascii="Times New Roman" w:hAnsi="Times New Roman" w:cs="Times New Roman"/>
          <w:color w:val="000000" w:themeColor="text1"/>
          <w:szCs w:val="24"/>
        </w:rPr>
        <w:t>. All data are expressed as mean ± SD.</w:t>
      </w:r>
      <w:r w:rsidR="00BE170F" w:rsidRPr="00962EA8">
        <w:rPr>
          <w:rFonts w:ascii="Times New Roman" w:hAnsi="Times New Roman" w:cs="Times New Roman"/>
          <w:color w:val="000000" w:themeColor="text1"/>
          <w:szCs w:val="24"/>
        </w:rPr>
        <w:t xml:space="preserve"> **</w:t>
      </w:r>
      <w:r w:rsidR="00BE170F" w:rsidRPr="00962EA8">
        <w:rPr>
          <w:rFonts w:ascii="Times New Roman" w:hAnsi="Times New Roman" w:cs="Times New Roman"/>
          <w:i/>
          <w:iCs/>
          <w:color w:val="000000" w:themeColor="text1"/>
          <w:szCs w:val="24"/>
        </w:rPr>
        <w:t>p</w:t>
      </w:r>
      <w:r w:rsidR="00BE170F" w:rsidRPr="00962EA8">
        <w:rPr>
          <w:rFonts w:ascii="Times New Roman" w:hAnsi="Times New Roman" w:cs="Times New Roman"/>
          <w:color w:val="000000" w:themeColor="text1"/>
          <w:szCs w:val="24"/>
        </w:rPr>
        <w:t xml:space="preserve"> &lt; 0.01, ***</w:t>
      </w:r>
      <w:r w:rsidR="00BE170F" w:rsidRPr="00962EA8">
        <w:rPr>
          <w:rFonts w:ascii="Times New Roman" w:hAnsi="Times New Roman" w:cs="Times New Roman"/>
          <w:i/>
          <w:iCs/>
          <w:color w:val="000000" w:themeColor="text1"/>
          <w:szCs w:val="24"/>
        </w:rPr>
        <w:t>p</w:t>
      </w:r>
      <w:r w:rsidR="00BE170F" w:rsidRPr="00962EA8">
        <w:rPr>
          <w:rFonts w:ascii="Times New Roman" w:hAnsi="Times New Roman" w:cs="Times New Roman"/>
          <w:color w:val="000000" w:themeColor="text1"/>
          <w:szCs w:val="24"/>
        </w:rPr>
        <w:t xml:space="preserve"> &lt; 0.001, ****</w:t>
      </w:r>
      <w:r w:rsidR="00BE170F" w:rsidRPr="00962EA8">
        <w:rPr>
          <w:rFonts w:ascii="Times New Roman" w:hAnsi="Times New Roman" w:cs="Times New Roman"/>
          <w:i/>
          <w:iCs/>
          <w:color w:val="000000" w:themeColor="text1"/>
          <w:szCs w:val="24"/>
        </w:rPr>
        <w:t>p</w:t>
      </w:r>
      <w:r w:rsidR="00BE170F" w:rsidRPr="00962EA8">
        <w:rPr>
          <w:rFonts w:ascii="Times New Roman" w:hAnsi="Times New Roman" w:cs="Times New Roman"/>
          <w:color w:val="000000" w:themeColor="text1"/>
          <w:szCs w:val="24"/>
        </w:rPr>
        <w:t xml:space="preserve"> &lt; 0.0001. The asterisks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indicate the statistical results of Tukey’s multiple comparison tests after ordinary one-way ANOVAs. The absence of a </w:t>
      </w:r>
      <w:r w:rsidR="00BE170F" w:rsidRPr="00962EA8">
        <w:rPr>
          <w:rFonts w:ascii="Times New Roman" w:hAnsi="Times New Roman" w:cs="Times New Roman"/>
          <w:color w:val="000000" w:themeColor="text1"/>
          <w:szCs w:val="24"/>
        </w:rPr>
        <w:t>symbol</w:t>
      </w:r>
      <w:r w:rsidRPr="00962EA8">
        <w:rPr>
          <w:rFonts w:ascii="Times New Roman" w:hAnsi="Times New Roman" w:cs="Times New Roman"/>
          <w:color w:val="000000" w:themeColor="text1"/>
          <w:szCs w:val="24"/>
        </w:rPr>
        <w:t xml:space="preserve"> between any two groups indicates a non-significant difference. n = 10 mice per group.</w:t>
      </w:r>
    </w:p>
    <w:p w14:paraId="3553C5F4" w14:textId="77777777" w:rsidR="00BE170F" w:rsidRPr="00962EA8" w:rsidRDefault="00BE170F" w:rsidP="00980DB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52E7E14D" w14:textId="77777777" w:rsidR="00BE170F" w:rsidRPr="00962EA8" w:rsidRDefault="00BE170F" w:rsidP="00980DB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7A10E885" w14:textId="2B4A8375" w:rsidR="00BE170F" w:rsidRPr="00962EA8" w:rsidRDefault="00BE170F" w:rsidP="00980DB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Supplementary Figure </w:t>
      </w:r>
      <w:r w:rsidR="00B147CE"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>6</w:t>
      </w:r>
      <w:r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. </w:t>
      </w:r>
      <w:r w:rsidR="0006301A" w:rsidRPr="00962EA8">
        <w:rPr>
          <w:rFonts w:ascii="Times New Roman" w:hAnsi="Times New Roman" w:cs="Times New Roman"/>
          <w:b/>
          <w:bCs/>
          <w:color w:val="000000" w:themeColor="text1"/>
          <w:szCs w:val="24"/>
        </w:rPr>
        <w:t>Z-score heatmap showing relative abundances of bacterial taxa across groups.</w:t>
      </w:r>
    </w:p>
    <w:sectPr w:rsidR="00BE170F" w:rsidRPr="00962EA8" w:rsidSect="00A6167B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6272D3" w14:textId="77777777" w:rsidR="004B7549" w:rsidRDefault="004B7549" w:rsidP="005B4E7D">
      <w:r>
        <w:separator/>
      </w:r>
    </w:p>
  </w:endnote>
  <w:endnote w:type="continuationSeparator" w:id="0">
    <w:p w14:paraId="5C95418C" w14:textId="77777777" w:rsidR="004B7549" w:rsidRDefault="004B7549" w:rsidP="005B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8F558D" w14:textId="77777777" w:rsidR="004B7549" w:rsidRDefault="004B7549" w:rsidP="005B4E7D">
      <w:r>
        <w:separator/>
      </w:r>
    </w:p>
  </w:footnote>
  <w:footnote w:type="continuationSeparator" w:id="0">
    <w:p w14:paraId="12C930F0" w14:textId="77777777" w:rsidR="004B7549" w:rsidRDefault="004B7549" w:rsidP="005B4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6D2E2C"/>
    <w:multiLevelType w:val="multilevel"/>
    <w:tmpl w:val="FC725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755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F83167"/>
    <w:rsid w:val="00001F3F"/>
    <w:rsid w:val="000169AA"/>
    <w:rsid w:val="0002424B"/>
    <w:rsid w:val="00025851"/>
    <w:rsid w:val="0003300F"/>
    <w:rsid w:val="00045B1B"/>
    <w:rsid w:val="00052431"/>
    <w:rsid w:val="00053F5F"/>
    <w:rsid w:val="00061EEA"/>
    <w:rsid w:val="00062664"/>
    <w:rsid w:val="00062D53"/>
    <w:rsid w:val="0006301A"/>
    <w:rsid w:val="00072818"/>
    <w:rsid w:val="00073881"/>
    <w:rsid w:val="00083D4B"/>
    <w:rsid w:val="000937B5"/>
    <w:rsid w:val="00096E6D"/>
    <w:rsid w:val="000A698B"/>
    <w:rsid w:val="000A6B1C"/>
    <w:rsid w:val="000A72D1"/>
    <w:rsid w:val="000B0F3A"/>
    <w:rsid w:val="000C49C9"/>
    <w:rsid w:val="000C74FB"/>
    <w:rsid w:val="000D45F9"/>
    <w:rsid w:val="000D6DB5"/>
    <w:rsid w:val="000D6DC5"/>
    <w:rsid w:val="000D70A0"/>
    <w:rsid w:val="000E509D"/>
    <w:rsid w:val="000E6A7E"/>
    <w:rsid w:val="000F304F"/>
    <w:rsid w:val="000F40A4"/>
    <w:rsid w:val="000F46E3"/>
    <w:rsid w:val="000F546D"/>
    <w:rsid w:val="000F55F4"/>
    <w:rsid w:val="000F5DCD"/>
    <w:rsid w:val="000F6794"/>
    <w:rsid w:val="000F6EE8"/>
    <w:rsid w:val="00100698"/>
    <w:rsid w:val="001009DF"/>
    <w:rsid w:val="00103BDC"/>
    <w:rsid w:val="001074C1"/>
    <w:rsid w:val="00107B12"/>
    <w:rsid w:val="00114545"/>
    <w:rsid w:val="00124719"/>
    <w:rsid w:val="001254E8"/>
    <w:rsid w:val="00133A94"/>
    <w:rsid w:val="00140C57"/>
    <w:rsid w:val="00141DC0"/>
    <w:rsid w:val="00145E48"/>
    <w:rsid w:val="00146A15"/>
    <w:rsid w:val="00150011"/>
    <w:rsid w:val="00152293"/>
    <w:rsid w:val="00154780"/>
    <w:rsid w:val="00164D58"/>
    <w:rsid w:val="0016591C"/>
    <w:rsid w:val="00176A2F"/>
    <w:rsid w:val="00180433"/>
    <w:rsid w:val="0018070F"/>
    <w:rsid w:val="00182D4F"/>
    <w:rsid w:val="00185AD5"/>
    <w:rsid w:val="00195A72"/>
    <w:rsid w:val="001A773C"/>
    <w:rsid w:val="001B2A39"/>
    <w:rsid w:val="001B638E"/>
    <w:rsid w:val="001C0C53"/>
    <w:rsid w:val="001C3949"/>
    <w:rsid w:val="001C4E51"/>
    <w:rsid w:val="001C4ED0"/>
    <w:rsid w:val="001D086F"/>
    <w:rsid w:val="001E3970"/>
    <w:rsid w:val="001E3A2B"/>
    <w:rsid w:val="001F285D"/>
    <w:rsid w:val="002063A1"/>
    <w:rsid w:val="0021427A"/>
    <w:rsid w:val="00217B4E"/>
    <w:rsid w:val="00220863"/>
    <w:rsid w:val="0022782B"/>
    <w:rsid w:val="002279F3"/>
    <w:rsid w:val="00235272"/>
    <w:rsid w:val="00243366"/>
    <w:rsid w:val="00254146"/>
    <w:rsid w:val="00263FB9"/>
    <w:rsid w:val="00264797"/>
    <w:rsid w:val="00266F05"/>
    <w:rsid w:val="002750D4"/>
    <w:rsid w:val="00276057"/>
    <w:rsid w:val="0027684E"/>
    <w:rsid w:val="00280363"/>
    <w:rsid w:val="0028116B"/>
    <w:rsid w:val="00282691"/>
    <w:rsid w:val="00283457"/>
    <w:rsid w:val="002848EE"/>
    <w:rsid w:val="00284C9D"/>
    <w:rsid w:val="00291CA2"/>
    <w:rsid w:val="002963AC"/>
    <w:rsid w:val="002A37EF"/>
    <w:rsid w:val="002A457D"/>
    <w:rsid w:val="002B616A"/>
    <w:rsid w:val="002B7D04"/>
    <w:rsid w:val="002C2CBB"/>
    <w:rsid w:val="002C3AD6"/>
    <w:rsid w:val="002C6C9F"/>
    <w:rsid w:val="002D5194"/>
    <w:rsid w:val="002D6521"/>
    <w:rsid w:val="002E2232"/>
    <w:rsid w:val="002E2C73"/>
    <w:rsid w:val="002E780C"/>
    <w:rsid w:val="002F018D"/>
    <w:rsid w:val="002F6151"/>
    <w:rsid w:val="002F621B"/>
    <w:rsid w:val="003027A8"/>
    <w:rsid w:val="00304601"/>
    <w:rsid w:val="00311DB3"/>
    <w:rsid w:val="00314814"/>
    <w:rsid w:val="00316130"/>
    <w:rsid w:val="0032070D"/>
    <w:rsid w:val="003214F9"/>
    <w:rsid w:val="003255A1"/>
    <w:rsid w:val="003263D0"/>
    <w:rsid w:val="00336BFF"/>
    <w:rsid w:val="003379BE"/>
    <w:rsid w:val="00347184"/>
    <w:rsid w:val="00347428"/>
    <w:rsid w:val="00360C22"/>
    <w:rsid w:val="00367CB7"/>
    <w:rsid w:val="003728AC"/>
    <w:rsid w:val="00372B3B"/>
    <w:rsid w:val="003828D8"/>
    <w:rsid w:val="00390C6D"/>
    <w:rsid w:val="00392B55"/>
    <w:rsid w:val="003A0A60"/>
    <w:rsid w:val="003A0CAF"/>
    <w:rsid w:val="003B2625"/>
    <w:rsid w:val="003B29D1"/>
    <w:rsid w:val="003B6A64"/>
    <w:rsid w:val="003B7329"/>
    <w:rsid w:val="003C0806"/>
    <w:rsid w:val="003C2FD1"/>
    <w:rsid w:val="003C3A4B"/>
    <w:rsid w:val="003C7D7B"/>
    <w:rsid w:val="003D334B"/>
    <w:rsid w:val="003D4351"/>
    <w:rsid w:val="003D45C5"/>
    <w:rsid w:val="003D4B29"/>
    <w:rsid w:val="003E064F"/>
    <w:rsid w:val="003E11BD"/>
    <w:rsid w:val="003E6FA4"/>
    <w:rsid w:val="003F1174"/>
    <w:rsid w:val="003F419E"/>
    <w:rsid w:val="003F5BFE"/>
    <w:rsid w:val="00404527"/>
    <w:rsid w:val="00405E97"/>
    <w:rsid w:val="00406B50"/>
    <w:rsid w:val="00413C67"/>
    <w:rsid w:val="00420711"/>
    <w:rsid w:val="00421DD1"/>
    <w:rsid w:val="00425249"/>
    <w:rsid w:val="00426078"/>
    <w:rsid w:val="00426428"/>
    <w:rsid w:val="0043292E"/>
    <w:rsid w:val="00433EE0"/>
    <w:rsid w:val="00434D56"/>
    <w:rsid w:val="00436571"/>
    <w:rsid w:val="00464CD1"/>
    <w:rsid w:val="00473FB4"/>
    <w:rsid w:val="00476B04"/>
    <w:rsid w:val="00480298"/>
    <w:rsid w:val="00482E98"/>
    <w:rsid w:val="00484F84"/>
    <w:rsid w:val="004907E1"/>
    <w:rsid w:val="00490824"/>
    <w:rsid w:val="00491C8A"/>
    <w:rsid w:val="00493208"/>
    <w:rsid w:val="00494024"/>
    <w:rsid w:val="0049610B"/>
    <w:rsid w:val="004A164D"/>
    <w:rsid w:val="004A3244"/>
    <w:rsid w:val="004A4BBC"/>
    <w:rsid w:val="004A4CF2"/>
    <w:rsid w:val="004B098A"/>
    <w:rsid w:val="004B5140"/>
    <w:rsid w:val="004B5EA4"/>
    <w:rsid w:val="004B740F"/>
    <w:rsid w:val="004B7549"/>
    <w:rsid w:val="004B7BAD"/>
    <w:rsid w:val="004C1D94"/>
    <w:rsid w:val="004C47F6"/>
    <w:rsid w:val="004D7329"/>
    <w:rsid w:val="004E2222"/>
    <w:rsid w:val="004E268C"/>
    <w:rsid w:val="004E4015"/>
    <w:rsid w:val="004E52AA"/>
    <w:rsid w:val="004E5BFF"/>
    <w:rsid w:val="004F2B64"/>
    <w:rsid w:val="004F5209"/>
    <w:rsid w:val="004F5466"/>
    <w:rsid w:val="0050380C"/>
    <w:rsid w:val="0050652E"/>
    <w:rsid w:val="00516BBD"/>
    <w:rsid w:val="00523586"/>
    <w:rsid w:val="005247CE"/>
    <w:rsid w:val="00525D29"/>
    <w:rsid w:val="00525FD5"/>
    <w:rsid w:val="00527CDC"/>
    <w:rsid w:val="00532CFA"/>
    <w:rsid w:val="005339F8"/>
    <w:rsid w:val="00543382"/>
    <w:rsid w:val="0054614E"/>
    <w:rsid w:val="00546926"/>
    <w:rsid w:val="005474B5"/>
    <w:rsid w:val="00551CD1"/>
    <w:rsid w:val="005532B8"/>
    <w:rsid w:val="00556096"/>
    <w:rsid w:val="00560B17"/>
    <w:rsid w:val="0056601C"/>
    <w:rsid w:val="00583ECB"/>
    <w:rsid w:val="00584979"/>
    <w:rsid w:val="005907F4"/>
    <w:rsid w:val="005A4775"/>
    <w:rsid w:val="005A4E85"/>
    <w:rsid w:val="005A73A2"/>
    <w:rsid w:val="005B4E7D"/>
    <w:rsid w:val="005B6D61"/>
    <w:rsid w:val="005C15E9"/>
    <w:rsid w:val="005C1BA3"/>
    <w:rsid w:val="005C25DD"/>
    <w:rsid w:val="005C2AC1"/>
    <w:rsid w:val="005C72D2"/>
    <w:rsid w:val="005D1F59"/>
    <w:rsid w:val="005D33CA"/>
    <w:rsid w:val="005D48C0"/>
    <w:rsid w:val="005D7B38"/>
    <w:rsid w:val="005E12A7"/>
    <w:rsid w:val="005E625F"/>
    <w:rsid w:val="005E7A0E"/>
    <w:rsid w:val="005E7ED5"/>
    <w:rsid w:val="005F7612"/>
    <w:rsid w:val="00604A6C"/>
    <w:rsid w:val="00605392"/>
    <w:rsid w:val="0060554E"/>
    <w:rsid w:val="006105CE"/>
    <w:rsid w:val="00612CDB"/>
    <w:rsid w:val="00620264"/>
    <w:rsid w:val="00633BBE"/>
    <w:rsid w:val="00634549"/>
    <w:rsid w:val="0064129D"/>
    <w:rsid w:val="00644037"/>
    <w:rsid w:val="00650431"/>
    <w:rsid w:val="006525D1"/>
    <w:rsid w:val="006604AE"/>
    <w:rsid w:val="00662BCB"/>
    <w:rsid w:val="006702B4"/>
    <w:rsid w:val="00674C51"/>
    <w:rsid w:val="006778B9"/>
    <w:rsid w:val="00680D25"/>
    <w:rsid w:val="006A03B8"/>
    <w:rsid w:val="006A42DA"/>
    <w:rsid w:val="006A4D78"/>
    <w:rsid w:val="006A51AA"/>
    <w:rsid w:val="006C3438"/>
    <w:rsid w:val="006D0AA0"/>
    <w:rsid w:val="006F0F55"/>
    <w:rsid w:val="006F15A6"/>
    <w:rsid w:val="00703121"/>
    <w:rsid w:val="0070733B"/>
    <w:rsid w:val="00712C16"/>
    <w:rsid w:val="00716DBC"/>
    <w:rsid w:val="00716E8F"/>
    <w:rsid w:val="00717058"/>
    <w:rsid w:val="00717269"/>
    <w:rsid w:val="00722A18"/>
    <w:rsid w:val="00724E31"/>
    <w:rsid w:val="0072577A"/>
    <w:rsid w:val="007264CD"/>
    <w:rsid w:val="007265F5"/>
    <w:rsid w:val="00726D26"/>
    <w:rsid w:val="007274D5"/>
    <w:rsid w:val="00727E1C"/>
    <w:rsid w:val="00730ECF"/>
    <w:rsid w:val="00737880"/>
    <w:rsid w:val="0074262E"/>
    <w:rsid w:val="00743836"/>
    <w:rsid w:val="007462A4"/>
    <w:rsid w:val="007517C2"/>
    <w:rsid w:val="00757AF9"/>
    <w:rsid w:val="00764358"/>
    <w:rsid w:val="007673D3"/>
    <w:rsid w:val="007700B3"/>
    <w:rsid w:val="00772150"/>
    <w:rsid w:val="00772B2B"/>
    <w:rsid w:val="0077465A"/>
    <w:rsid w:val="007762CF"/>
    <w:rsid w:val="00786F65"/>
    <w:rsid w:val="0079219D"/>
    <w:rsid w:val="007923EB"/>
    <w:rsid w:val="007973F3"/>
    <w:rsid w:val="007A4CBE"/>
    <w:rsid w:val="007A7DE9"/>
    <w:rsid w:val="007B03DB"/>
    <w:rsid w:val="007B14B0"/>
    <w:rsid w:val="007B2D88"/>
    <w:rsid w:val="007B3292"/>
    <w:rsid w:val="007B3B77"/>
    <w:rsid w:val="007B3E8A"/>
    <w:rsid w:val="007B6CA7"/>
    <w:rsid w:val="007C3399"/>
    <w:rsid w:val="007C515C"/>
    <w:rsid w:val="007D191E"/>
    <w:rsid w:val="007D4EBC"/>
    <w:rsid w:val="007D5CCA"/>
    <w:rsid w:val="007D7C79"/>
    <w:rsid w:val="007E3E5B"/>
    <w:rsid w:val="007E600C"/>
    <w:rsid w:val="007E706A"/>
    <w:rsid w:val="007E7AE9"/>
    <w:rsid w:val="007E7EB1"/>
    <w:rsid w:val="007F0468"/>
    <w:rsid w:val="0080716A"/>
    <w:rsid w:val="00813080"/>
    <w:rsid w:val="00813F3E"/>
    <w:rsid w:val="00816D4F"/>
    <w:rsid w:val="008200AC"/>
    <w:rsid w:val="00822872"/>
    <w:rsid w:val="00823F18"/>
    <w:rsid w:val="00834750"/>
    <w:rsid w:val="00841A37"/>
    <w:rsid w:val="008426F9"/>
    <w:rsid w:val="00842969"/>
    <w:rsid w:val="0084423F"/>
    <w:rsid w:val="008510AE"/>
    <w:rsid w:val="00852A63"/>
    <w:rsid w:val="00853BC6"/>
    <w:rsid w:val="00860418"/>
    <w:rsid w:val="008604E1"/>
    <w:rsid w:val="0086117E"/>
    <w:rsid w:val="00863621"/>
    <w:rsid w:val="00863A24"/>
    <w:rsid w:val="008741A7"/>
    <w:rsid w:val="00876ACC"/>
    <w:rsid w:val="00882521"/>
    <w:rsid w:val="00884FA4"/>
    <w:rsid w:val="0089072C"/>
    <w:rsid w:val="00893EC2"/>
    <w:rsid w:val="008A3414"/>
    <w:rsid w:val="008A501A"/>
    <w:rsid w:val="008A544B"/>
    <w:rsid w:val="008A6114"/>
    <w:rsid w:val="008B0B0E"/>
    <w:rsid w:val="008C3F78"/>
    <w:rsid w:val="008D184A"/>
    <w:rsid w:val="008D7D72"/>
    <w:rsid w:val="008F0A88"/>
    <w:rsid w:val="008F1305"/>
    <w:rsid w:val="00901708"/>
    <w:rsid w:val="00901FD6"/>
    <w:rsid w:val="00903161"/>
    <w:rsid w:val="00907493"/>
    <w:rsid w:val="00912B04"/>
    <w:rsid w:val="00914DEC"/>
    <w:rsid w:val="00922240"/>
    <w:rsid w:val="00922DF2"/>
    <w:rsid w:val="00925A97"/>
    <w:rsid w:val="00927C4F"/>
    <w:rsid w:val="009308AF"/>
    <w:rsid w:val="00932539"/>
    <w:rsid w:val="00932C63"/>
    <w:rsid w:val="00935E16"/>
    <w:rsid w:val="00940F0A"/>
    <w:rsid w:val="009437C0"/>
    <w:rsid w:val="00943FE8"/>
    <w:rsid w:val="009450C3"/>
    <w:rsid w:val="00945544"/>
    <w:rsid w:val="00947E54"/>
    <w:rsid w:val="0095203D"/>
    <w:rsid w:val="00962762"/>
    <w:rsid w:val="00962EA8"/>
    <w:rsid w:val="009659CC"/>
    <w:rsid w:val="009663FA"/>
    <w:rsid w:val="009678E6"/>
    <w:rsid w:val="009742FF"/>
    <w:rsid w:val="0097513A"/>
    <w:rsid w:val="00980DBE"/>
    <w:rsid w:val="00991E6B"/>
    <w:rsid w:val="00991F03"/>
    <w:rsid w:val="00997FD6"/>
    <w:rsid w:val="009A4005"/>
    <w:rsid w:val="009A7418"/>
    <w:rsid w:val="009A7511"/>
    <w:rsid w:val="009B56D6"/>
    <w:rsid w:val="009B5ED0"/>
    <w:rsid w:val="009C41D9"/>
    <w:rsid w:val="009C781F"/>
    <w:rsid w:val="009D34EA"/>
    <w:rsid w:val="009E341D"/>
    <w:rsid w:val="009F004F"/>
    <w:rsid w:val="009F4616"/>
    <w:rsid w:val="009F5C7A"/>
    <w:rsid w:val="009F6F61"/>
    <w:rsid w:val="00A02E05"/>
    <w:rsid w:val="00A03E55"/>
    <w:rsid w:val="00A103D7"/>
    <w:rsid w:val="00A119C1"/>
    <w:rsid w:val="00A1557E"/>
    <w:rsid w:val="00A16D1C"/>
    <w:rsid w:val="00A177DE"/>
    <w:rsid w:val="00A236A2"/>
    <w:rsid w:val="00A25F52"/>
    <w:rsid w:val="00A26343"/>
    <w:rsid w:val="00A279B8"/>
    <w:rsid w:val="00A31FEB"/>
    <w:rsid w:val="00A3409D"/>
    <w:rsid w:val="00A3619D"/>
    <w:rsid w:val="00A6167B"/>
    <w:rsid w:val="00A623BE"/>
    <w:rsid w:val="00A62E48"/>
    <w:rsid w:val="00A70374"/>
    <w:rsid w:val="00A72988"/>
    <w:rsid w:val="00A750F9"/>
    <w:rsid w:val="00A8057D"/>
    <w:rsid w:val="00A829F7"/>
    <w:rsid w:val="00A83BFB"/>
    <w:rsid w:val="00A869A4"/>
    <w:rsid w:val="00A87E4A"/>
    <w:rsid w:val="00A9109D"/>
    <w:rsid w:val="00A940FB"/>
    <w:rsid w:val="00AA12C9"/>
    <w:rsid w:val="00AA370C"/>
    <w:rsid w:val="00AB27F2"/>
    <w:rsid w:val="00AC4D7E"/>
    <w:rsid w:val="00AD0671"/>
    <w:rsid w:val="00AD092F"/>
    <w:rsid w:val="00AD4482"/>
    <w:rsid w:val="00AD5F11"/>
    <w:rsid w:val="00AD6A1F"/>
    <w:rsid w:val="00AE33A5"/>
    <w:rsid w:val="00AE3413"/>
    <w:rsid w:val="00AE3841"/>
    <w:rsid w:val="00AF01EA"/>
    <w:rsid w:val="00AF5E55"/>
    <w:rsid w:val="00AF7F84"/>
    <w:rsid w:val="00B00675"/>
    <w:rsid w:val="00B01215"/>
    <w:rsid w:val="00B01FAB"/>
    <w:rsid w:val="00B023D8"/>
    <w:rsid w:val="00B04251"/>
    <w:rsid w:val="00B10590"/>
    <w:rsid w:val="00B10D8D"/>
    <w:rsid w:val="00B126D1"/>
    <w:rsid w:val="00B131D9"/>
    <w:rsid w:val="00B147CE"/>
    <w:rsid w:val="00B17D8F"/>
    <w:rsid w:val="00B30E5E"/>
    <w:rsid w:val="00B31D6E"/>
    <w:rsid w:val="00B3400B"/>
    <w:rsid w:val="00B34EEA"/>
    <w:rsid w:val="00B3632A"/>
    <w:rsid w:val="00B37BF2"/>
    <w:rsid w:val="00B4197F"/>
    <w:rsid w:val="00B456DF"/>
    <w:rsid w:val="00B56496"/>
    <w:rsid w:val="00B60F50"/>
    <w:rsid w:val="00B613CE"/>
    <w:rsid w:val="00B63AD0"/>
    <w:rsid w:val="00B72070"/>
    <w:rsid w:val="00B84A61"/>
    <w:rsid w:val="00B86CE5"/>
    <w:rsid w:val="00B938A1"/>
    <w:rsid w:val="00B93DED"/>
    <w:rsid w:val="00BA26C5"/>
    <w:rsid w:val="00BA68AE"/>
    <w:rsid w:val="00BB2831"/>
    <w:rsid w:val="00BB2B02"/>
    <w:rsid w:val="00BB4035"/>
    <w:rsid w:val="00BC519E"/>
    <w:rsid w:val="00BD1854"/>
    <w:rsid w:val="00BD1C2E"/>
    <w:rsid w:val="00BD4A0B"/>
    <w:rsid w:val="00BD6345"/>
    <w:rsid w:val="00BE170F"/>
    <w:rsid w:val="00BE3AD4"/>
    <w:rsid w:val="00BE64E8"/>
    <w:rsid w:val="00BF7285"/>
    <w:rsid w:val="00BF7745"/>
    <w:rsid w:val="00C0034F"/>
    <w:rsid w:val="00C03D41"/>
    <w:rsid w:val="00C07C81"/>
    <w:rsid w:val="00C123B6"/>
    <w:rsid w:val="00C20FF6"/>
    <w:rsid w:val="00C22565"/>
    <w:rsid w:val="00C23D17"/>
    <w:rsid w:val="00C24040"/>
    <w:rsid w:val="00C261C4"/>
    <w:rsid w:val="00C30BF5"/>
    <w:rsid w:val="00C33863"/>
    <w:rsid w:val="00C4169A"/>
    <w:rsid w:val="00C41C70"/>
    <w:rsid w:val="00C41DAE"/>
    <w:rsid w:val="00C50B92"/>
    <w:rsid w:val="00C50BF1"/>
    <w:rsid w:val="00C57ED5"/>
    <w:rsid w:val="00C64D74"/>
    <w:rsid w:val="00C650D1"/>
    <w:rsid w:val="00C923D3"/>
    <w:rsid w:val="00C95532"/>
    <w:rsid w:val="00CA1886"/>
    <w:rsid w:val="00CA3903"/>
    <w:rsid w:val="00CA52B6"/>
    <w:rsid w:val="00CA54D3"/>
    <w:rsid w:val="00CA7240"/>
    <w:rsid w:val="00CB1D8C"/>
    <w:rsid w:val="00CB4644"/>
    <w:rsid w:val="00CB67FE"/>
    <w:rsid w:val="00CC05C3"/>
    <w:rsid w:val="00CC7063"/>
    <w:rsid w:val="00CD4391"/>
    <w:rsid w:val="00CD731B"/>
    <w:rsid w:val="00CE4CBC"/>
    <w:rsid w:val="00CF0B1F"/>
    <w:rsid w:val="00CF57CA"/>
    <w:rsid w:val="00D04A18"/>
    <w:rsid w:val="00D06F74"/>
    <w:rsid w:val="00D07109"/>
    <w:rsid w:val="00D123B6"/>
    <w:rsid w:val="00D13139"/>
    <w:rsid w:val="00D17D15"/>
    <w:rsid w:val="00D22356"/>
    <w:rsid w:val="00D302F5"/>
    <w:rsid w:val="00D32CC2"/>
    <w:rsid w:val="00D44243"/>
    <w:rsid w:val="00D4764D"/>
    <w:rsid w:val="00D5032A"/>
    <w:rsid w:val="00D50B7D"/>
    <w:rsid w:val="00D54A38"/>
    <w:rsid w:val="00D555D1"/>
    <w:rsid w:val="00D55E88"/>
    <w:rsid w:val="00D64647"/>
    <w:rsid w:val="00D64928"/>
    <w:rsid w:val="00D66B4F"/>
    <w:rsid w:val="00D74A49"/>
    <w:rsid w:val="00D83217"/>
    <w:rsid w:val="00D868A7"/>
    <w:rsid w:val="00D902FD"/>
    <w:rsid w:val="00D93FD4"/>
    <w:rsid w:val="00DB349D"/>
    <w:rsid w:val="00DB56BF"/>
    <w:rsid w:val="00DC082D"/>
    <w:rsid w:val="00DC0BC6"/>
    <w:rsid w:val="00DC21B0"/>
    <w:rsid w:val="00DC556B"/>
    <w:rsid w:val="00DD2C43"/>
    <w:rsid w:val="00DD55EF"/>
    <w:rsid w:val="00DE1D9F"/>
    <w:rsid w:val="00DF0681"/>
    <w:rsid w:val="00E012EE"/>
    <w:rsid w:val="00E0290B"/>
    <w:rsid w:val="00E04974"/>
    <w:rsid w:val="00E10014"/>
    <w:rsid w:val="00E154F5"/>
    <w:rsid w:val="00E15D42"/>
    <w:rsid w:val="00E2126B"/>
    <w:rsid w:val="00E245EE"/>
    <w:rsid w:val="00E3000B"/>
    <w:rsid w:val="00E30256"/>
    <w:rsid w:val="00E32916"/>
    <w:rsid w:val="00E34200"/>
    <w:rsid w:val="00E35605"/>
    <w:rsid w:val="00E37D20"/>
    <w:rsid w:val="00E42BCD"/>
    <w:rsid w:val="00E4563C"/>
    <w:rsid w:val="00E50963"/>
    <w:rsid w:val="00E53069"/>
    <w:rsid w:val="00E5317B"/>
    <w:rsid w:val="00E542A5"/>
    <w:rsid w:val="00E5493E"/>
    <w:rsid w:val="00E54B0A"/>
    <w:rsid w:val="00E62D26"/>
    <w:rsid w:val="00E63C98"/>
    <w:rsid w:val="00E63CBE"/>
    <w:rsid w:val="00E65E77"/>
    <w:rsid w:val="00E67815"/>
    <w:rsid w:val="00E71DF0"/>
    <w:rsid w:val="00E7325D"/>
    <w:rsid w:val="00E74DB9"/>
    <w:rsid w:val="00E80670"/>
    <w:rsid w:val="00E835E8"/>
    <w:rsid w:val="00E86F55"/>
    <w:rsid w:val="00E93259"/>
    <w:rsid w:val="00EA1A29"/>
    <w:rsid w:val="00EA5DF1"/>
    <w:rsid w:val="00EA7A34"/>
    <w:rsid w:val="00EB4801"/>
    <w:rsid w:val="00EC09A3"/>
    <w:rsid w:val="00EC487D"/>
    <w:rsid w:val="00ED0C5F"/>
    <w:rsid w:val="00ED1BDA"/>
    <w:rsid w:val="00ED68E7"/>
    <w:rsid w:val="00EE049F"/>
    <w:rsid w:val="00EE1841"/>
    <w:rsid w:val="00EE4655"/>
    <w:rsid w:val="00EE79DF"/>
    <w:rsid w:val="00EF402C"/>
    <w:rsid w:val="00F03D73"/>
    <w:rsid w:val="00F0591B"/>
    <w:rsid w:val="00F16A56"/>
    <w:rsid w:val="00F203DA"/>
    <w:rsid w:val="00F204E4"/>
    <w:rsid w:val="00F2791D"/>
    <w:rsid w:val="00F3612C"/>
    <w:rsid w:val="00F363C4"/>
    <w:rsid w:val="00F4186E"/>
    <w:rsid w:val="00F42A04"/>
    <w:rsid w:val="00F43924"/>
    <w:rsid w:val="00F458A0"/>
    <w:rsid w:val="00F46406"/>
    <w:rsid w:val="00F46E4D"/>
    <w:rsid w:val="00F508BD"/>
    <w:rsid w:val="00F53017"/>
    <w:rsid w:val="00F56EB8"/>
    <w:rsid w:val="00F76D48"/>
    <w:rsid w:val="00F76FF1"/>
    <w:rsid w:val="00F83167"/>
    <w:rsid w:val="00F83CE9"/>
    <w:rsid w:val="00F873D7"/>
    <w:rsid w:val="00F908A5"/>
    <w:rsid w:val="00FA64CB"/>
    <w:rsid w:val="00FC6B86"/>
    <w:rsid w:val="00FC7A95"/>
    <w:rsid w:val="00FD4612"/>
    <w:rsid w:val="00FD7D25"/>
    <w:rsid w:val="00FE3338"/>
    <w:rsid w:val="00FF212B"/>
    <w:rsid w:val="00FF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7A35D7"/>
  <w15:chartTrackingRefBased/>
  <w15:docId w15:val="{8D0BFE48-3E5C-D04D-9825-815A0829B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167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8316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31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316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316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31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3167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3167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3167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3167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8316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831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8316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831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8316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8316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8316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8316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831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316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83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316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8316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31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83167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F83167"/>
    <w:pPr>
      <w:ind w:leftChars="200" w:left="480"/>
    </w:pPr>
    <w:rPr>
      <w:rFonts w:ascii="Times New Roman" w:eastAsia="標楷體" w:hAnsi="Times New Roman" w:cs="Times New Roman"/>
      <w:sz w:val="28"/>
      <w:szCs w:val="24"/>
    </w:rPr>
  </w:style>
  <w:style w:type="character" w:styleId="ab">
    <w:name w:val="Intense Emphasis"/>
    <w:basedOn w:val="a0"/>
    <w:uiPriority w:val="21"/>
    <w:qFormat/>
    <w:rsid w:val="00F83167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F831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0"/>
    <w:link w:val="ac"/>
    <w:uiPriority w:val="30"/>
    <w:rsid w:val="00F83167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F83167"/>
    <w:rPr>
      <w:b/>
      <w:bCs/>
      <w:smallCaps/>
      <w:color w:val="0F4761" w:themeColor="accent1" w:themeShade="BF"/>
      <w:spacing w:val="5"/>
    </w:rPr>
  </w:style>
  <w:style w:type="character" w:customStyle="1" w:styleId="ng-binding">
    <w:name w:val="ng-binding"/>
    <w:basedOn w:val="a0"/>
    <w:rsid w:val="00F83167"/>
  </w:style>
  <w:style w:type="paragraph" w:customStyle="1" w:styleId="EndNoteBibliographyTitle">
    <w:name w:val="EndNote Bibliography Title"/>
    <w:basedOn w:val="a"/>
    <w:link w:val="EndNoteBibliographyTitle0"/>
    <w:rsid w:val="00F83167"/>
    <w:pPr>
      <w:jc w:val="center"/>
    </w:pPr>
    <w:rPr>
      <w:rFonts w:ascii="Calibri" w:hAnsi="Calibri" w:cs="Calibri"/>
    </w:rPr>
  </w:style>
  <w:style w:type="character" w:customStyle="1" w:styleId="EndNoteBibliographyTitle0">
    <w:name w:val="EndNote Bibliography Title 字元"/>
    <w:basedOn w:val="a0"/>
    <w:link w:val="EndNoteBibliographyTitle"/>
    <w:rsid w:val="00F83167"/>
    <w:rPr>
      <w:rFonts w:ascii="Calibri" w:hAnsi="Calibri" w:cs="Calibri"/>
      <w:szCs w:val="22"/>
      <w14:ligatures w14:val="none"/>
    </w:rPr>
  </w:style>
  <w:style w:type="paragraph" w:customStyle="1" w:styleId="EndNoteBibliography">
    <w:name w:val="EndNote Bibliography"/>
    <w:basedOn w:val="a"/>
    <w:link w:val="EndNoteBibliography0"/>
    <w:rsid w:val="00F83167"/>
    <w:pPr>
      <w:jc w:val="both"/>
    </w:pPr>
    <w:rPr>
      <w:rFonts w:ascii="Calibri" w:hAnsi="Calibri" w:cs="Calibri"/>
    </w:rPr>
  </w:style>
  <w:style w:type="character" w:customStyle="1" w:styleId="EndNoteBibliography0">
    <w:name w:val="EndNote Bibliography 字元"/>
    <w:basedOn w:val="a0"/>
    <w:link w:val="EndNoteBibliography"/>
    <w:rsid w:val="00F83167"/>
    <w:rPr>
      <w:rFonts w:ascii="Calibri" w:hAnsi="Calibri" w:cs="Calibri"/>
      <w:szCs w:val="22"/>
      <w14:ligatures w14:val="none"/>
    </w:rPr>
  </w:style>
  <w:style w:type="character" w:styleId="af">
    <w:name w:val="Hyperlink"/>
    <w:basedOn w:val="a0"/>
    <w:uiPriority w:val="99"/>
    <w:unhideWhenUsed/>
    <w:rsid w:val="00F83167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F83167"/>
    <w:rPr>
      <w:color w:val="605E5C"/>
      <w:shd w:val="clear" w:color="auto" w:fill="E1DFDD"/>
    </w:rPr>
  </w:style>
  <w:style w:type="character" w:customStyle="1" w:styleId="aa">
    <w:name w:val="清單段落 字元"/>
    <w:link w:val="a9"/>
    <w:uiPriority w:val="34"/>
    <w:rsid w:val="00F83167"/>
    <w:rPr>
      <w:rFonts w:ascii="Times New Roman" w:eastAsia="標楷體" w:hAnsi="Times New Roman" w:cs="Times New Roman"/>
      <w:sz w:val="28"/>
      <w14:ligatures w14:val="none"/>
    </w:rPr>
  </w:style>
  <w:style w:type="character" w:customStyle="1" w:styleId="apple-converted-space">
    <w:name w:val="apple-converted-space"/>
    <w:basedOn w:val="a0"/>
    <w:rsid w:val="00F83167"/>
  </w:style>
  <w:style w:type="paragraph" w:styleId="af1">
    <w:name w:val="header"/>
    <w:basedOn w:val="a"/>
    <w:link w:val="af2"/>
    <w:uiPriority w:val="99"/>
    <w:unhideWhenUsed/>
    <w:rsid w:val="00F831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F83167"/>
    <w:rPr>
      <w:sz w:val="20"/>
      <w:szCs w:val="20"/>
      <w14:ligatures w14:val="none"/>
    </w:rPr>
  </w:style>
  <w:style w:type="paragraph" w:styleId="af3">
    <w:name w:val="footer"/>
    <w:basedOn w:val="a"/>
    <w:link w:val="af4"/>
    <w:uiPriority w:val="99"/>
    <w:unhideWhenUsed/>
    <w:rsid w:val="00F831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F83167"/>
    <w:rPr>
      <w:sz w:val="20"/>
      <w:szCs w:val="20"/>
      <w14:ligatures w14:val="none"/>
    </w:rPr>
  </w:style>
  <w:style w:type="character" w:styleId="af5">
    <w:name w:val="line number"/>
    <w:basedOn w:val="a0"/>
    <w:uiPriority w:val="99"/>
    <w:semiHidden/>
    <w:unhideWhenUsed/>
    <w:rsid w:val="00A6167B"/>
  </w:style>
  <w:style w:type="paragraph" w:styleId="af6">
    <w:name w:val="Revision"/>
    <w:hidden/>
    <w:uiPriority w:val="99"/>
    <w:semiHidden/>
    <w:rsid w:val="00426078"/>
    <w:pPr>
      <w:spacing w:after="0" w:line="240" w:lineRule="auto"/>
    </w:pPr>
    <w:rPr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16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2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16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70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9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622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296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3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3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75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23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3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586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7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0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6186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6428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4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67497A-4EB8-894F-917D-29DEC04DB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737</Words>
  <Characters>4204</Characters>
  <Application>Microsoft Office Word</Application>
  <DocSecurity>0</DocSecurity>
  <Lines>35</Lines>
  <Paragraphs>9</Paragraphs>
  <ScaleCrop>false</ScaleCrop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昇峰 蔡</dc:creator>
  <cp:keywords/>
  <dc:description/>
  <cp:lastModifiedBy>蔡昇峰</cp:lastModifiedBy>
  <cp:revision>7</cp:revision>
  <dcterms:created xsi:type="dcterms:W3CDTF">2026-07-14T05:59:00Z</dcterms:created>
  <dcterms:modified xsi:type="dcterms:W3CDTF">2026-08-03T12:20:00Z</dcterms:modified>
</cp:coreProperties>
</file>