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A8DB1" w14:textId="77777777" w:rsidR="00EE4BB9" w:rsidRDefault="00000000">
      <w:pPr>
        <w:ind w:firstLineChars="0" w:firstLine="0"/>
        <w:jc w:val="center"/>
        <w:rPr>
          <w:rFonts w:cs="Times New Roman"/>
          <w:b/>
          <w:bCs/>
          <w:color w:val="000000"/>
          <w:lang w:bidi="ar"/>
        </w:rPr>
      </w:pPr>
      <w:r>
        <w:rPr>
          <w:rFonts w:cs="Times New Roman"/>
          <w:b/>
          <w:bCs/>
          <w:color w:val="000000"/>
          <w:lang w:bidi="ar"/>
        </w:rPr>
        <w:t>Supplementary Figure Legends</w:t>
      </w:r>
    </w:p>
    <w:p w14:paraId="031A6465" w14:textId="77777777" w:rsidR="00EE4BB9" w:rsidRDefault="00000000">
      <w:pPr>
        <w:ind w:firstLineChars="0" w:firstLine="0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  <w:lang w:bidi="ar"/>
        </w:rPr>
        <w:t>Supplementary Fig S1. Mice exhibit depressive-like behaviors following CUMS or LPS exposure.</w:t>
      </w:r>
    </w:p>
    <w:p w14:paraId="268A26CC" w14:textId="77777777" w:rsidR="00EE4BB9" w:rsidRDefault="00000000">
      <w:pPr>
        <w:ind w:firstLineChars="0" w:firstLine="0"/>
        <w:rPr>
          <w:rFonts w:cs="Times New Roman"/>
          <w:color w:val="000000"/>
        </w:rPr>
      </w:pPr>
      <w:r>
        <w:rPr>
          <w:rFonts w:cs="Times New Roman"/>
          <w:color w:val="000000"/>
          <w:lang w:bidi="ar"/>
        </w:rPr>
        <w:t>(</w:t>
      </w:r>
      <w:r>
        <w:rPr>
          <w:rFonts w:cs="Times New Roman"/>
          <w:b/>
          <w:bCs/>
          <w:color w:val="000000"/>
          <w:lang w:bidi="ar"/>
        </w:rPr>
        <w:t>A</w:t>
      </w:r>
      <w:r>
        <w:rPr>
          <w:rFonts w:cs="Times New Roman"/>
          <w:color w:val="000000"/>
          <w:lang w:bidi="ar"/>
        </w:rPr>
        <w:t xml:space="preserve">) Schematic illustration of the experimental paradigm for inducing depressive-like behaviors in mice by LPS administration. </w:t>
      </w:r>
      <w:r>
        <w:rPr>
          <w:rFonts w:cs="Times New Roman"/>
          <w:b/>
          <w:bCs/>
          <w:color w:val="000000"/>
          <w:lang w:bidi="ar"/>
        </w:rPr>
        <w:t xml:space="preserve">(B-D) </w:t>
      </w:r>
      <w:r>
        <w:rPr>
          <w:rFonts w:eastAsia="等线" w:cs="Times New Roman"/>
          <w:color w:val="000000"/>
          <w:lang w:bidi="ar"/>
        </w:rPr>
        <w:t xml:space="preserve">Behavioral </w:t>
      </w:r>
      <w:r>
        <w:rPr>
          <w:rFonts w:cs="Times New Roman"/>
          <w:color w:val="000000"/>
          <w:lang w:bidi="ar"/>
        </w:rPr>
        <w:t>assessment</w:t>
      </w:r>
      <w:r>
        <w:rPr>
          <w:rFonts w:eastAsia="等线" w:cs="Times New Roman"/>
          <w:color w:val="000000"/>
          <w:lang w:bidi="ar"/>
        </w:rPr>
        <w:t xml:space="preserve"> of</w:t>
      </w:r>
      <w:r>
        <w:rPr>
          <w:rFonts w:cs="Times New Roman"/>
          <w:color w:val="000000"/>
          <w:lang w:bidi="ar"/>
        </w:rPr>
        <w:t xml:space="preserve"> LPS-induced mice in the TST, FST, and SPT assays (n = 6 mice per group, </w:t>
      </w:r>
      <w:r>
        <w:rPr>
          <w:rFonts w:cs="Times New Roman"/>
          <w:i/>
          <w:iCs/>
          <w:color w:val="000000"/>
          <w:lang w:bidi="ar"/>
        </w:rPr>
        <w:t>t</w:t>
      </w:r>
      <w:r>
        <w:rPr>
          <w:rFonts w:cs="Times New Roman"/>
          <w:color w:val="000000"/>
          <w:lang w:bidi="ar"/>
        </w:rPr>
        <w:t xml:space="preserve">-test). </w:t>
      </w:r>
      <w:r>
        <w:rPr>
          <w:rFonts w:cs="Times New Roman"/>
          <w:b/>
          <w:bCs/>
          <w:color w:val="000000"/>
          <w:lang w:bidi="ar"/>
        </w:rPr>
        <w:t xml:space="preserve">(E) </w:t>
      </w:r>
      <w:r>
        <w:rPr>
          <w:rFonts w:cs="Times New Roman"/>
          <w:color w:val="000000"/>
          <w:lang w:bidi="ar"/>
        </w:rPr>
        <w:t xml:space="preserve">Schematic illustration of the CUMS used to induce depressive-like phenotypes. </w:t>
      </w:r>
      <w:r>
        <w:rPr>
          <w:rFonts w:cs="Times New Roman"/>
          <w:b/>
          <w:bCs/>
          <w:color w:val="000000"/>
          <w:lang w:bidi="ar"/>
        </w:rPr>
        <w:t xml:space="preserve">(F-H) </w:t>
      </w:r>
      <w:r>
        <w:rPr>
          <w:rFonts w:eastAsia="等线" w:cs="Times New Roman"/>
          <w:color w:val="000000"/>
          <w:lang w:bidi="ar"/>
        </w:rPr>
        <w:t xml:space="preserve">Behavioral </w:t>
      </w:r>
      <w:r>
        <w:rPr>
          <w:rFonts w:cs="Times New Roman"/>
          <w:color w:val="000000"/>
          <w:lang w:bidi="ar"/>
        </w:rPr>
        <w:t>quantification</w:t>
      </w:r>
      <w:r>
        <w:rPr>
          <w:rFonts w:eastAsia="等线" w:cs="Times New Roman"/>
          <w:color w:val="000000"/>
          <w:lang w:bidi="ar"/>
        </w:rPr>
        <w:t xml:space="preserve"> of</w:t>
      </w:r>
      <w:r>
        <w:rPr>
          <w:rFonts w:cs="Times New Roman"/>
          <w:color w:val="000000"/>
          <w:lang w:bidi="ar"/>
        </w:rPr>
        <w:t xml:space="preserve"> CUMS-induced mice in the TST, FST, and SPT assays (Ctrl, n = 7 mice; CUMS, n = 6 mice, </w:t>
      </w:r>
      <w:r>
        <w:rPr>
          <w:rFonts w:cs="Times New Roman"/>
          <w:i/>
          <w:iCs/>
          <w:color w:val="000000"/>
          <w:lang w:bidi="ar"/>
        </w:rPr>
        <w:t>t</w:t>
      </w:r>
      <w:r>
        <w:rPr>
          <w:rFonts w:cs="Times New Roman"/>
          <w:color w:val="000000"/>
          <w:lang w:bidi="ar"/>
        </w:rPr>
        <w:t xml:space="preserve">-test). </w:t>
      </w:r>
      <w:r>
        <w:rPr>
          <w:rFonts w:cs="Times New Roman"/>
          <w:b/>
          <w:bCs/>
          <w:color w:val="000000"/>
          <w:lang w:bidi="ar"/>
        </w:rPr>
        <w:t>(I)</w:t>
      </w:r>
      <w:r>
        <w:rPr>
          <w:rFonts w:cs="Times New Roman"/>
          <w:color w:val="000000"/>
          <w:lang w:bidi="ar"/>
        </w:rPr>
        <w:t xml:space="preserve"> Representative locomotor tracks from Ctrl and LPS-induced mice in the open field test (OFT). (</w:t>
      </w:r>
      <w:r>
        <w:rPr>
          <w:rFonts w:cs="Times New Roman"/>
          <w:b/>
          <w:color w:val="000000"/>
          <w:lang w:bidi="ar"/>
        </w:rPr>
        <w:t>J-L</w:t>
      </w:r>
      <w:r>
        <w:rPr>
          <w:rFonts w:cs="Times New Roman"/>
          <w:color w:val="000000"/>
          <w:lang w:bidi="ar"/>
        </w:rPr>
        <w:t>) Quantification of total distance traveled (</w:t>
      </w:r>
      <w:r>
        <w:rPr>
          <w:rFonts w:cs="Times New Roman"/>
          <w:b/>
          <w:bCs/>
          <w:color w:val="000000"/>
          <w:lang w:bidi="ar"/>
        </w:rPr>
        <w:t>J</w:t>
      </w:r>
      <w:r>
        <w:rPr>
          <w:rFonts w:cs="Times New Roman"/>
          <w:color w:val="000000"/>
          <w:lang w:bidi="ar"/>
        </w:rPr>
        <w:t>), distance in the center zone (</w:t>
      </w:r>
      <w:r>
        <w:rPr>
          <w:rFonts w:cs="Times New Roman"/>
          <w:b/>
          <w:bCs/>
          <w:color w:val="000000"/>
          <w:lang w:bidi="ar"/>
        </w:rPr>
        <w:t>K</w:t>
      </w:r>
      <w:r>
        <w:rPr>
          <w:rFonts w:cs="Times New Roman"/>
          <w:color w:val="000000"/>
          <w:lang w:bidi="ar"/>
        </w:rPr>
        <w:t>), and time spent in the center zone (</w:t>
      </w:r>
      <w:r>
        <w:rPr>
          <w:rFonts w:cs="Times New Roman"/>
          <w:b/>
          <w:bCs/>
          <w:color w:val="000000"/>
          <w:lang w:bidi="ar"/>
        </w:rPr>
        <w:t>L</w:t>
      </w:r>
      <w:r>
        <w:rPr>
          <w:rFonts w:cs="Times New Roman"/>
          <w:color w:val="000000"/>
          <w:lang w:bidi="ar"/>
        </w:rPr>
        <w:t xml:space="preserve">) during OFT (n = 6 mice per group, </w:t>
      </w:r>
      <w:r>
        <w:rPr>
          <w:rFonts w:cs="Times New Roman"/>
          <w:i/>
          <w:iCs/>
          <w:color w:val="000000"/>
          <w:lang w:bidi="ar"/>
        </w:rPr>
        <w:t>t</w:t>
      </w:r>
      <w:r>
        <w:rPr>
          <w:rFonts w:cs="Times New Roman"/>
          <w:color w:val="000000"/>
          <w:lang w:bidi="ar"/>
        </w:rPr>
        <w:t>-test). (</w:t>
      </w:r>
      <w:r>
        <w:rPr>
          <w:rFonts w:cs="Times New Roman"/>
          <w:b/>
          <w:color w:val="000000"/>
          <w:lang w:bidi="ar"/>
        </w:rPr>
        <w:t>M</w:t>
      </w:r>
      <w:r>
        <w:rPr>
          <w:rFonts w:cs="Times New Roman"/>
          <w:color w:val="000000"/>
          <w:lang w:bidi="ar"/>
        </w:rPr>
        <w:t>) Representative trajectories from the EPM test for Ctrl and LPS-induced mice. (</w:t>
      </w:r>
      <w:r>
        <w:rPr>
          <w:rFonts w:cs="Times New Roman"/>
          <w:b/>
          <w:color w:val="000000"/>
          <w:lang w:bidi="ar"/>
        </w:rPr>
        <w:t>N-P</w:t>
      </w:r>
      <w:r>
        <w:rPr>
          <w:rFonts w:cs="Times New Roman"/>
          <w:color w:val="000000"/>
          <w:lang w:bidi="ar"/>
        </w:rPr>
        <w:t>) Quantification of time spent in the open-arm (</w:t>
      </w:r>
      <w:r>
        <w:rPr>
          <w:rFonts w:cs="Times New Roman"/>
          <w:b/>
          <w:bCs/>
          <w:color w:val="000000"/>
          <w:lang w:bidi="ar"/>
        </w:rPr>
        <w:t>N</w:t>
      </w:r>
      <w:r>
        <w:rPr>
          <w:rFonts w:cs="Times New Roman"/>
          <w:color w:val="000000"/>
          <w:lang w:bidi="ar"/>
        </w:rPr>
        <w:t>), number of open-arm entries (</w:t>
      </w:r>
      <w:r>
        <w:rPr>
          <w:rFonts w:cs="Times New Roman"/>
          <w:b/>
          <w:bCs/>
          <w:color w:val="000000"/>
          <w:lang w:bidi="ar"/>
        </w:rPr>
        <w:t>O</w:t>
      </w:r>
      <w:r>
        <w:rPr>
          <w:rFonts w:cs="Times New Roman"/>
          <w:color w:val="000000"/>
          <w:lang w:bidi="ar"/>
        </w:rPr>
        <w:t>) and total arm entries (</w:t>
      </w:r>
      <w:r>
        <w:rPr>
          <w:rFonts w:cs="Times New Roman"/>
          <w:b/>
          <w:bCs/>
          <w:color w:val="000000"/>
          <w:lang w:bidi="ar"/>
        </w:rPr>
        <w:t>P</w:t>
      </w:r>
      <w:r>
        <w:rPr>
          <w:rFonts w:cs="Times New Roman"/>
          <w:color w:val="000000"/>
          <w:lang w:bidi="ar"/>
        </w:rPr>
        <w:t xml:space="preserve">) in the EPM (n = 6 mice per group, </w:t>
      </w:r>
      <w:r>
        <w:rPr>
          <w:rFonts w:cs="Times New Roman"/>
          <w:i/>
          <w:iCs/>
          <w:color w:val="000000"/>
          <w:lang w:bidi="ar"/>
        </w:rPr>
        <w:t>t</w:t>
      </w:r>
      <w:r>
        <w:rPr>
          <w:rFonts w:cs="Times New Roman"/>
          <w:color w:val="000000"/>
          <w:lang w:bidi="ar"/>
        </w:rPr>
        <w:t>-test). (</w:t>
      </w:r>
      <w:r>
        <w:rPr>
          <w:rFonts w:cs="Times New Roman"/>
          <w:b/>
          <w:color w:val="000000"/>
          <w:lang w:bidi="ar"/>
        </w:rPr>
        <w:t>Q</w:t>
      </w:r>
      <w:r>
        <w:rPr>
          <w:rFonts w:cs="Times New Roman"/>
          <w:color w:val="000000"/>
          <w:lang w:bidi="ar"/>
        </w:rPr>
        <w:t>) Representative locomotor tracks of Ctrl and CUMS-induced mice in the OFT. (</w:t>
      </w:r>
      <w:r>
        <w:rPr>
          <w:rFonts w:cs="Times New Roman"/>
          <w:b/>
          <w:color w:val="000000"/>
          <w:lang w:bidi="ar"/>
        </w:rPr>
        <w:t>R-T</w:t>
      </w:r>
      <w:r>
        <w:rPr>
          <w:rFonts w:cs="Times New Roman"/>
          <w:color w:val="000000"/>
          <w:lang w:bidi="ar"/>
        </w:rPr>
        <w:t xml:space="preserve">) Quantitative analysis of total distance </w:t>
      </w:r>
      <w:r>
        <w:rPr>
          <w:rFonts w:cs="Times New Roman"/>
          <w:b/>
          <w:bCs/>
          <w:color w:val="000000"/>
          <w:lang w:bidi="ar"/>
        </w:rPr>
        <w:t>(R)</w:t>
      </w:r>
      <w:r>
        <w:rPr>
          <w:rFonts w:cs="Times New Roman"/>
          <w:color w:val="000000"/>
          <w:lang w:bidi="ar"/>
        </w:rPr>
        <w:t xml:space="preserve">, distance in the center zone </w:t>
      </w:r>
      <w:r>
        <w:rPr>
          <w:rFonts w:cs="Times New Roman"/>
          <w:b/>
          <w:bCs/>
          <w:color w:val="000000"/>
          <w:lang w:bidi="ar"/>
        </w:rPr>
        <w:t>(S)</w:t>
      </w:r>
      <w:r>
        <w:rPr>
          <w:rFonts w:cs="Times New Roman"/>
          <w:color w:val="000000"/>
          <w:lang w:bidi="ar"/>
        </w:rPr>
        <w:t xml:space="preserve">, and time in the center zone during OFT </w:t>
      </w:r>
      <w:r>
        <w:rPr>
          <w:rFonts w:cs="Times New Roman"/>
          <w:b/>
          <w:bCs/>
          <w:color w:val="000000"/>
          <w:lang w:bidi="ar"/>
        </w:rPr>
        <w:t>(T)</w:t>
      </w:r>
      <w:r>
        <w:rPr>
          <w:rFonts w:cs="Times New Roman"/>
          <w:color w:val="000000"/>
          <w:lang w:bidi="ar"/>
        </w:rPr>
        <w:t xml:space="preserve"> (Ctrl, n = 7 mice; CUMS, n = 6 mice, </w:t>
      </w:r>
      <w:r>
        <w:rPr>
          <w:rFonts w:cs="Times New Roman"/>
          <w:i/>
          <w:iCs/>
          <w:color w:val="000000"/>
          <w:lang w:bidi="ar"/>
        </w:rPr>
        <w:t>t</w:t>
      </w:r>
      <w:r>
        <w:rPr>
          <w:rFonts w:cs="Times New Roman"/>
          <w:color w:val="000000"/>
          <w:lang w:bidi="ar"/>
        </w:rPr>
        <w:t>-test). (</w:t>
      </w:r>
      <w:r>
        <w:rPr>
          <w:rFonts w:cs="Times New Roman"/>
          <w:b/>
          <w:color w:val="000000"/>
          <w:lang w:bidi="ar"/>
        </w:rPr>
        <w:t>U</w:t>
      </w:r>
      <w:r>
        <w:rPr>
          <w:rFonts w:cs="Times New Roman"/>
          <w:color w:val="000000"/>
          <w:lang w:bidi="ar"/>
        </w:rPr>
        <w:t>) Representative tracks of Ctrl and CUMS-induced mice in the EPM assays. (</w:t>
      </w:r>
      <w:r>
        <w:rPr>
          <w:rFonts w:cs="Times New Roman"/>
          <w:b/>
          <w:color w:val="000000"/>
          <w:lang w:bidi="ar"/>
        </w:rPr>
        <w:t>V-X</w:t>
      </w:r>
      <w:r>
        <w:rPr>
          <w:rFonts w:cs="Times New Roman"/>
          <w:color w:val="000000"/>
          <w:lang w:bidi="ar"/>
        </w:rPr>
        <w:t xml:space="preserve">) Quantitative analysis of time spent in open arms </w:t>
      </w:r>
      <w:r>
        <w:rPr>
          <w:rFonts w:cs="Times New Roman"/>
          <w:b/>
          <w:bCs/>
          <w:color w:val="000000"/>
          <w:lang w:bidi="ar"/>
        </w:rPr>
        <w:t>(V)</w:t>
      </w:r>
      <w:r>
        <w:rPr>
          <w:rFonts w:cs="Times New Roman"/>
          <w:color w:val="000000"/>
          <w:lang w:bidi="ar"/>
        </w:rPr>
        <w:t>, entries into open arm (</w:t>
      </w:r>
      <w:r>
        <w:rPr>
          <w:rFonts w:cs="Times New Roman"/>
          <w:b/>
          <w:color w:val="000000"/>
          <w:lang w:bidi="ar"/>
        </w:rPr>
        <w:t>W</w:t>
      </w:r>
      <w:r>
        <w:rPr>
          <w:rFonts w:cs="Times New Roman"/>
          <w:color w:val="000000"/>
          <w:lang w:bidi="ar"/>
        </w:rPr>
        <w:t>), and total entries (</w:t>
      </w:r>
      <w:r>
        <w:rPr>
          <w:rFonts w:cs="Times New Roman"/>
          <w:b/>
          <w:color w:val="000000"/>
          <w:lang w:bidi="ar"/>
        </w:rPr>
        <w:t>X</w:t>
      </w:r>
      <w:r>
        <w:rPr>
          <w:rFonts w:cs="Times New Roman"/>
          <w:color w:val="000000"/>
          <w:lang w:bidi="ar"/>
        </w:rPr>
        <w:t xml:space="preserve">) in the EPM assays (Ctrl, n = 7 mice; CUMS, n = 6 mice, </w:t>
      </w:r>
      <w:r>
        <w:rPr>
          <w:rFonts w:cs="Times New Roman"/>
          <w:i/>
          <w:iCs/>
          <w:color w:val="000000"/>
          <w:lang w:bidi="ar"/>
        </w:rPr>
        <w:t>t</w:t>
      </w:r>
      <w:r>
        <w:rPr>
          <w:rFonts w:cs="Times New Roman"/>
          <w:color w:val="000000"/>
          <w:lang w:bidi="ar"/>
        </w:rPr>
        <w:t xml:space="preserve">-test). Data are presented as mean ± SEM, </w:t>
      </w:r>
      <w:r>
        <w:rPr>
          <w:rFonts w:cs="Times New Roman"/>
          <w:i/>
          <w:color w:val="000000"/>
          <w:vertAlign w:val="superscript"/>
          <w:lang w:bidi="ar"/>
        </w:rPr>
        <w:t>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0.05,</w:t>
      </w:r>
      <w:r>
        <w:rPr>
          <w:rFonts w:cs="Times New Roman"/>
          <w:i/>
          <w:color w:val="000000"/>
          <w:lang w:bidi="ar"/>
        </w:rPr>
        <w:t xml:space="preserve"> </w:t>
      </w:r>
      <w:r>
        <w:rPr>
          <w:rFonts w:cs="Times New Roman"/>
          <w:i/>
          <w:color w:val="000000"/>
          <w:vertAlign w:val="superscript"/>
          <w:lang w:bidi="ar"/>
        </w:rPr>
        <w:t>**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0.01,</w:t>
      </w:r>
      <w:r>
        <w:rPr>
          <w:rFonts w:cs="Times New Roman"/>
          <w:color w:val="000000"/>
          <w:lang w:bidi="ar"/>
        </w:rPr>
        <w:t xml:space="preserve"> ns, not significant.</w:t>
      </w:r>
    </w:p>
    <w:p w14:paraId="1CFF2B1E" w14:textId="77777777" w:rsidR="00EE4BB9" w:rsidRDefault="00EE4BB9">
      <w:pPr>
        <w:ind w:firstLineChars="0" w:firstLine="0"/>
        <w:rPr>
          <w:rFonts w:cs="Times New Roman"/>
          <w:color w:val="000000"/>
        </w:rPr>
      </w:pPr>
    </w:p>
    <w:p w14:paraId="0425E190" w14:textId="77777777" w:rsidR="00EE4BB9" w:rsidRDefault="00000000">
      <w:pPr>
        <w:ind w:firstLineChars="0" w:firstLine="0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  <w:lang w:bidi="ar"/>
        </w:rPr>
        <w:t>Supplementary Fig S2. Identification and normal development of TIA1</w:t>
      </w:r>
      <w:r>
        <w:rPr>
          <w:rFonts w:cs="Times New Roman"/>
          <w:b/>
          <w:bCs/>
          <w:color w:val="000000"/>
          <w:vertAlign w:val="superscript"/>
          <w:lang w:bidi="ar"/>
        </w:rPr>
        <w:t>Nestin</w:t>
      </w:r>
      <w:r>
        <w:rPr>
          <w:rFonts w:cs="Times New Roman"/>
          <w:b/>
          <w:bCs/>
          <w:color w:val="000000"/>
          <w:lang w:bidi="ar"/>
        </w:rPr>
        <w:t>-CKO mice.</w:t>
      </w:r>
    </w:p>
    <w:p w14:paraId="3C4B059D" w14:textId="56EC9497" w:rsidR="00EE4BB9" w:rsidRDefault="00000000">
      <w:pPr>
        <w:numPr>
          <w:ilvl w:val="0"/>
          <w:numId w:val="1"/>
        </w:numPr>
        <w:ind w:firstLineChars="0" w:firstLine="0"/>
        <w:rPr>
          <w:rFonts w:cs="Times New Roman"/>
          <w:color w:val="000000"/>
          <w:lang w:bidi="ar"/>
        </w:rPr>
      </w:pPr>
      <w:r>
        <w:rPr>
          <w:rFonts w:cs="Times New Roman"/>
          <w:color w:val="000000"/>
          <w:lang w:bidi="ar"/>
        </w:rPr>
        <w:t>Genotyping results confirming the generation of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>-CKO mice. (</w:t>
      </w:r>
      <w:r>
        <w:rPr>
          <w:rFonts w:cs="Times New Roman"/>
          <w:b/>
          <w:color w:val="000000"/>
          <w:lang w:bidi="ar"/>
        </w:rPr>
        <w:t>B</w:t>
      </w:r>
      <w:r>
        <w:rPr>
          <w:rFonts w:cs="Times New Roman"/>
          <w:color w:val="000000"/>
          <w:lang w:bidi="ar"/>
        </w:rPr>
        <w:t>) Representative western blot showing TIA1 expression in 2-month-old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>-CKO mice. (</w:t>
      </w:r>
      <w:r>
        <w:rPr>
          <w:rFonts w:cs="Times New Roman"/>
          <w:b/>
          <w:color w:val="000000"/>
          <w:lang w:bidi="ar"/>
        </w:rPr>
        <w:t>C</w:t>
      </w:r>
      <w:r>
        <w:rPr>
          <w:rFonts w:cs="Times New Roman"/>
          <w:color w:val="000000"/>
          <w:lang w:bidi="ar"/>
        </w:rPr>
        <w:t>) Quantitative analysis of relative TIA1 expression in the hippocampus, cortex, cerebellum, and spinal cord of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 xml:space="preserve">-CKO mice </w:t>
      </w:r>
      <w:r>
        <w:rPr>
          <w:rFonts w:cs="Times New Roman"/>
          <w:color w:val="000000"/>
          <w:lang w:bidi="ar"/>
        </w:rPr>
        <w:lastRenderedPageBreak/>
        <w:t>as shown in (</w:t>
      </w:r>
      <w:r>
        <w:rPr>
          <w:rFonts w:cs="Times New Roman"/>
          <w:b/>
          <w:color w:val="000000"/>
          <w:lang w:bidi="ar"/>
        </w:rPr>
        <w:t>B</w:t>
      </w:r>
      <w:r>
        <w:rPr>
          <w:rFonts w:cs="Times New Roman"/>
          <w:color w:val="000000"/>
          <w:lang w:bidi="ar"/>
        </w:rPr>
        <w:t xml:space="preserve">) (normalized to GAPDH; n = </w:t>
      </w:r>
      <w:r w:rsidR="005C12AB">
        <w:rPr>
          <w:rFonts w:cs="Times New Roman" w:hint="eastAsia"/>
          <w:color w:val="000000"/>
          <w:lang w:bidi="ar"/>
        </w:rPr>
        <w:t>4</w:t>
      </w:r>
      <w:r>
        <w:rPr>
          <w:rFonts w:cs="Times New Roman"/>
          <w:color w:val="000000"/>
          <w:lang w:bidi="ar"/>
        </w:rPr>
        <w:t xml:space="preserve"> mice per group, Mann-Whitney test). (</w:t>
      </w:r>
      <w:r>
        <w:rPr>
          <w:rFonts w:cs="Times New Roman"/>
          <w:b/>
          <w:color w:val="000000"/>
          <w:lang w:bidi="ar"/>
        </w:rPr>
        <w:t>D</w:t>
      </w:r>
      <w:r>
        <w:rPr>
          <w:rFonts w:cs="Times New Roman"/>
          <w:color w:val="000000"/>
          <w:lang w:bidi="ar"/>
        </w:rPr>
        <w:t>) Quantitative analysis of body weight of TIA1</w:t>
      </w:r>
      <w:r>
        <w:rPr>
          <w:rFonts w:cs="Times New Roman"/>
          <w:color w:val="000000"/>
          <w:vertAlign w:val="superscript"/>
          <w:lang w:bidi="ar"/>
        </w:rPr>
        <w:t xml:space="preserve">f/f </w:t>
      </w:r>
      <w:r>
        <w:rPr>
          <w:rFonts w:cs="Times New Roman"/>
          <w:color w:val="000000"/>
          <w:lang w:bidi="ar"/>
        </w:rPr>
        <w:t>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>-CKO mice across development stage (TIA1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mice, n = 7;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 xml:space="preserve">-CKO mice, n = 8, </w:t>
      </w:r>
      <w:r>
        <w:rPr>
          <w:rFonts w:cs="Times New Roman"/>
          <w:i/>
          <w:iCs/>
          <w:color w:val="000000"/>
          <w:lang w:bidi="ar"/>
        </w:rPr>
        <w:t>t</w:t>
      </w:r>
      <w:r>
        <w:rPr>
          <w:rFonts w:cs="Times New Roman"/>
          <w:color w:val="000000"/>
          <w:lang w:bidi="ar"/>
        </w:rPr>
        <w:t>-test). (</w:t>
      </w:r>
      <w:r>
        <w:rPr>
          <w:rFonts w:cs="Times New Roman"/>
          <w:b/>
          <w:color w:val="000000"/>
          <w:lang w:bidi="ar"/>
        </w:rPr>
        <w:t>E, F</w:t>
      </w:r>
      <w:r>
        <w:rPr>
          <w:rFonts w:cs="Times New Roman"/>
          <w:color w:val="000000"/>
          <w:lang w:bidi="ar"/>
        </w:rPr>
        <w:t>) Representative images illustrating gross body size (</w:t>
      </w:r>
      <w:r>
        <w:rPr>
          <w:rFonts w:cs="Times New Roman"/>
          <w:b/>
          <w:color w:val="000000"/>
          <w:lang w:bidi="ar"/>
        </w:rPr>
        <w:t>E</w:t>
      </w:r>
      <w:r>
        <w:rPr>
          <w:rFonts w:cs="Times New Roman"/>
          <w:color w:val="000000"/>
          <w:lang w:bidi="ar"/>
        </w:rPr>
        <w:t>) and brain (</w:t>
      </w:r>
      <w:r>
        <w:rPr>
          <w:rFonts w:cs="Times New Roman"/>
          <w:b/>
          <w:color w:val="000000"/>
          <w:lang w:bidi="ar"/>
        </w:rPr>
        <w:t>F</w:t>
      </w:r>
      <w:r>
        <w:rPr>
          <w:rFonts w:cs="Times New Roman"/>
          <w:color w:val="000000"/>
          <w:lang w:bidi="ar"/>
        </w:rPr>
        <w:t>) morphology in 2-month-old TIA1</w:t>
      </w:r>
      <w:r>
        <w:rPr>
          <w:rFonts w:cs="Times New Roman"/>
          <w:color w:val="000000"/>
          <w:vertAlign w:val="superscript"/>
          <w:lang w:bidi="ar"/>
        </w:rPr>
        <w:t xml:space="preserve">f/f </w:t>
      </w:r>
      <w:r>
        <w:rPr>
          <w:rFonts w:cs="Times New Roman"/>
          <w:color w:val="000000"/>
          <w:lang w:bidi="ar"/>
        </w:rPr>
        <w:t>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>-CKO mice. (</w:t>
      </w:r>
      <w:r>
        <w:rPr>
          <w:rFonts w:cs="Times New Roman"/>
          <w:b/>
          <w:color w:val="000000"/>
          <w:lang w:bidi="ar"/>
        </w:rPr>
        <w:t>G</w:t>
      </w:r>
      <w:r>
        <w:rPr>
          <w:rFonts w:cs="Times New Roman"/>
          <w:color w:val="000000"/>
          <w:lang w:bidi="ar"/>
        </w:rPr>
        <w:t>) Quantitative analysis of brain weight of TIA1</w:t>
      </w:r>
      <w:r>
        <w:rPr>
          <w:rFonts w:cs="Times New Roman"/>
          <w:color w:val="000000"/>
          <w:vertAlign w:val="superscript"/>
          <w:lang w:bidi="ar"/>
        </w:rPr>
        <w:t xml:space="preserve">f/f </w:t>
      </w:r>
      <w:r>
        <w:rPr>
          <w:rFonts w:cs="Times New Roman"/>
          <w:color w:val="000000"/>
          <w:lang w:bidi="ar"/>
        </w:rPr>
        <w:t>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 xml:space="preserve">-CKO mice (n = 5 per group, </w:t>
      </w:r>
      <w:r>
        <w:rPr>
          <w:rFonts w:cs="Times New Roman"/>
          <w:i/>
          <w:iCs/>
          <w:color w:val="000000"/>
          <w:lang w:bidi="ar"/>
        </w:rPr>
        <w:t>t</w:t>
      </w:r>
      <w:r>
        <w:rPr>
          <w:rFonts w:cs="Times New Roman"/>
          <w:color w:val="000000"/>
          <w:lang w:bidi="ar"/>
        </w:rPr>
        <w:t>-test). (</w:t>
      </w:r>
      <w:r>
        <w:rPr>
          <w:rFonts w:cs="Times New Roman"/>
          <w:b/>
          <w:color w:val="000000"/>
          <w:lang w:bidi="ar"/>
        </w:rPr>
        <w:t>H)</w:t>
      </w:r>
      <w:r>
        <w:rPr>
          <w:rFonts w:cs="Times New Roman"/>
          <w:color w:val="000000"/>
          <w:lang w:bidi="ar"/>
        </w:rPr>
        <w:t xml:space="preserve"> Nissl staining of coronal brain sections from 2-month-old TIA1</w:t>
      </w:r>
      <w:r>
        <w:rPr>
          <w:rFonts w:cs="Times New Roman"/>
          <w:color w:val="000000"/>
          <w:vertAlign w:val="superscript"/>
          <w:lang w:bidi="ar"/>
        </w:rPr>
        <w:t xml:space="preserve">f/f </w:t>
      </w:r>
      <w:r>
        <w:rPr>
          <w:rFonts w:cs="Times New Roman"/>
          <w:color w:val="000000"/>
          <w:lang w:bidi="ar"/>
        </w:rPr>
        <w:t>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 xml:space="preserve">-CKO mice. Scale bars: 500 </w:t>
      </w:r>
      <w:proofErr w:type="spellStart"/>
      <w:r>
        <w:rPr>
          <w:rFonts w:cs="Times New Roman"/>
          <w:color w:val="000000"/>
          <w:lang w:bidi="ar"/>
        </w:rPr>
        <w:t>μm</w:t>
      </w:r>
      <w:proofErr w:type="spellEnd"/>
      <w:r>
        <w:rPr>
          <w:rFonts w:cs="Times New Roman"/>
          <w:color w:val="000000"/>
          <w:lang w:bidi="ar"/>
        </w:rPr>
        <w:t>. (</w:t>
      </w:r>
      <w:r>
        <w:rPr>
          <w:rFonts w:cs="Times New Roman"/>
          <w:b/>
          <w:color w:val="000000"/>
          <w:lang w:bidi="ar"/>
        </w:rPr>
        <w:t>I-K</w:t>
      </w:r>
      <w:r>
        <w:rPr>
          <w:rFonts w:cs="Times New Roman"/>
          <w:color w:val="000000"/>
          <w:lang w:bidi="ar"/>
        </w:rPr>
        <w:t>) Quantitative analysis of hippocampus thickness (</w:t>
      </w:r>
      <w:r>
        <w:rPr>
          <w:rFonts w:cs="Times New Roman"/>
          <w:b/>
          <w:color w:val="000000"/>
          <w:lang w:bidi="ar"/>
        </w:rPr>
        <w:t>I</w:t>
      </w:r>
      <w:r>
        <w:rPr>
          <w:rFonts w:cs="Times New Roman"/>
          <w:color w:val="000000"/>
          <w:lang w:bidi="ar"/>
        </w:rPr>
        <w:t>) and cortex thickness (</w:t>
      </w:r>
      <w:r>
        <w:rPr>
          <w:rFonts w:cs="Times New Roman"/>
          <w:b/>
          <w:color w:val="000000"/>
          <w:lang w:bidi="ar"/>
        </w:rPr>
        <w:t>J</w:t>
      </w:r>
      <w:r>
        <w:rPr>
          <w:rFonts w:cs="Times New Roman"/>
          <w:color w:val="000000"/>
          <w:lang w:bidi="ar"/>
        </w:rPr>
        <w:t>) and hippocampus Nissl body density (</w:t>
      </w:r>
      <w:r>
        <w:rPr>
          <w:rFonts w:cs="Times New Roman"/>
          <w:b/>
          <w:color w:val="000000"/>
          <w:lang w:bidi="ar"/>
        </w:rPr>
        <w:t>K</w:t>
      </w:r>
      <w:r>
        <w:rPr>
          <w:rFonts w:cs="Times New Roman"/>
          <w:color w:val="000000"/>
          <w:lang w:bidi="ar"/>
        </w:rPr>
        <w:t>) based on (</w:t>
      </w:r>
      <w:r>
        <w:rPr>
          <w:rFonts w:cs="Times New Roman"/>
          <w:b/>
          <w:color w:val="000000"/>
          <w:lang w:bidi="ar"/>
        </w:rPr>
        <w:t>H</w:t>
      </w:r>
      <w:r>
        <w:rPr>
          <w:rFonts w:cs="Times New Roman"/>
          <w:color w:val="000000"/>
          <w:lang w:bidi="ar"/>
        </w:rPr>
        <w:t xml:space="preserve">) (n = 3 mice per group, </w:t>
      </w:r>
      <w:r>
        <w:rPr>
          <w:rFonts w:cs="Times New Roman"/>
          <w:i/>
          <w:iCs/>
          <w:color w:val="000000"/>
          <w:lang w:bidi="ar"/>
        </w:rPr>
        <w:t>t</w:t>
      </w:r>
      <w:r>
        <w:rPr>
          <w:rFonts w:cs="Times New Roman"/>
          <w:color w:val="000000"/>
          <w:lang w:bidi="ar"/>
        </w:rPr>
        <w:t>-test). (</w:t>
      </w:r>
      <w:r>
        <w:rPr>
          <w:rFonts w:cs="Times New Roman"/>
          <w:b/>
          <w:color w:val="000000"/>
          <w:lang w:bidi="ar"/>
        </w:rPr>
        <w:t>L</w:t>
      </w:r>
      <w:r>
        <w:rPr>
          <w:rFonts w:cs="Times New Roman"/>
          <w:color w:val="000000"/>
          <w:lang w:bidi="ar"/>
        </w:rPr>
        <w:t>) Immunofluorescent staining of NeuN (red) in the hippocampus of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 xml:space="preserve">-CKO mice (n = 3 mice per group, </w:t>
      </w:r>
      <w:r>
        <w:rPr>
          <w:rFonts w:cs="Times New Roman"/>
          <w:i/>
          <w:iCs/>
          <w:color w:val="000000"/>
          <w:lang w:bidi="ar"/>
        </w:rPr>
        <w:t>t</w:t>
      </w:r>
      <w:r>
        <w:rPr>
          <w:rFonts w:cs="Times New Roman"/>
          <w:color w:val="000000"/>
          <w:lang w:bidi="ar"/>
        </w:rPr>
        <w:t xml:space="preserve">-test). Scale bars: 25 </w:t>
      </w:r>
      <w:proofErr w:type="spellStart"/>
      <w:r>
        <w:rPr>
          <w:rFonts w:cs="Times New Roman"/>
          <w:color w:val="000000"/>
          <w:lang w:bidi="ar"/>
        </w:rPr>
        <w:t>μm</w:t>
      </w:r>
      <w:proofErr w:type="spellEnd"/>
      <w:r>
        <w:rPr>
          <w:rFonts w:cs="Times New Roman"/>
          <w:color w:val="000000"/>
          <w:lang w:bidi="ar"/>
        </w:rPr>
        <w:t>. (</w:t>
      </w:r>
      <w:r>
        <w:rPr>
          <w:rFonts w:cs="Times New Roman"/>
          <w:b/>
          <w:color w:val="000000"/>
          <w:lang w:bidi="ar"/>
        </w:rPr>
        <w:t>M</w:t>
      </w:r>
      <w:r>
        <w:rPr>
          <w:rFonts w:cs="Times New Roman"/>
          <w:color w:val="000000"/>
          <w:lang w:bidi="ar"/>
        </w:rPr>
        <w:t>) Quantitative analysis of NeuN</w:t>
      </w:r>
      <w:r>
        <w:rPr>
          <w:rFonts w:cs="Times New Roman"/>
          <w:color w:val="000000"/>
          <w:vertAlign w:val="superscript"/>
          <w:lang w:bidi="ar"/>
        </w:rPr>
        <w:t>+</w:t>
      </w:r>
      <w:r>
        <w:rPr>
          <w:rFonts w:cs="Times New Roman"/>
          <w:color w:val="000000"/>
          <w:lang w:bidi="ar"/>
        </w:rPr>
        <w:t xml:space="preserve"> neuronal density as shown in (</w:t>
      </w:r>
      <w:r>
        <w:rPr>
          <w:rFonts w:cs="Times New Roman"/>
          <w:b/>
          <w:color w:val="000000"/>
          <w:lang w:bidi="ar"/>
        </w:rPr>
        <w:t>L</w:t>
      </w:r>
      <w:r>
        <w:rPr>
          <w:rFonts w:cs="Times New Roman"/>
          <w:color w:val="000000"/>
          <w:lang w:bidi="ar"/>
        </w:rPr>
        <w:t xml:space="preserve">) (n = 3 mice per group, </w:t>
      </w:r>
      <w:r>
        <w:rPr>
          <w:rFonts w:cs="Times New Roman"/>
          <w:i/>
          <w:iCs/>
          <w:color w:val="000000"/>
          <w:lang w:bidi="ar"/>
        </w:rPr>
        <w:t>t</w:t>
      </w:r>
      <w:r>
        <w:rPr>
          <w:rFonts w:cs="Times New Roman"/>
          <w:color w:val="000000"/>
          <w:lang w:bidi="ar"/>
        </w:rPr>
        <w:t xml:space="preserve">-test). Data are presented as mean ± SEM. </w:t>
      </w:r>
      <w:r>
        <w:rPr>
          <w:rFonts w:cs="Times New Roman"/>
          <w:i/>
          <w:color w:val="000000"/>
          <w:vertAlign w:val="superscript"/>
          <w:lang w:bidi="ar"/>
        </w:rPr>
        <w:t>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0.05,</w:t>
      </w:r>
      <w:r>
        <w:rPr>
          <w:rFonts w:cs="Times New Roman"/>
          <w:i/>
          <w:color w:val="000000"/>
          <w:lang w:bidi="ar"/>
        </w:rPr>
        <w:t xml:space="preserve"> </w:t>
      </w:r>
      <w:r>
        <w:rPr>
          <w:rFonts w:cs="Times New Roman"/>
          <w:i/>
          <w:color w:val="000000"/>
          <w:vertAlign w:val="superscript"/>
          <w:lang w:bidi="ar"/>
        </w:rPr>
        <w:t>**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0.01</w:t>
      </w:r>
      <w:r>
        <w:rPr>
          <w:rFonts w:cs="Times New Roman"/>
          <w:i/>
          <w:color w:val="000000"/>
          <w:lang w:bidi="ar"/>
        </w:rPr>
        <w:t>,</w:t>
      </w:r>
      <w:r>
        <w:rPr>
          <w:rFonts w:cs="Times New Roman"/>
          <w:color w:val="000000"/>
          <w:lang w:bidi="ar"/>
        </w:rPr>
        <w:t xml:space="preserve"> ns, not significant.</w:t>
      </w:r>
    </w:p>
    <w:p w14:paraId="252329A2" w14:textId="77777777" w:rsidR="00EE4BB9" w:rsidRDefault="00EE4BB9">
      <w:pPr>
        <w:ind w:firstLineChars="0" w:firstLine="0"/>
        <w:rPr>
          <w:rFonts w:cs="Times New Roman"/>
          <w:color w:val="000000"/>
          <w:lang w:bidi="ar"/>
        </w:rPr>
      </w:pPr>
    </w:p>
    <w:p w14:paraId="5100FE46" w14:textId="77777777" w:rsidR="00EE4BB9" w:rsidRDefault="00000000">
      <w:pPr>
        <w:ind w:firstLineChars="0" w:firstLine="0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  <w:lang w:bidi="ar"/>
        </w:rPr>
        <w:t>Supplementary Fig S3. TIA1</w:t>
      </w:r>
      <w:r>
        <w:rPr>
          <w:rFonts w:cs="Times New Roman"/>
          <w:b/>
          <w:bCs/>
          <w:color w:val="000000"/>
          <w:vertAlign w:val="superscript"/>
          <w:lang w:bidi="ar"/>
        </w:rPr>
        <w:t>Nestin</w:t>
      </w:r>
      <w:r>
        <w:rPr>
          <w:rFonts w:cs="Times New Roman"/>
          <w:b/>
          <w:bCs/>
          <w:color w:val="000000"/>
          <w:lang w:bidi="ar"/>
        </w:rPr>
        <w:t>-CKO mice do not show anxiety-like behavior and motor deficits after LPS or CUMS induction.</w:t>
      </w:r>
    </w:p>
    <w:p w14:paraId="2E2795C7" w14:textId="77777777" w:rsidR="00EE4BB9" w:rsidRDefault="00000000">
      <w:pPr>
        <w:ind w:firstLineChars="0" w:firstLine="0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  <w:lang w:bidi="ar"/>
        </w:rPr>
        <w:t>(A)</w:t>
      </w:r>
      <w:r>
        <w:rPr>
          <w:rFonts w:cs="Times New Roman"/>
          <w:color w:val="000000"/>
          <w:lang w:bidi="ar"/>
        </w:rPr>
        <w:t xml:space="preserve"> Representative locomotor tracks in the OFT from Ctrl mice and LPS-induced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 xml:space="preserve">-CKO mice. </w:t>
      </w:r>
      <w:r>
        <w:rPr>
          <w:rFonts w:cs="Times New Roman"/>
          <w:b/>
          <w:bCs/>
          <w:color w:val="000000"/>
          <w:lang w:bidi="ar"/>
        </w:rPr>
        <w:t>(B-D)</w:t>
      </w:r>
      <w:r>
        <w:rPr>
          <w:rFonts w:cs="Times New Roman"/>
          <w:color w:val="000000"/>
          <w:lang w:bidi="ar"/>
        </w:rPr>
        <w:t xml:space="preserve"> Quantitative analysis of total distance traveled (</w:t>
      </w:r>
      <w:r>
        <w:rPr>
          <w:rFonts w:cs="Times New Roman"/>
          <w:b/>
          <w:color w:val="000000"/>
          <w:lang w:bidi="ar"/>
        </w:rPr>
        <w:t>B</w:t>
      </w:r>
      <w:r>
        <w:rPr>
          <w:rFonts w:cs="Times New Roman"/>
          <w:color w:val="000000"/>
          <w:lang w:bidi="ar"/>
        </w:rPr>
        <w:t>), distance in the center zone (</w:t>
      </w:r>
      <w:r>
        <w:rPr>
          <w:rFonts w:cs="Times New Roman"/>
          <w:b/>
          <w:color w:val="000000"/>
          <w:lang w:bidi="ar"/>
        </w:rPr>
        <w:t>C</w:t>
      </w:r>
      <w:r>
        <w:rPr>
          <w:rFonts w:cs="Times New Roman"/>
          <w:color w:val="000000"/>
          <w:lang w:bidi="ar"/>
        </w:rPr>
        <w:t xml:space="preserve">), and the time in the center zone </w:t>
      </w:r>
      <w:r>
        <w:rPr>
          <w:rFonts w:cs="Times New Roman"/>
          <w:b/>
          <w:bCs/>
          <w:color w:val="000000"/>
          <w:lang w:bidi="ar"/>
        </w:rPr>
        <w:t xml:space="preserve">(D) </w:t>
      </w:r>
      <w:r>
        <w:rPr>
          <w:rFonts w:cs="Times New Roman"/>
          <w:color w:val="000000"/>
          <w:lang w:bidi="ar"/>
        </w:rPr>
        <w:t>in the OFT (TIA1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>, n = 8;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>-CKO, n = 6;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>-LPS, n = 10;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>-CKO-LPS, n = 10, two-way ANOVA).</w:t>
      </w:r>
      <w:r>
        <w:rPr>
          <w:rFonts w:cs="Times New Roman"/>
          <w:b/>
          <w:bCs/>
          <w:color w:val="000000"/>
          <w:lang w:bidi="ar"/>
        </w:rPr>
        <w:t xml:space="preserve"> </w:t>
      </w:r>
      <w:r>
        <w:rPr>
          <w:rFonts w:cs="Times New Roman"/>
          <w:color w:val="000000"/>
          <w:lang w:bidi="ar"/>
        </w:rPr>
        <w:t>(</w:t>
      </w:r>
      <w:r>
        <w:rPr>
          <w:rFonts w:cs="Times New Roman"/>
          <w:b/>
          <w:color w:val="000000"/>
          <w:lang w:bidi="ar"/>
        </w:rPr>
        <w:t>E</w:t>
      </w:r>
      <w:r>
        <w:rPr>
          <w:rFonts w:cs="Times New Roman"/>
          <w:color w:val="000000"/>
          <w:lang w:bidi="ar"/>
        </w:rPr>
        <w:t>) Representative movement tracks in the EPM for Ctrl and LPS-induced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>-CKO mice.</w:t>
      </w:r>
      <w:r>
        <w:rPr>
          <w:rFonts w:cs="Times New Roman"/>
          <w:b/>
          <w:bCs/>
          <w:color w:val="000000"/>
          <w:lang w:bidi="ar"/>
        </w:rPr>
        <w:t xml:space="preserve"> </w:t>
      </w:r>
      <w:r>
        <w:rPr>
          <w:rFonts w:cs="Times New Roman"/>
          <w:color w:val="000000"/>
          <w:lang w:bidi="ar"/>
        </w:rPr>
        <w:t>(</w:t>
      </w:r>
      <w:r>
        <w:rPr>
          <w:rFonts w:cs="Times New Roman"/>
          <w:b/>
          <w:color w:val="000000"/>
          <w:lang w:bidi="ar"/>
        </w:rPr>
        <w:t>F-H</w:t>
      </w:r>
      <w:r>
        <w:rPr>
          <w:rFonts w:cs="Times New Roman"/>
          <w:color w:val="000000"/>
          <w:lang w:bidi="ar"/>
        </w:rPr>
        <w:t xml:space="preserve">) Quantitative analysis of time spent in open arms </w:t>
      </w:r>
      <w:r>
        <w:rPr>
          <w:rFonts w:cs="Times New Roman"/>
          <w:b/>
          <w:bCs/>
          <w:color w:val="000000"/>
          <w:lang w:bidi="ar"/>
        </w:rPr>
        <w:t>(F)</w:t>
      </w:r>
      <w:r>
        <w:rPr>
          <w:rFonts w:cs="Times New Roman"/>
          <w:color w:val="000000"/>
          <w:lang w:bidi="ar"/>
        </w:rPr>
        <w:t xml:space="preserve">, number of open-arm entries </w:t>
      </w:r>
      <w:r>
        <w:rPr>
          <w:rFonts w:cs="Times New Roman"/>
          <w:b/>
          <w:bCs/>
          <w:color w:val="000000"/>
          <w:lang w:bidi="ar"/>
        </w:rPr>
        <w:t>(G)</w:t>
      </w:r>
      <w:r>
        <w:rPr>
          <w:rFonts w:cs="Times New Roman"/>
          <w:color w:val="000000"/>
          <w:lang w:bidi="ar"/>
        </w:rPr>
        <w:t xml:space="preserve">, and number of total entries </w:t>
      </w:r>
      <w:r>
        <w:rPr>
          <w:rFonts w:cs="Times New Roman"/>
          <w:b/>
          <w:bCs/>
          <w:color w:val="000000"/>
          <w:lang w:bidi="ar"/>
        </w:rPr>
        <w:t xml:space="preserve">(H) </w:t>
      </w:r>
      <w:r>
        <w:rPr>
          <w:rFonts w:cs="Times New Roman"/>
          <w:color w:val="000000"/>
          <w:lang w:bidi="ar"/>
        </w:rPr>
        <w:t>in the EPM (TIA1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>, n = 8;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>-CKO, n = 6;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>-LPS, n = 10;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>-CKO-LPS, n = 10, two-way ANOVA). (</w:t>
      </w:r>
      <w:r>
        <w:rPr>
          <w:rFonts w:cs="Times New Roman"/>
          <w:b/>
          <w:color w:val="000000"/>
          <w:lang w:bidi="ar"/>
        </w:rPr>
        <w:t>I</w:t>
      </w:r>
      <w:r>
        <w:rPr>
          <w:rFonts w:cs="Times New Roman"/>
          <w:color w:val="000000"/>
          <w:lang w:bidi="ar"/>
        </w:rPr>
        <w:t>) Representative tracks of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>-CKO mice under Ctrl and CUMS conditions in the OFT.</w:t>
      </w:r>
      <w:r>
        <w:rPr>
          <w:rFonts w:cs="Times New Roman"/>
          <w:b/>
          <w:bCs/>
          <w:color w:val="000000"/>
          <w:lang w:bidi="ar"/>
        </w:rPr>
        <w:t xml:space="preserve"> </w:t>
      </w:r>
      <w:r>
        <w:rPr>
          <w:rFonts w:cs="Times New Roman"/>
          <w:color w:val="000000"/>
          <w:lang w:bidi="ar"/>
        </w:rPr>
        <w:t>(</w:t>
      </w:r>
      <w:r>
        <w:rPr>
          <w:rFonts w:cs="Times New Roman"/>
          <w:b/>
          <w:color w:val="000000"/>
          <w:lang w:bidi="ar"/>
        </w:rPr>
        <w:t>J-L</w:t>
      </w:r>
      <w:r>
        <w:rPr>
          <w:rFonts w:cs="Times New Roman"/>
          <w:color w:val="000000"/>
          <w:lang w:bidi="ar"/>
        </w:rPr>
        <w:t>) Quantitative analysis of total distance (</w:t>
      </w:r>
      <w:r>
        <w:rPr>
          <w:rFonts w:cs="Times New Roman"/>
          <w:b/>
          <w:color w:val="000000"/>
          <w:lang w:bidi="ar"/>
        </w:rPr>
        <w:t>J</w:t>
      </w:r>
      <w:r>
        <w:rPr>
          <w:rFonts w:cs="Times New Roman"/>
          <w:color w:val="000000"/>
          <w:lang w:bidi="ar"/>
        </w:rPr>
        <w:t xml:space="preserve">), distance in the center zone </w:t>
      </w:r>
      <w:r>
        <w:rPr>
          <w:rFonts w:cs="Times New Roman"/>
          <w:b/>
          <w:bCs/>
          <w:color w:val="000000"/>
          <w:lang w:bidi="ar"/>
        </w:rPr>
        <w:t>(K)</w:t>
      </w:r>
      <w:r>
        <w:rPr>
          <w:rFonts w:cs="Times New Roman"/>
          <w:color w:val="000000"/>
          <w:lang w:bidi="ar"/>
        </w:rPr>
        <w:t xml:space="preserve"> and time spent in the center zone (</w:t>
      </w:r>
      <w:r>
        <w:rPr>
          <w:rFonts w:cs="Times New Roman"/>
          <w:b/>
          <w:color w:val="000000"/>
          <w:lang w:bidi="ar"/>
        </w:rPr>
        <w:t>L</w:t>
      </w:r>
      <w:r>
        <w:rPr>
          <w:rFonts w:cs="Times New Roman"/>
          <w:color w:val="000000"/>
          <w:lang w:bidi="ar"/>
        </w:rPr>
        <w:t xml:space="preserve">) during the OFT following CUMS induction (n = 7 per group, two-way </w:t>
      </w:r>
      <w:r>
        <w:rPr>
          <w:rFonts w:cs="Times New Roman"/>
          <w:color w:val="000000"/>
          <w:lang w:bidi="ar"/>
        </w:rPr>
        <w:lastRenderedPageBreak/>
        <w:t>ANOVA). (</w:t>
      </w:r>
      <w:r>
        <w:rPr>
          <w:rFonts w:cs="Times New Roman"/>
          <w:b/>
          <w:color w:val="000000"/>
          <w:lang w:bidi="ar"/>
        </w:rPr>
        <w:t>M</w:t>
      </w:r>
      <w:r>
        <w:rPr>
          <w:rFonts w:cs="Times New Roman"/>
          <w:color w:val="000000"/>
          <w:lang w:bidi="ar"/>
        </w:rPr>
        <w:t>) Representative tracks of Ctrl and CUMS-induced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>-CKO mice in the EPM.</w:t>
      </w:r>
      <w:r>
        <w:rPr>
          <w:rFonts w:cs="Times New Roman"/>
          <w:b/>
          <w:bCs/>
          <w:color w:val="000000"/>
          <w:lang w:bidi="ar"/>
        </w:rPr>
        <w:t xml:space="preserve"> </w:t>
      </w:r>
      <w:r>
        <w:rPr>
          <w:rFonts w:cs="Times New Roman"/>
          <w:color w:val="000000"/>
          <w:lang w:bidi="ar"/>
        </w:rPr>
        <w:t>(</w:t>
      </w:r>
      <w:r>
        <w:rPr>
          <w:rFonts w:cs="Times New Roman"/>
          <w:b/>
          <w:color w:val="000000"/>
          <w:lang w:bidi="ar"/>
        </w:rPr>
        <w:t>N-P</w:t>
      </w:r>
      <w:r>
        <w:rPr>
          <w:rFonts w:cs="Times New Roman"/>
          <w:color w:val="000000"/>
          <w:lang w:bidi="ar"/>
        </w:rPr>
        <w:t>) Quantitative analysis of time spent in open arms (</w:t>
      </w:r>
      <w:r>
        <w:rPr>
          <w:rFonts w:cs="Times New Roman"/>
          <w:b/>
          <w:color w:val="000000"/>
          <w:lang w:bidi="ar"/>
        </w:rPr>
        <w:t>N</w:t>
      </w:r>
      <w:r>
        <w:rPr>
          <w:rFonts w:cs="Times New Roman"/>
          <w:color w:val="000000"/>
          <w:lang w:bidi="ar"/>
        </w:rPr>
        <w:t>), open-arm entries (</w:t>
      </w:r>
      <w:r>
        <w:rPr>
          <w:rFonts w:cs="Times New Roman"/>
          <w:b/>
          <w:color w:val="000000"/>
          <w:lang w:bidi="ar"/>
        </w:rPr>
        <w:t>O</w:t>
      </w:r>
      <w:r>
        <w:rPr>
          <w:rFonts w:cs="Times New Roman"/>
          <w:color w:val="000000"/>
          <w:lang w:bidi="ar"/>
        </w:rPr>
        <w:t>), and total arm entries (</w:t>
      </w:r>
      <w:r>
        <w:rPr>
          <w:rFonts w:cs="Times New Roman"/>
          <w:b/>
          <w:color w:val="000000"/>
          <w:lang w:bidi="ar"/>
        </w:rPr>
        <w:t>P</w:t>
      </w:r>
      <w:r>
        <w:rPr>
          <w:rFonts w:cs="Times New Roman"/>
          <w:color w:val="000000"/>
          <w:lang w:bidi="ar"/>
        </w:rPr>
        <w:t>) in the EPM (n = 7 per group, two-way ANOVA). Data are presented as mean ± SEM. ns, not significant.</w:t>
      </w:r>
    </w:p>
    <w:p w14:paraId="3FA9BEAC" w14:textId="77777777" w:rsidR="00EE4BB9" w:rsidRDefault="00EE4BB9">
      <w:pPr>
        <w:ind w:firstLineChars="0" w:firstLine="0"/>
        <w:rPr>
          <w:rFonts w:cs="Times New Roman"/>
          <w:color w:val="000000"/>
        </w:rPr>
      </w:pPr>
    </w:p>
    <w:p w14:paraId="6E049BFB" w14:textId="77777777" w:rsidR="00EE4BB9" w:rsidRDefault="00000000">
      <w:pPr>
        <w:ind w:firstLineChars="0" w:firstLine="0"/>
        <w:rPr>
          <w:b/>
          <w:bCs/>
          <w:color w:val="000000"/>
        </w:rPr>
      </w:pPr>
      <w:r>
        <w:rPr>
          <w:rFonts w:cs="Times New Roman"/>
          <w:b/>
          <w:bCs/>
          <w:color w:val="000000"/>
          <w:lang w:bidi="ar"/>
        </w:rPr>
        <w:t>Supplementary Fig S4. TIA1</w:t>
      </w:r>
      <w:r>
        <w:rPr>
          <w:rFonts w:cs="Times New Roman"/>
          <w:b/>
          <w:bCs/>
          <w:color w:val="000000"/>
          <w:vertAlign w:val="superscript"/>
          <w:lang w:bidi="ar"/>
        </w:rPr>
        <w:t>Nestin</w:t>
      </w:r>
      <w:r>
        <w:rPr>
          <w:rFonts w:cs="Times New Roman"/>
          <w:b/>
          <w:bCs/>
          <w:color w:val="000000"/>
          <w:lang w:bidi="ar"/>
        </w:rPr>
        <w:t>-CKO mice exhibit aggravated depressive-like behaviors in both sexes after LPS induction, and TIA1</w:t>
      </w:r>
      <w:r>
        <w:rPr>
          <w:rFonts w:cs="Times New Roman"/>
          <w:b/>
          <w:bCs/>
          <w:color w:val="000000"/>
          <w:vertAlign w:val="superscript"/>
          <w:lang w:bidi="ar"/>
        </w:rPr>
        <w:t>GFAP</w:t>
      </w:r>
      <w:r>
        <w:rPr>
          <w:rFonts w:cs="Times New Roman"/>
          <w:b/>
          <w:bCs/>
          <w:color w:val="000000"/>
          <w:lang w:bidi="ar"/>
        </w:rPr>
        <w:t>-CKO mice do not show the aggravated depressive-like behaviors after LPS induction.</w:t>
      </w:r>
    </w:p>
    <w:p w14:paraId="41E0E1AC" w14:textId="77777777" w:rsidR="00EE4BB9" w:rsidRDefault="00000000">
      <w:pPr>
        <w:ind w:firstLineChars="0" w:firstLine="0"/>
        <w:rPr>
          <w:color w:val="000000"/>
        </w:rPr>
      </w:pPr>
      <w:r>
        <w:rPr>
          <w:rFonts w:cs="Times New Roman"/>
          <w:b/>
          <w:bCs/>
          <w:color w:val="000000"/>
          <w:lang w:bidi="ar"/>
        </w:rPr>
        <w:t>(A)</w:t>
      </w:r>
      <w:r>
        <w:rPr>
          <w:rFonts w:cs="Times New Roman"/>
          <w:color w:val="000000"/>
          <w:lang w:bidi="ar"/>
        </w:rPr>
        <w:t xml:space="preserve"> Schematic timeline of the LPS administration and behavioral test battery applied to male and female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 xml:space="preserve">-CKO littermate mice. </w:t>
      </w:r>
      <w:r>
        <w:rPr>
          <w:rFonts w:cs="Times New Roman"/>
          <w:b/>
          <w:bCs/>
          <w:color w:val="000000"/>
          <w:lang w:bidi="ar"/>
        </w:rPr>
        <w:t xml:space="preserve">(B, C) </w:t>
      </w:r>
      <w:r>
        <w:rPr>
          <w:rFonts w:cs="Times New Roman"/>
          <w:color w:val="000000"/>
          <w:lang w:bidi="ar"/>
        </w:rPr>
        <w:t>Quantification of immobility duration in the TST</w:t>
      </w:r>
      <w:r>
        <w:rPr>
          <w:rFonts w:cs="Times New Roman"/>
          <w:b/>
          <w:bCs/>
          <w:color w:val="000000"/>
          <w:lang w:bidi="ar"/>
        </w:rPr>
        <w:t xml:space="preserve"> (B)</w:t>
      </w:r>
      <w:r>
        <w:rPr>
          <w:rFonts w:cs="Times New Roman"/>
          <w:color w:val="000000"/>
          <w:lang w:bidi="ar"/>
        </w:rPr>
        <w:t>, FST (</w:t>
      </w:r>
      <w:r>
        <w:rPr>
          <w:rFonts w:cs="Times New Roman"/>
          <w:b/>
          <w:color w:val="000000"/>
          <w:lang w:bidi="ar"/>
        </w:rPr>
        <w:t>C</w:t>
      </w:r>
      <w:r>
        <w:rPr>
          <w:rFonts w:cs="Times New Roman"/>
          <w:color w:val="000000"/>
          <w:lang w:bidi="ar"/>
        </w:rPr>
        <w:t>) for female LPS-treated (F-LPS) and male LPS-treated (M-LPS)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 xml:space="preserve">-CKO mice (n = 6 mice per group, two-way ANOVA). </w:t>
      </w:r>
      <w:r>
        <w:rPr>
          <w:rFonts w:cs="Times New Roman"/>
          <w:b/>
          <w:bCs/>
          <w:color w:val="000000"/>
          <w:lang w:bidi="ar"/>
        </w:rPr>
        <w:t xml:space="preserve">(D) </w:t>
      </w:r>
      <w:r>
        <w:rPr>
          <w:rFonts w:cs="Times New Roman"/>
          <w:color w:val="000000"/>
          <w:lang w:bidi="ar"/>
        </w:rPr>
        <w:t>Sucrose preference measured by the SPT in F-LPS and M-LPS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Nestin</w:t>
      </w:r>
      <w:r>
        <w:rPr>
          <w:rFonts w:cs="Times New Roman"/>
          <w:color w:val="000000"/>
          <w:lang w:bidi="ar"/>
        </w:rPr>
        <w:t xml:space="preserve">-CKO mice following LPS induction (n = 6 mice per group, two-way ANOVA). </w:t>
      </w:r>
      <w:r>
        <w:rPr>
          <w:rFonts w:cs="Times New Roman"/>
          <w:b/>
          <w:bCs/>
          <w:color w:val="000000"/>
          <w:lang w:bidi="ar"/>
        </w:rPr>
        <w:t xml:space="preserve">(E) </w:t>
      </w:r>
      <w:r>
        <w:rPr>
          <w:rFonts w:cs="Times New Roman"/>
          <w:color w:val="000000"/>
          <w:lang w:bidi="ar"/>
        </w:rPr>
        <w:t>Schematic experimental timeline for LPS challenge and subsequent behavioral assessments in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GFAP</w:t>
      </w:r>
      <w:r>
        <w:rPr>
          <w:rFonts w:cs="Times New Roman"/>
          <w:color w:val="000000"/>
          <w:lang w:bidi="ar"/>
        </w:rPr>
        <w:t xml:space="preserve">-CKO mice. </w:t>
      </w:r>
      <w:r>
        <w:rPr>
          <w:rFonts w:cs="Times New Roman"/>
          <w:b/>
          <w:bCs/>
          <w:color w:val="000000"/>
          <w:lang w:bidi="ar"/>
        </w:rPr>
        <w:t xml:space="preserve">(F-H) </w:t>
      </w:r>
      <w:r>
        <w:rPr>
          <w:rFonts w:cs="Times New Roman"/>
          <w:color w:val="000000"/>
          <w:lang w:bidi="ar"/>
        </w:rPr>
        <w:t>Behavioral analysis of TST (</w:t>
      </w:r>
      <w:r>
        <w:rPr>
          <w:rFonts w:cs="Times New Roman"/>
          <w:b/>
          <w:color w:val="000000"/>
          <w:lang w:bidi="ar"/>
        </w:rPr>
        <w:t>F)</w:t>
      </w:r>
      <w:r>
        <w:rPr>
          <w:rFonts w:cs="Times New Roman"/>
          <w:color w:val="000000"/>
          <w:lang w:bidi="ar"/>
        </w:rPr>
        <w:t>, FST (</w:t>
      </w:r>
      <w:r>
        <w:rPr>
          <w:rFonts w:cs="Times New Roman"/>
          <w:b/>
          <w:color w:val="000000"/>
          <w:lang w:bidi="ar"/>
        </w:rPr>
        <w:t>G</w:t>
      </w:r>
      <w:r>
        <w:rPr>
          <w:rFonts w:cs="Times New Roman"/>
          <w:color w:val="000000"/>
          <w:lang w:bidi="ar"/>
        </w:rPr>
        <w:t>), and SPT (</w:t>
      </w:r>
      <w:r>
        <w:rPr>
          <w:rFonts w:cs="Times New Roman"/>
          <w:b/>
          <w:color w:val="000000"/>
          <w:lang w:bidi="ar"/>
        </w:rPr>
        <w:t>H</w:t>
      </w:r>
      <w:r>
        <w:rPr>
          <w:rFonts w:cs="Times New Roman"/>
          <w:color w:val="000000"/>
          <w:lang w:bidi="ar"/>
        </w:rPr>
        <w:t>) in vehicle control and LPS-exposed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GFAP</w:t>
      </w:r>
      <w:r>
        <w:rPr>
          <w:rFonts w:cs="Times New Roman"/>
          <w:color w:val="000000"/>
          <w:lang w:bidi="ar"/>
        </w:rPr>
        <w:t>-CKO littermates (TIA1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>, n = 7; TIA1</w:t>
      </w:r>
      <w:r>
        <w:rPr>
          <w:rFonts w:cs="Times New Roman"/>
          <w:color w:val="000000"/>
          <w:vertAlign w:val="superscript"/>
          <w:lang w:bidi="ar"/>
        </w:rPr>
        <w:t>GFAP</w:t>
      </w:r>
      <w:r>
        <w:rPr>
          <w:rFonts w:cs="Times New Roman"/>
          <w:color w:val="000000"/>
          <w:lang w:bidi="ar"/>
        </w:rPr>
        <w:t>-CKO, n = 8;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>-LPS, n = 9; TIA1</w:t>
      </w:r>
      <w:r>
        <w:rPr>
          <w:rFonts w:cs="Times New Roman"/>
          <w:color w:val="000000"/>
          <w:vertAlign w:val="superscript"/>
          <w:lang w:bidi="ar"/>
        </w:rPr>
        <w:t>GFAP</w:t>
      </w:r>
      <w:r>
        <w:rPr>
          <w:rFonts w:cs="Times New Roman"/>
          <w:color w:val="000000"/>
          <w:lang w:bidi="ar"/>
        </w:rPr>
        <w:t xml:space="preserve">-CKO-LPS, n = 9, two-way ANOVA). Data are presented as mean ± SEM. </w:t>
      </w:r>
      <w:r>
        <w:rPr>
          <w:rFonts w:cs="Times New Roman"/>
          <w:i/>
          <w:color w:val="000000"/>
          <w:vertAlign w:val="superscript"/>
          <w:lang w:bidi="ar"/>
        </w:rPr>
        <w:t>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0.05,</w:t>
      </w:r>
      <w:r>
        <w:rPr>
          <w:rFonts w:cs="Times New Roman"/>
          <w:i/>
          <w:color w:val="000000"/>
          <w:lang w:bidi="ar"/>
        </w:rPr>
        <w:t xml:space="preserve"> </w:t>
      </w:r>
      <w:r>
        <w:rPr>
          <w:rFonts w:cs="Times New Roman"/>
          <w:i/>
          <w:color w:val="000000"/>
          <w:vertAlign w:val="superscript"/>
          <w:lang w:bidi="ar"/>
        </w:rPr>
        <w:t>**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0.01,</w:t>
      </w:r>
      <w:r>
        <w:rPr>
          <w:rFonts w:cs="Times New Roman"/>
          <w:color w:val="000000"/>
          <w:lang w:bidi="ar"/>
        </w:rPr>
        <w:t xml:space="preserve"> ns, not significant.</w:t>
      </w:r>
    </w:p>
    <w:p w14:paraId="6B3E5621" w14:textId="77777777" w:rsidR="00EE4BB9" w:rsidRDefault="00EE4BB9">
      <w:pPr>
        <w:ind w:firstLineChars="0" w:firstLine="0"/>
        <w:jc w:val="center"/>
        <w:rPr>
          <w:b/>
          <w:bCs/>
          <w:color w:val="000000"/>
        </w:rPr>
      </w:pPr>
    </w:p>
    <w:p w14:paraId="517B173D" w14:textId="77777777" w:rsidR="00EE4BB9" w:rsidRDefault="00000000">
      <w:pPr>
        <w:ind w:firstLineChars="0" w:firstLine="0"/>
        <w:rPr>
          <w:b/>
          <w:bCs/>
          <w:color w:val="000000"/>
        </w:rPr>
      </w:pPr>
      <w:r>
        <w:rPr>
          <w:rFonts w:cs="Times New Roman"/>
          <w:b/>
          <w:bCs/>
          <w:color w:val="000000"/>
          <w:lang w:bidi="ar"/>
        </w:rPr>
        <w:t>Supplementary Fig S5. Expression of TIA1 in CaMKIIα</w:t>
      </w:r>
      <w:r>
        <w:rPr>
          <w:rFonts w:cs="Times New Roman"/>
          <w:b/>
          <w:bCs/>
          <w:color w:val="000000"/>
          <w:vertAlign w:val="superscript"/>
          <w:lang w:bidi="ar"/>
        </w:rPr>
        <w:t>+</w:t>
      </w:r>
      <w:r>
        <w:rPr>
          <w:rFonts w:cs="Times New Roman"/>
          <w:b/>
          <w:bCs/>
          <w:color w:val="000000"/>
          <w:lang w:bidi="ar"/>
        </w:rPr>
        <w:t xml:space="preserve"> neurons of TIA1</w:t>
      </w:r>
      <w:r>
        <w:rPr>
          <w:rFonts w:cs="Times New Roman"/>
          <w:b/>
          <w:bCs/>
          <w:color w:val="000000"/>
          <w:vertAlign w:val="superscript"/>
          <w:lang w:bidi="ar"/>
        </w:rPr>
        <w:t>CaMKIIα</w:t>
      </w:r>
      <w:r>
        <w:rPr>
          <w:rFonts w:cs="Times New Roman"/>
          <w:b/>
          <w:bCs/>
          <w:color w:val="000000"/>
          <w:lang w:bidi="ar"/>
        </w:rPr>
        <w:t>-CKO mice.</w:t>
      </w:r>
    </w:p>
    <w:p w14:paraId="7A3764AF" w14:textId="77777777" w:rsidR="00EE4BB9" w:rsidRDefault="00000000">
      <w:pPr>
        <w:ind w:firstLineChars="0" w:firstLine="0"/>
        <w:rPr>
          <w:rFonts w:cs="Times New Roman"/>
          <w:color w:val="000000"/>
          <w:lang w:bidi="ar"/>
        </w:rPr>
      </w:pPr>
      <w:r>
        <w:rPr>
          <w:rFonts w:cs="Times New Roman"/>
          <w:color w:val="000000"/>
          <w:lang w:bidi="ar"/>
        </w:rPr>
        <w:t>(</w:t>
      </w:r>
      <w:r>
        <w:rPr>
          <w:rFonts w:cs="Times New Roman"/>
          <w:b/>
          <w:bCs/>
          <w:color w:val="000000"/>
          <w:lang w:bidi="ar"/>
        </w:rPr>
        <w:t>A</w:t>
      </w:r>
      <w:r>
        <w:rPr>
          <w:rFonts w:cs="Times New Roman"/>
          <w:color w:val="000000"/>
          <w:lang w:bidi="ar"/>
        </w:rPr>
        <w:t>) Representative immunofluorescence images of TIA1 (green) and CaMKIIα (red) staining in the vCA1 region of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 xml:space="preserve">-CKO mice. Scale bars: 100 </w:t>
      </w:r>
      <w:proofErr w:type="spellStart"/>
      <w:r>
        <w:rPr>
          <w:rFonts w:cs="Times New Roman"/>
          <w:color w:val="000000"/>
          <w:lang w:bidi="ar"/>
        </w:rPr>
        <w:t>μm</w:t>
      </w:r>
      <w:proofErr w:type="spellEnd"/>
      <w:r>
        <w:rPr>
          <w:rFonts w:cs="Times New Roman"/>
          <w:color w:val="000000"/>
          <w:lang w:bidi="ar"/>
        </w:rPr>
        <w:t xml:space="preserve"> (left panels) and 10 </w:t>
      </w:r>
      <w:proofErr w:type="spellStart"/>
      <w:r>
        <w:rPr>
          <w:rFonts w:cs="Times New Roman"/>
          <w:color w:val="000000"/>
          <w:lang w:bidi="ar"/>
        </w:rPr>
        <w:t>μm</w:t>
      </w:r>
      <w:proofErr w:type="spellEnd"/>
      <w:r>
        <w:rPr>
          <w:rFonts w:cs="Times New Roman"/>
          <w:color w:val="000000"/>
          <w:lang w:bidi="ar"/>
        </w:rPr>
        <w:t xml:space="preserve"> (right panels). (</w:t>
      </w:r>
      <w:r>
        <w:rPr>
          <w:rFonts w:cs="Times New Roman"/>
          <w:b/>
          <w:bCs/>
          <w:color w:val="000000"/>
          <w:lang w:bidi="ar"/>
        </w:rPr>
        <w:t>B</w:t>
      </w:r>
      <w:r>
        <w:rPr>
          <w:rFonts w:cs="Times New Roman"/>
          <w:color w:val="000000"/>
          <w:lang w:bidi="ar"/>
        </w:rPr>
        <w:t>) Quantification of TIA1 fluorescence intensity in CaMKIIα</w:t>
      </w:r>
      <w:r>
        <w:rPr>
          <w:rFonts w:cs="Times New Roman"/>
          <w:color w:val="000000"/>
          <w:vertAlign w:val="superscript"/>
          <w:lang w:bidi="ar"/>
        </w:rPr>
        <w:t>+</w:t>
      </w:r>
      <w:r>
        <w:rPr>
          <w:rFonts w:cs="Times New Roman"/>
          <w:color w:val="000000"/>
          <w:lang w:bidi="ar"/>
        </w:rPr>
        <w:t xml:space="preserve"> neurons (n = 6 sections from 3 mice, </w:t>
      </w:r>
      <w:r>
        <w:rPr>
          <w:rFonts w:cs="Times New Roman"/>
          <w:i/>
          <w:iCs/>
          <w:color w:val="000000"/>
          <w:lang w:bidi="ar"/>
        </w:rPr>
        <w:t>t</w:t>
      </w:r>
      <w:r>
        <w:rPr>
          <w:rFonts w:cs="Times New Roman"/>
          <w:color w:val="000000"/>
          <w:lang w:bidi="ar"/>
        </w:rPr>
        <w:t xml:space="preserve">-test). Data are presented as mean ± SEM. </w:t>
      </w:r>
      <w:r>
        <w:rPr>
          <w:rFonts w:cs="Times New Roman"/>
          <w:i/>
          <w:color w:val="000000"/>
          <w:vertAlign w:val="superscript"/>
          <w:lang w:bidi="ar"/>
        </w:rPr>
        <w:t>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0.05,</w:t>
      </w:r>
      <w:r>
        <w:rPr>
          <w:rFonts w:cs="Times New Roman"/>
          <w:i/>
          <w:color w:val="000000"/>
          <w:lang w:bidi="ar"/>
        </w:rPr>
        <w:t xml:space="preserve"> </w:t>
      </w:r>
      <w:r>
        <w:rPr>
          <w:rFonts w:cs="Times New Roman"/>
          <w:i/>
          <w:color w:val="000000"/>
          <w:vertAlign w:val="superscript"/>
          <w:lang w:bidi="ar"/>
        </w:rPr>
        <w:t>**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0.01,</w:t>
      </w:r>
      <w:r>
        <w:rPr>
          <w:rFonts w:cs="Times New Roman"/>
          <w:color w:val="000000"/>
          <w:lang w:bidi="ar"/>
        </w:rPr>
        <w:t xml:space="preserve"> ns, not significant.</w:t>
      </w:r>
    </w:p>
    <w:p w14:paraId="3A1E927F" w14:textId="77777777" w:rsidR="00EE4BB9" w:rsidRDefault="00000000">
      <w:pPr>
        <w:ind w:firstLineChars="0" w:firstLine="0"/>
        <w:rPr>
          <w:b/>
          <w:bCs/>
          <w:color w:val="000000"/>
        </w:rPr>
      </w:pPr>
      <w:r>
        <w:rPr>
          <w:rFonts w:cs="Times New Roman"/>
          <w:b/>
          <w:bCs/>
          <w:color w:val="000000"/>
          <w:lang w:bidi="ar"/>
        </w:rPr>
        <w:lastRenderedPageBreak/>
        <w:fldChar w:fldCharType="begin"/>
      </w:r>
      <w:r>
        <w:rPr>
          <w:rFonts w:cs="Times New Roman"/>
          <w:b/>
          <w:bCs/>
          <w:color w:val="000000"/>
          <w:lang w:bidi="ar"/>
        </w:rPr>
        <w:instrText xml:space="preserve"> ADDIN </w:instrText>
      </w:r>
      <w:r>
        <w:rPr>
          <w:rFonts w:cs="Times New Roman"/>
          <w:b/>
          <w:bCs/>
          <w:color w:val="000000"/>
          <w:lang w:bidi="ar"/>
        </w:rPr>
        <w:fldChar w:fldCharType="end"/>
      </w:r>
      <w:r>
        <w:rPr>
          <w:rFonts w:cs="Times New Roman"/>
          <w:b/>
          <w:bCs/>
          <w:color w:val="000000"/>
          <w:lang w:bidi="ar"/>
        </w:rPr>
        <w:t>Supplementary Fig S6. TIA1</w:t>
      </w:r>
      <w:r>
        <w:rPr>
          <w:rFonts w:cs="Times New Roman"/>
          <w:b/>
          <w:bCs/>
          <w:color w:val="000000"/>
          <w:vertAlign w:val="superscript"/>
          <w:lang w:bidi="ar"/>
        </w:rPr>
        <w:t>CaMKIIα</w:t>
      </w:r>
      <w:r>
        <w:rPr>
          <w:rFonts w:cs="Times New Roman"/>
          <w:b/>
          <w:bCs/>
          <w:color w:val="000000"/>
          <w:lang w:bidi="ar"/>
        </w:rPr>
        <w:t>-CKO mice do not exhibit anxiety-like behaviors or locomotor deficits after LPS or CUMS induction.</w:t>
      </w:r>
    </w:p>
    <w:p w14:paraId="41E6F4F8" w14:textId="77777777" w:rsidR="00EE4BB9" w:rsidRDefault="00000000">
      <w:pPr>
        <w:ind w:firstLineChars="0" w:firstLine="0"/>
        <w:rPr>
          <w:color w:val="000000"/>
        </w:rPr>
      </w:pPr>
      <w:r>
        <w:rPr>
          <w:rFonts w:cs="Times New Roman"/>
          <w:color w:val="000000"/>
          <w:lang w:bidi="ar"/>
        </w:rPr>
        <w:t>(</w:t>
      </w:r>
      <w:r>
        <w:rPr>
          <w:rFonts w:cs="Times New Roman"/>
          <w:b/>
          <w:bCs/>
          <w:color w:val="000000"/>
          <w:lang w:bidi="ar"/>
        </w:rPr>
        <w:t>A</w:t>
      </w:r>
      <w:r>
        <w:rPr>
          <w:rFonts w:cs="Times New Roman"/>
          <w:color w:val="000000"/>
          <w:lang w:bidi="ar"/>
        </w:rPr>
        <w:t>) Representative locomotor tracks from the open field test in Ctrl and LPS-induced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 xml:space="preserve">-CKO mice. </w:t>
      </w:r>
      <w:r>
        <w:rPr>
          <w:rFonts w:cs="Times New Roman"/>
          <w:b/>
          <w:bCs/>
          <w:color w:val="000000"/>
          <w:lang w:bidi="ar"/>
        </w:rPr>
        <w:t>(B-D)</w:t>
      </w:r>
      <w:r>
        <w:rPr>
          <w:rFonts w:cs="Times New Roman"/>
          <w:color w:val="000000"/>
          <w:lang w:bidi="ar"/>
        </w:rPr>
        <w:t xml:space="preserve"> Quantitative analysis of total distance traveled </w:t>
      </w:r>
      <w:r>
        <w:rPr>
          <w:rFonts w:cs="Times New Roman"/>
          <w:b/>
          <w:bCs/>
          <w:color w:val="000000"/>
          <w:lang w:bidi="ar"/>
        </w:rPr>
        <w:t>(B)</w:t>
      </w:r>
      <w:r>
        <w:rPr>
          <w:rFonts w:cs="Times New Roman"/>
          <w:color w:val="000000"/>
          <w:lang w:bidi="ar"/>
        </w:rPr>
        <w:t xml:space="preserve">, distance traveled in the center zone </w:t>
      </w:r>
      <w:r>
        <w:rPr>
          <w:rFonts w:cs="Times New Roman"/>
          <w:b/>
          <w:bCs/>
          <w:color w:val="000000"/>
          <w:lang w:bidi="ar"/>
        </w:rPr>
        <w:t>(C)</w:t>
      </w:r>
      <w:r>
        <w:rPr>
          <w:rFonts w:cs="Times New Roman"/>
          <w:color w:val="000000"/>
          <w:lang w:bidi="ar"/>
        </w:rPr>
        <w:t xml:space="preserve">, and time spent in the center zone </w:t>
      </w:r>
      <w:r>
        <w:rPr>
          <w:rFonts w:cs="Times New Roman"/>
          <w:b/>
          <w:bCs/>
          <w:color w:val="000000"/>
          <w:lang w:bidi="ar"/>
        </w:rPr>
        <w:t xml:space="preserve">(D) </w:t>
      </w:r>
      <w:r>
        <w:rPr>
          <w:rFonts w:cs="Times New Roman"/>
          <w:color w:val="000000"/>
          <w:lang w:bidi="ar"/>
        </w:rPr>
        <w:t>during the OFT in Ctrl and LPS-induced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 xml:space="preserve">-CKO mice </w:t>
      </w:r>
      <w:r>
        <w:rPr>
          <w:rFonts w:cs="Times New Roman"/>
          <w:bCs/>
          <w:color w:val="000000"/>
          <w:lang w:bidi="ar"/>
        </w:rPr>
        <w:t>(n = 7 mice per group</w:t>
      </w:r>
      <w:r>
        <w:rPr>
          <w:rFonts w:cs="Times New Roman"/>
          <w:color w:val="000000"/>
          <w:lang w:bidi="ar"/>
        </w:rPr>
        <w:t>, two-way ANOVA</w:t>
      </w:r>
      <w:r>
        <w:rPr>
          <w:rFonts w:cs="Times New Roman"/>
          <w:bCs/>
          <w:color w:val="000000"/>
          <w:lang w:bidi="ar"/>
        </w:rPr>
        <w:t>)</w:t>
      </w:r>
      <w:r>
        <w:rPr>
          <w:rFonts w:cs="Times New Roman"/>
          <w:color w:val="000000"/>
          <w:lang w:bidi="ar"/>
        </w:rPr>
        <w:t>.</w:t>
      </w:r>
      <w:r>
        <w:rPr>
          <w:rFonts w:cs="Times New Roman"/>
          <w:b/>
          <w:bCs/>
          <w:color w:val="000000"/>
          <w:lang w:bidi="ar"/>
        </w:rPr>
        <w:t xml:space="preserve"> (E) </w:t>
      </w:r>
      <w:r>
        <w:rPr>
          <w:rFonts w:cs="Times New Roman"/>
          <w:color w:val="000000"/>
          <w:lang w:bidi="ar"/>
        </w:rPr>
        <w:t>Representative tracks of the EPM test in Ctrl and LPS-induced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>-CKO mice.</w:t>
      </w:r>
      <w:r>
        <w:rPr>
          <w:rFonts w:cs="Times New Roman"/>
          <w:b/>
          <w:bCs/>
          <w:color w:val="000000"/>
          <w:lang w:bidi="ar"/>
        </w:rPr>
        <w:t xml:space="preserve"> (F-H) </w:t>
      </w:r>
      <w:r>
        <w:rPr>
          <w:rFonts w:cs="Times New Roman"/>
          <w:color w:val="000000"/>
          <w:lang w:bidi="ar"/>
        </w:rPr>
        <w:t xml:space="preserve">Quantitative analysis of time spent in the open arm </w:t>
      </w:r>
      <w:r>
        <w:rPr>
          <w:rFonts w:cs="Times New Roman"/>
          <w:b/>
          <w:bCs/>
          <w:color w:val="000000"/>
          <w:lang w:bidi="ar"/>
        </w:rPr>
        <w:t>(F)</w:t>
      </w:r>
      <w:r>
        <w:rPr>
          <w:rFonts w:cs="Times New Roman"/>
          <w:color w:val="000000"/>
          <w:lang w:bidi="ar"/>
        </w:rPr>
        <w:t xml:space="preserve">, number of open-arm entries </w:t>
      </w:r>
      <w:r>
        <w:rPr>
          <w:rFonts w:cs="Times New Roman"/>
          <w:b/>
          <w:bCs/>
          <w:color w:val="000000"/>
          <w:lang w:bidi="ar"/>
        </w:rPr>
        <w:t>(G)</w:t>
      </w:r>
      <w:r>
        <w:rPr>
          <w:rFonts w:cs="Times New Roman"/>
          <w:color w:val="000000"/>
          <w:lang w:bidi="ar"/>
        </w:rPr>
        <w:t xml:space="preserve">, and total arm entries </w:t>
      </w:r>
      <w:r>
        <w:rPr>
          <w:rFonts w:cs="Times New Roman"/>
          <w:b/>
          <w:bCs/>
          <w:color w:val="000000"/>
          <w:lang w:bidi="ar"/>
        </w:rPr>
        <w:t xml:space="preserve">(H) </w:t>
      </w:r>
      <w:r>
        <w:rPr>
          <w:rFonts w:cs="Times New Roman"/>
          <w:color w:val="000000"/>
          <w:lang w:bidi="ar"/>
        </w:rPr>
        <w:t xml:space="preserve">in the EPM test across groups </w:t>
      </w:r>
      <w:r>
        <w:rPr>
          <w:rFonts w:cs="Times New Roman"/>
          <w:bCs/>
          <w:color w:val="000000"/>
          <w:lang w:bidi="ar"/>
        </w:rPr>
        <w:t>(n = 7 mice per group</w:t>
      </w:r>
      <w:r>
        <w:rPr>
          <w:rFonts w:cs="Times New Roman"/>
          <w:color w:val="000000"/>
          <w:lang w:bidi="ar"/>
        </w:rPr>
        <w:t>, two-way ANOVA</w:t>
      </w:r>
      <w:r>
        <w:rPr>
          <w:rFonts w:cs="Times New Roman"/>
          <w:bCs/>
          <w:color w:val="000000"/>
          <w:lang w:bidi="ar"/>
        </w:rPr>
        <w:t xml:space="preserve">). </w:t>
      </w:r>
      <w:r>
        <w:rPr>
          <w:rFonts w:cs="Times New Roman"/>
          <w:color w:val="000000"/>
          <w:lang w:bidi="ar"/>
        </w:rPr>
        <w:t>(</w:t>
      </w:r>
      <w:r>
        <w:rPr>
          <w:rFonts w:cs="Times New Roman"/>
          <w:b/>
          <w:bCs/>
          <w:color w:val="000000"/>
          <w:lang w:bidi="ar"/>
        </w:rPr>
        <w:t>I</w:t>
      </w:r>
      <w:r>
        <w:rPr>
          <w:rFonts w:cs="Times New Roman"/>
          <w:color w:val="000000"/>
          <w:lang w:bidi="ar"/>
        </w:rPr>
        <w:t>) Representative tracks in the OFT in Ctrl and CUMS-induced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 xml:space="preserve">-CKO mice. </w:t>
      </w:r>
      <w:r>
        <w:rPr>
          <w:rFonts w:cs="Times New Roman"/>
          <w:b/>
          <w:bCs/>
          <w:color w:val="000000"/>
          <w:lang w:bidi="ar"/>
        </w:rPr>
        <w:t xml:space="preserve">(J-L) </w:t>
      </w:r>
      <w:r>
        <w:rPr>
          <w:rFonts w:cs="Times New Roman"/>
          <w:color w:val="000000"/>
          <w:lang w:bidi="ar"/>
        </w:rPr>
        <w:t xml:space="preserve">Quantitative analysis of the total distance traveled </w:t>
      </w:r>
      <w:r>
        <w:rPr>
          <w:rFonts w:cs="Times New Roman"/>
          <w:b/>
          <w:bCs/>
          <w:color w:val="000000"/>
          <w:lang w:bidi="ar"/>
        </w:rPr>
        <w:t>(J)</w:t>
      </w:r>
      <w:r>
        <w:rPr>
          <w:rFonts w:cs="Times New Roman"/>
          <w:color w:val="000000"/>
          <w:lang w:bidi="ar"/>
        </w:rPr>
        <w:t xml:space="preserve">, distance traveled in the center zone </w:t>
      </w:r>
      <w:r>
        <w:rPr>
          <w:rFonts w:cs="Times New Roman"/>
          <w:b/>
          <w:bCs/>
          <w:color w:val="000000"/>
          <w:lang w:bidi="ar"/>
        </w:rPr>
        <w:t>(K)</w:t>
      </w:r>
      <w:r>
        <w:rPr>
          <w:rFonts w:cs="Times New Roman"/>
          <w:color w:val="000000"/>
          <w:lang w:bidi="ar"/>
        </w:rPr>
        <w:t>, and time spent in the center zone (</w:t>
      </w:r>
      <w:r>
        <w:rPr>
          <w:rFonts w:cs="Times New Roman"/>
          <w:b/>
          <w:color w:val="000000"/>
          <w:lang w:bidi="ar"/>
        </w:rPr>
        <w:t>L)</w:t>
      </w:r>
      <w:r>
        <w:rPr>
          <w:rFonts w:cs="Times New Roman"/>
          <w:color w:val="000000"/>
          <w:lang w:bidi="ar"/>
        </w:rPr>
        <w:t xml:space="preserve"> during the OFT performed in Ctrl and CUMS-induced mice (</w:t>
      </w:r>
      <w:r>
        <w:rPr>
          <w:rFonts w:cs="Times New Roman"/>
          <w:bCs/>
          <w:color w:val="000000"/>
          <w:lang w:bidi="ar"/>
        </w:rPr>
        <w:t>n = 7 mice per group</w:t>
      </w:r>
      <w:r>
        <w:rPr>
          <w:rFonts w:cs="Times New Roman"/>
          <w:color w:val="000000"/>
          <w:lang w:bidi="ar"/>
        </w:rPr>
        <w:t>, two-way ANOVA). (</w:t>
      </w:r>
      <w:r>
        <w:rPr>
          <w:rFonts w:cs="Times New Roman"/>
          <w:b/>
          <w:bCs/>
          <w:color w:val="000000"/>
          <w:lang w:bidi="ar"/>
        </w:rPr>
        <w:t>M</w:t>
      </w:r>
      <w:r>
        <w:rPr>
          <w:rFonts w:cs="Times New Roman"/>
          <w:color w:val="000000"/>
          <w:lang w:bidi="ar"/>
        </w:rPr>
        <w:t>) Representative tracks from the EPM in Ctrl and CUMS-induced mice.</w:t>
      </w:r>
      <w:r>
        <w:rPr>
          <w:rFonts w:cs="Times New Roman"/>
          <w:b/>
          <w:bCs/>
          <w:color w:val="000000"/>
          <w:lang w:bidi="ar"/>
        </w:rPr>
        <w:t xml:space="preserve"> (N-P)</w:t>
      </w:r>
      <w:r>
        <w:rPr>
          <w:rFonts w:cs="Times New Roman"/>
          <w:color w:val="000000"/>
          <w:lang w:bidi="ar"/>
        </w:rPr>
        <w:t xml:space="preserve"> Quantitative analysis of the time spent in the open arm </w:t>
      </w:r>
      <w:r>
        <w:rPr>
          <w:rFonts w:cs="Times New Roman"/>
          <w:b/>
          <w:bCs/>
          <w:color w:val="000000"/>
          <w:lang w:bidi="ar"/>
        </w:rPr>
        <w:t>(N)</w:t>
      </w:r>
      <w:r>
        <w:rPr>
          <w:rFonts w:cs="Times New Roman"/>
          <w:color w:val="000000"/>
          <w:lang w:bidi="ar"/>
        </w:rPr>
        <w:t xml:space="preserve">, number of open-arm entries </w:t>
      </w:r>
      <w:r>
        <w:rPr>
          <w:rFonts w:cs="Times New Roman"/>
          <w:b/>
          <w:bCs/>
          <w:color w:val="000000"/>
          <w:lang w:bidi="ar"/>
        </w:rPr>
        <w:t>(O)</w:t>
      </w:r>
      <w:r>
        <w:rPr>
          <w:rFonts w:cs="Times New Roman"/>
          <w:color w:val="000000"/>
          <w:lang w:bidi="ar"/>
        </w:rPr>
        <w:t>, and the total arm entries</w:t>
      </w:r>
      <w:r>
        <w:rPr>
          <w:rFonts w:cs="Times New Roman"/>
          <w:b/>
          <w:bCs/>
          <w:color w:val="000000"/>
          <w:lang w:bidi="ar"/>
        </w:rPr>
        <w:t xml:space="preserve"> (P) </w:t>
      </w:r>
      <w:r>
        <w:rPr>
          <w:rFonts w:cs="Times New Roman"/>
          <w:color w:val="000000"/>
          <w:lang w:bidi="ar"/>
        </w:rPr>
        <w:t>in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>-CKO mice following CUMS induction (</w:t>
      </w:r>
      <w:r>
        <w:rPr>
          <w:rFonts w:cs="Times New Roman"/>
          <w:bCs/>
          <w:color w:val="000000"/>
          <w:lang w:bidi="ar"/>
        </w:rPr>
        <w:t>n = 7 mice per group</w:t>
      </w:r>
      <w:r>
        <w:rPr>
          <w:rFonts w:cs="Times New Roman"/>
          <w:color w:val="000000"/>
          <w:lang w:bidi="ar"/>
        </w:rPr>
        <w:t xml:space="preserve">, two-way ANOVA). Data are presented as mean ± SEM. </w:t>
      </w:r>
      <w:r>
        <w:rPr>
          <w:rFonts w:cs="Times New Roman"/>
          <w:i/>
          <w:color w:val="000000"/>
          <w:vertAlign w:val="superscript"/>
          <w:lang w:bidi="ar"/>
        </w:rPr>
        <w:t>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0.05,</w:t>
      </w:r>
      <w:r>
        <w:rPr>
          <w:rFonts w:cs="Times New Roman"/>
          <w:i/>
          <w:color w:val="000000"/>
          <w:lang w:bidi="ar"/>
        </w:rPr>
        <w:t xml:space="preserve"> </w:t>
      </w:r>
      <w:r>
        <w:rPr>
          <w:rFonts w:cs="Times New Roman"/>
          <w:i/>
          <w:color w:val="000000"/>
          <w:vertAlign w:val="superscript"/>
          <w:lang w:bidi="ar"/>
        </w:rPr>
        <w:t>**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0.01,</w:t>
      </w:r>
      <w:r>
        <w:rPr>
          <w:rFonts w:cs="Times New Roman"/>
          <w:color w:val="000000"/>
          <w:lang w:bidi="ar"/>
        </w:rPr>
        <w:t xml:space="preserve"> ns, not significant.</w:t>
      </w:r>
    </w:p>
    <w:p w14:paraId="545097F9" w14:textId="77777777" w:rsidR="00EE4BB9" w:rsidRDefault="00EE4BB9">
      <w:pPr>
        <w:ind w:firstLineChars="0" w:firstLine="0"/>
        <w:rPr>
          <w:rFonts w:cs="Times New Roman"/>
          <w:color w:val="000000"/>
        </w:rPr>
      </w:pPr>
    </w:p>
    <w:p w14:paraId="32E3090B" w14:textId="77777777" w:rsidR="00EE4BB9" w:rsidRDefault="00000000">
      <w:pPr>
        <w:ind w:firstLineChars="0" w:firstLine="0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  <w:lang w:bidi="ar"/>
        </w:rPr>
        <w:t>Supplementary Fig S7. TIA1 deficiency modulates excitatory</w:t>
      </w:r>
      <w:r>
        <w:rPr>
          <w:rFonts w:cs="Times New Roman"/>
          <w:b/>
          <w:bCs/>
          <w:color w:val="000000"/>
          <w:lang w:bidi="ar"/>
        </w:rPr>
        <w:noBreakHyphen/>
        <w:t>inhibitory balance in vCA1 CaMKIIα</w:t>
      </w:r>
      <w:r>
        <w:rPr>
          <w:rFonts w:cs="Times New Roman"/>
          <w:b/>
          <w:bCs/>
          <w:color w:val="000000"/>
          <w:vertAlign w:val="superscript"/>
          <w:lang w:bidi="ar"/>
        </w:rPr>
        <w:t>+</w:t>
      </w:r>
      <w:r>
        <w:rPr>
          <w:rFonts w:cs="Times New Roman"/>
          <w:b/>
          <w:bCs/>
          <w:color w:val="000000"/>
          <w:lang w:bidi="ar"/>
        </w:rPr>
        <w:t xml:space="preserve"> neurons following LPS treatment.</w:t>
      </w:r>
    </w:p>
    <w:p w14:paraId="4ADEBFD1" w14:textId="77777777" w:rsidR="00EE4BB9" w:rsidRDefault="00000000">
      <w:pPr>
        <w:ind w:firstLineChars="0" w:firstLine="0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  <w:lang w:bidi="ar"/>
        </w:rPr>
        <w:t>(A, B)</w:t>
      </w:r>
      <w:r>
        <w:rPr>
          <w:rFonts w:cs="Times New Roman"/>
          <w:color w:val="000000"/>
          <w:lang w:bidi="ar"/>
        </w:rPr>
        <w:t xml:space="preserve"> Representative traces of spontaneous EPSCs </w:t>
      </w:r>
      <w:r>
        <w:rPr>
          <w:rFonts w:cs="Times New Roman"/>
          <w:b/>
          <w:bCs/>
          <w:color w:val="000000"/>
          <w:lang w:bidi="ar"/>
        </w:rPr>
        <w:t>(A)</w:t>
      </w:r>
      <w:r>
        <w:rPr>
          <w:rFonts w:cs="Times New Roman"/>
          <w:color w:val="000000"/>
          <w:lang w:bidi="ar"/>
        </w:rPr>
        <w:t xml:space="preserve"> and IPSCs </w:t>
      </w:r>
      <w:r>
        <w:rPr>
          <w:rFonts w:cs="Times New Roman"/>
          <w:b/>
          <w:bCs/>
          <w:color w:val="000000"/>
          <w:lang w:bidi="ar"/>
        </w:rPr>
        <w:t>(B)</w:t>
      </w:r>
      <w:r>
        <w:rPr>
          <w:rFonts w:cs="Times New Roman"/>
          <w:color w:val="000000"/>
          <w:lang w:bidi="ar"/>
        </w:rPr>
        <w:t xml:space="preserve"> recorded from vCA1 neurons. Scale bars represent 10 </w:t>
      </w:r>
      <w:proofErr w:type="spellStart"/>
      <w:r>
        <w:rPr>
          <w:rFonts w:cs="Times New Roman"/>
          <w:color w:val="000000"/>
          <w:lang w:bidi="ar"/>
        </w:rPr>
        <w:t>pA</w:t>
      </w:r>
      <w:proofErr w:type="spellEnd"/>
      <w:r>
        <w:rPr>
          <w:rFonts w:cs="Times New Roman"/>
          <w:color w:val="000000"/>
          <w:lang w:bidi="ar"/>
        </w:rPr>
        <w:t xml:space="preserve"> and 1 s in</w:t>
      </w:r>
      <w:r>
        <w:rPr>
          <w:rFonts w:cs="Times New Roman"/>
          <w:b/>
          <w:bCs/>
          <w:color w:val="000000"/>
          <w:lang w:bidi="ar"/>
        </w:rPr>
        <w:t xml:space="preserve"> (A)</w:t>
      </w:r>
      <w:r>
        <w:rPr>
          <w:rFonts w:cs="Times New Roman"/>
          <w:color w:val="000000"/>
          <w:lang w:bidi="ar"/>
        </w:rPr>
        <w:t xml:space="preserve">, and 20 </w:t>
      </w:r>
      <w:proofErr w:type="spellStart"/>
      <w:r>
        <w:rPr>
          <w:rFonts w:cs="Times New Roman"/>
          <w:color w:val="000000"/>
          <w:lang w:bidi="ar"/>
        </w:rPr>
        <w:t>pA</w:t>
      </w:r>
      <w:proofErr w:type="spellEnd"/>
      <w:r>
        <w:rPr>
          <w:rFonts w:cs="Times New Roman"/>
          <w:color w:val="000000"/>
          <w:lang w:bidi="ar"/>
        </w:rPr>
        <w:t xml:space="preserve"> and 0.5 s in </w:t>
      </w:r>
      <w:r>
        <w:rPr>
          <w:rFonts w:cs="Times New Roman"/>
          <w:b/>
          <w:bCs/>
          <w:color w:val="000000"/>
          <w:lang w:bidi="ar"/>
        </w:rPr>
        <w:t>(B)</w:t>
      </w:r>
      <w:r>
        <w:rPr>
          <w:rFonts w:cs="Times New Roman"/>
          <w:color w:val="000000"/>
          <w:lang w:bidi="ar"/>
        </w:rPr>
        <w:t xml:space="preserve">. </w:t>
      </w:r>
      <w:r>
        <w:rPr>
          <w:rFonts w:cs="Times New Roman"/>
          <w:b/>
          <w:bCs/>
          <w:color w:val="000000"/>
          <w:lang w:bidi="ar"/>
        </w:rPr>
        <w:t>(C)</w:t>
      </w:r>
      <w:r>
        <w:rPr>
          <w:rFonts w:cs="Times New Roman"/>
          <w:color w:val="000000"/>
          <w:lang w:bidi="ar"/>
        </w:rPr>
        <w:t xml:space="preserve"> Quantification of EPSC frequency. </w:t>
      </w:r>
      <w:r>
        <w:rPr>
          <w:rFonts w:cs="Times New Roman"/>
          <w:b/>
          <w:bCs/>
          <w:color w:val="000000"/>
          <w:lang w:bidi="ar"/>
        </w:rPr>
        <w:t>(D)</w:t>
      </w:r>
      <w:r>
        <w:rPr>
          <w:rFonts w:cs="Times New Roman"/>
          <w:color w:val="000000"/>
          <w:lang w:bidi="ar"/>
        </w:rPr>
        <w:t xml:space="preserve"> Quantification of IPSC frequency.</w:t>
      </w:r>
      <w:r>
        <w:rPr>
          <w:rFonts w:cs="Times New Roman"/>
          <w:b/>
          <w:bCs/>
          <w:color w:val="000000"/>
          <w:lang w:bidi="ar"/>
        </w:rPr>
        <w:t xml:space="preserve"> (E)</w:t>
      </w:r>
      <w:r>
        <w:rPr>
          <w:rFonts w:cs="Times New Roman"/>
          <w:color w:val="000000"/>
          <w:lang w:bidi="ar"/>
        </w:rPr>
        <w:t xml:space="preserve"> EPSC/IPSC frequency ratio calculated from individual recorded neurons. (n = 20 neurons/3 mice for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group, n = 20 neurons/3 mice for 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>-CKO group, n = 16 neurons/3 mice for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>-LPS group, n = 17 neurons/3 mice for 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>-</w:t>
      </w:r>
      <w:r>
        <w:rPr>
          <w:rFonts w:cs="Times New Roman"/>
          <w:color w:val="000000"/>
          <w:lang w:bidi="ar"/>
        </w:rPr>
        <w:lastRenderedPageBreak/>
        <w:t xml:space="preserve">CKO-LPS group, two-way ANOVA). Data are presented as mean ± SEM. </w:t>
      </w:r>
      <w:r>
        <w:rPr>
          <w:rFonts w:cs="Times New Roman"/>
          <w:i/>
          <w:color w:val="000000"/>
          <w:vertAlign w:val="superscript"/>
          <w:lang w:bidi="ar"/>
        </w:rPr>
        <w:t>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0.05,</w:t>
      </w:r>
      <w:r>
        <w:rPr>
          <w:rFonts w:cs="Times New Roman"/>
          <w:i/>
          <w:color w:val="000000"/>
          <w:lang w:bidi="ar"/>
        </w:rPr>
        <w:t xml:space="preserve"> </w:t>
      </w:r>
      <w:r>
        <w:rPr>
          <w:rFonts w:cs="Times New Roman"/>
          <w:i/>
          <w:color w:val="000000"/>
          <w:vertAlign w:val="superscript"/>
          <w:lang w:bidi="ar"/>
        </w:rPr>
        <w:t>**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0.01,</w:t>
      </w:r>
      <w:r>
        <w:rPr>
          <w:rFonts w:cs="Times New Roman"/>
          <w:color w:val="000000"/>
          <w:lang w:bidi="ar"/>
        </w:rPr>
        <w:t xml:space="preserve"> ns, not significant.</w:t>
      </w:r>
    </w:p>
    <w:p w14:paraId="5E718014" w14:textId="77777777" w:rsidR="00EE4BB9" w:rsidRDefault="00EE4BB9">
      <w:pPr>
        <w:ind w:firstLineChars="0" w:firstLine="0"/>
        <w:rPr>
          <w:rFonts w:cs="Times New Roman"/>
          <w:color w:val="000000"/>
        </w:rPr>
      </w:pPr>
    </w:p>
    <w:p w14:paraId="434B6039" w14:textId="2592E0F7" w:rsidR="00EE4BB9" w:rsidRDefault="00000000">
      <w:pPr>
        <w:ind w:firstLineChars="0" w:firstLine="0"/>
        <w:rPr>
          <w:b/>
          <w:bCs/>
          <w:color w:val="000000"/>
        </w:rPr>
      </w:pPr>
      <w:r>
        <w:rPr>
          <w:rFonts w:cs="Times New Roman"/>
          <w:b/>
          <w:bCs/>
          <w:color w:val="000000"/>
          <w:lang w:bidi="ar"/>
        </w:rPr>
        <w:t xml:space="preserve">Supplementary Fig S8. </w:t>
      </w:r>
      <w:r w:rsidR="005C12AB" w:rsidRPr="005C12AB">
        <w:rPr>
          <w:rFonts w:cs="Times New Roman"/>
          <w:b/>
          <w:bCs/>
          <w:color w:val="000000"/>
          <w:lang w:bidi="ar"/>
        </w:rPr>
        <w:t>vCA1 neuronal calcium activity is reduced in TIA1CaMKIIα-CKO mice following LPS treatment</w:t>
      </w:r>
      <w:r>
        <w:rPr>
          <w:rFonts w:cs="Times New Roman"/>
          <w:b/>
          <w:bCs/>
          <w:color w:val="000000"/>
          <w:lang w:bidi="ar"/>
        </w:rPr>
        <w:t>.</w:t>
      </w:r>
    </w:p>
    <w:p w14:paraId="3DB74632" w14:textId="77777777" w:rsidR="00EE4BB9" w:rsidRDefault="00000000">
      <w:pPr>
        <w:ind w:firstLineChars="0" w:firstLine="0"/>
        <w:rPr>
          <w:color w:val="000000"/>
        </w:rPr>
      </w:pPr>
      <w:r>
        <w:rPr>
          <w:rFonts w:cs="Times New Roman"/>
          <w:b/>
          <w:bCs/>
          <w:color w:val="000000"/>
          <w:lang w:bidi="ar"/>
        </w:rPr>
        <w:t>(A)</w:t>
      </w:r>
      <w:r>
        <w:rPr>
          <w:rFonts w:cs="Times New Roman"/>
          <w:color w:val="000000"/>
          <w:lang w:bidi="ar"/>
        </w:rPr>
        <w:t xml:space="preserve"> Schematic timeline of fiber photometry recording combined with TST assay in LPS-induced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 xml:space="preserve">-CKO mice virally expressing GCaMP6s calcium indicator. </w:t>
      </w:r>
      <w:r>
        <w:rPr>
          <w:rFonts w:cs="Times New Roman"/>
          <w:b/>
          <w:bCs/>
          <w:color w:val="000000"/>
          <w:lang w:bidi="ar"/>
        </w:rPr>
        <w:t xml:space="preserve">(B) </w:t>
      </w:r>
      <w:r>
        <w:rPr>
          <w:rFonts w:cs="Times New Roman"/>
          <w:color w:val="000000"/>
          <w:lang w:bidi="ar"/>
        </w:rPr>
        <w:t xml:space="preserve">Validation of AAV9-hSyn-GCaMP6s-P2A-nls-dTomato viral delivery in the vCA1 region. Scale bars: 1 mm (left panels), 100 µm (right panels). </w:t>
      </w:r>
      <w:r>
        <w:rPr>
          <w:rFonts w:cs="Times New Roman"/>
          <w:b/>
          <w:bCs/>
          <w:color w:val="000000"/>
          <w:lang w:bidi="ar"/>
        </w:rPr>
        <w:t>(C)</w:t>
      </w:r>
      <w:r>
        <w:rPr>
          <w:rFonts w:cs="Times New Roman"/>
          <w:color w:val="000000"/>
          <w:lang w:bidi="ar"/>
        </w:rPr>
        <w:t xml:space="preserve"> Representative trial-averaged heatmaps of GCaMP6s Ca²⁺ fluorescence responses during the TST immobility for LPS-treated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 xml:space="preserve">-CKO mice. </w:t>
      </w:r>
      <w:r>
        <w:rPr>
          <w:rFonts w:cs="Times New Roman"/>
          <w:b/>
          <w:bCs/>
          <w:color w:val="000000"/>
          <w:lang w:bidi="ar"/>
        </w:rPr>
        <w:t>(D)</w:t>
      </w:r>
      <w:r>
        <w:rPr>
          <w:rFonts w:cs="Times New Roman"/>
          <w:color w:val="000000"/>
          <w:lang w:bidi="ar"/>
        </w:rPr>
        <w:t xml:space="preserve"> Averaged Ca²⁺ signals (ΔF/F) during immobility in the TST in LPS-treated 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 xml:space="preserve"> and 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 xml:space="preserve">-CKO mice with GCaMP6s expression. </w:t>
      </w:r>
      <w:r>
        <w:rPr>
          <w:rFonts w:cs="Times New Roman"/>
          <w:b/>
          <w:bCs/>
          <w:color w:val="000000"/>
          <w:lang w:bidi="ar"/>
        </w:rPr>
        <w:t>(E)</w:t>
      </w:r>
      <w:r>
        <w:rPr>
          <w:rFonts w:cs="Times New Roman"/>
          <w:color w:val="000000"/>
          <w:lang w:bidi="ar"/>
        </w:rPr>
        <w:t xml:space="preserve"> Statistical analysis of ΔF/F in the GCaMP6s+TIA1</w:t>
      </w:r>
      <w:r>
        <w:rPr>
          <w:rFonts w:cs="Times New Roman"/>
          <w:color w:val="000000"/>
          <w:vertAlign w:val="superscript"/>
          <w:lang w:bidi="ar"/>
        </w:rPr>
        <w:t>f/f</w:t>
      </w:r>
      <w:r>
        <w:rPr>
          <w:rFonts w:cs="Times New Roman"/>
          <w:color w:val="000000"/>
          <w:lang w:bidi="ar"/>
        </w:rPr>
        <w:t>-LPS and GCaMP6s+TIA1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>-CKO-LPS groups (n = 3 mice per group,</w:t>
      </w:r>
      <w:r>
        <w:rPr>
          <w:rFonts w:cs="Times New Roman"/>
          <w:i/>
          <w:iCs/>
          <w:color w:val="000000"/>
          <w:lang w:bidi="ar"/>
        </w:rPr>
        <w:t xml:space="preserve"> t</w:t>
      </w:r>
      <w:r>
        <w:rPr>
          <w:rFonts w:cs="Times New Roman"/>
          <w:color w:val="000000"/>
          <w:lang w:bidi="ar"/>
        </w:rPr>
        <w:t xml:space="preserve">-test). Data are presented as mean ± SEM. </w:t>
      </w:r>
      <w:r>
        <w:rPr>
          <w:rFonts w:cs="Times New Roman"/>
          <w:i/>
          <w:color w:val="000000"/>
          <w:vertAlign w:val="superscript"/>
          <w:lang w:bidi="ar"/>
        </w:rPr>
        <w:t>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0.05,</w:t>
      </w:r>
      <w:r>
        <w:rPr>
          <w:rFonts w:cs="Times New Roman"/>
          <w:i/>
          <w:color w:val="000000"/>
          <w:lang w:bidi="ar"/>
        </w:rPr>
        <w:t xml:space="preserve"> </w:t>
      </w:r>
      <w:r>
        <w:rPr>
          <w:rFonts w:cs="Times New Roman"/>
          <w:i/>
          <w:color w:val="000000"/>
          <w:vertAlign w:val="superscript"/>
          <w:lang w:bidi="ar"/>
        </w:rPr>
        <w:t>**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0.01,</w:t>
      </w:r>
      <w:r>
        <w:rPr>
          <w:rFonts w:cs="Times New Roman"/>
          <w:color w:val="000000"/>
          <w:lang w:bidi="ar"/>
        </w:rPr>
        <w:t xml:space="preserve"> ns, not significant.</w:t>
      </w:r>
    </w:p>
    <w:p w14:paraId="3B0CBDB0" w14:textId="77777777" w:rsidR="00EE4BB9" w:rsidRDefault="00EE4BB9">
      <w:pPr>
        <w:ind w:firstLineChars="0" w:firstLine="0"/>
        <w:rPr>
          <w:rFonts w:cs="Times New Roman"/>
          <w:color w:val="000000"/>
        </w:rPr>
      </w:pPr>
    </w:p>
    <w:p w14:paraId="4824C56D" w14:textId="6CA9B745" w:rsidR="00CD1936" w:rsidRDefault="00CD1936" w:rsidP="00CD1936">
      <w:pPr>
        <w:autoSpaceDE w:val="0"/>
        <w:autoSpaceDN w:val="0"/>
        <w:adjustRightInd w:val="0"/>
        <w:ind w:firstLineChars="0" w:firstLine="0"/>
        <w:rPr>
          <w:rFonts w:cs="Times New Roman"/>
          <w:b/>
          <w:bCs/>
          <w:iCs/>
          <w:color w:val="000000" w:themeColor="text1"/>
        </w:rPr>
      </w:pPr>
      <w:r>
        <w:rPr>
          <w:rFonts w:cs="Times New Roman"/>
          <w:b/>
          <w:bCs/>
          <w:color w:val="000000"/>
          <w:lang w:bidi="ar"/>
        </w:rPr>
        <w:t>Supplementary Fig S9</w:t>
      </w:r>
      <w:r>
        <w:rPr>
          <w:rFonts w:cs="Times New Roman"/>
          <w:b/>
          <w:bCs/>
          <w:iCs/>
          <w:color w:val="000000" w:themeColor="text1"/>
        </w:rPr>
        <w:t>. The CaMKIIα</w:t>
      </w:r>
      <w:r>
        <w:rPr>
          <w:rFonts w:cs="Times New Roman"/>
          <w:b/>
          <w:bCs/>
          <w:iCs/>
          <w:color w:val="000000" w:themeColor="text1"/>
          <w:vertAlign w:val="superscript"/>
        </w:rPr>
        <w:t>+</w:t>
      </w:r>
      <w:r>
        <w:rPr>
          <w:rFonts w:cs="Times New Roman"/>
          <w:b/>
          <w:bCs/>
          <w:iCs/>
          <w:color w:val="000000" w:themeColor="text1"/>
        </w:rPr>
        <w:t xml:space="preserve"> neuronal but not astrocytic TIA1 in vCA1 prevent</w:t>
      </w:r>
      <w:r>
        <w:rPr>
          <w:rFonts w:cs="Times New Roman" w:hint="eastAsia"/>
          <w:b/>
          <w:bCs/>
          <w:iCs/>
          <w:color w:val="000000" w:themeColor="text1"/>
        </w:rPr>
        <w:t>s</w:t>
      </w:r>
      <w:r>
        <w:rPr>
          <w:rFonts w:cs="Times New Roman"/>
          <w:b/>
          <w:bCs/>
          <w:iCs/>
          <w:color w:val="000000" w:themeColor="text1"/>
        </w:rPr>
        <w:t xml:space="preserve"> the depressive-like behaviors in mice.</w:t>
      </w:r>
    </w:p>
    <w:p w14:paraId="45B6BDD0" w14:textId="77777777" w:rsidR="00CD1936" w:rsidRDefault="00CD1936" w:rsidP="00CD1936">
      <w:pPr>
        <w:autoSpaceDE w:val="0"/>
        <w:autoSpaceDN w:val="0"/>
        <w:adjustRightInd w:val="0"/>
        <w:ind w:firstLineChars="0" w:firstLine="0"/>
        <w:rPr>
          <w:rFonts w:cs="Times New Roman"/>
          <w:iCs/>
          <w:color w:val="000000" w:themeColor="text1"/>
        </w:rPr>
      </w:pPr>
      <w:r>
        <w:rPr>
          <w:rFonts w:cs="Times New Roman"/>
          <w:iCs/>
          <w:color w:val="000000" w:themeColor="text1"/>
        </w:rPr>
        <w:t>(</w:t>
      </w:r>
      <w:r>
        <w:rPr>
          <w:rFonts w:cs="Times New Roman"/>
          <w:b/>
          <w:bCs/>
          <w:iCs/>
          <w:color w:val="000000" w:themeColor="text1"/>
        </w:rPr>
        <w:t>A</w:t>
      </w:r>
      <w:r>
        <w:rPr>
          <w:rFonts w:cs="Times New Roman"/>
          <w:iCs/>
          <w:color w:val="000000" w:themeColor="text1"/>
        </w:rPr>
        <w:t>) Schematic illustration of the experimental design involving stereotaxic injection of AAV</w:t>
      </w:r>
      <w:r>
        <w:rPr>
          <w:rFonts w:cs="Times New Roman" w:hint="eastAsia"/>
          <w:iCs/>
          <w:color w:val="000000" w:themeColor="text1"/>
        </w:rPr>
        <w:t>9</w:t>
      </w:r>
      <w:r>
        <w:rPr>
          <w:rFonts w:cs="Times New Roman"/>
          <w:iCs/>
          <w:color w:val="000000" w:themeColor="text1"/>
        </w:rPr>
        <w:t>-CaMKIIα-</w:t>
      </w:r>
      <w:proofErr w:type="spellStart"/>
      <w:r>
        <w:rPr>
          <w:rFonts w:cs="Times New Roman" w:hint="eastAsia"/>
          <w:iCs/>
          <w:color w:val="000000" w:themeColor="text1"/>
        </w:rPr>
        <w:t>mCherry</w:t>
      </w:r>
      <w:proofErr w:type="spellEnd"/>
      <w:r>
        <w:rPr>
          <w:rFonts w:cs="Times New Roman" w:hint="eastAsia"/>
          <w:iCs/>
          <w:color w:val="000000" w:themeColor="text1"/>
        </w:rPr>
        <w:t>-</w:t>
      </w:r>
      <w:r>
        <w:rPr>
          <w:rFonts w:cs="Times New Roman"/>
          <w:iCs/>
          <w:color w:val="000000" w:themeColor="text1"/>
        </w:rPr>
        <w:t>Cre or AAV9-gfaABC1D-Cre into the vCA1 region. (</w:t>
      </w:r>
      <w:r>
        <w:rPr>
          <w:rFonts w:cs="Times New Roman"/>
          <w:b/>
          <w:bCs/>
          <w:iCs/>
          <w:color w:val="000000" w:themeColor="text1"/>
        </w:rPr>
        <w:t>B</w:t>
      </w:r>
      <w:r>
        <w:rPr>
          <w:rFonts w:cs="Times New Roman"/>
          <w:iCs/>
          <w:color w:val="000000" w:themeColor="text1"/>
        </w:rPr>
        <w:t>) Representative images showing expression of AAV9-CaMKIIα-</w:t>
      </w:r>
      <w:proofErr w:type="spellStart"/>
      <w:r>
        <w:rPr>
          <w:rFonts w:cs="Times New Roman"/>
          <w:iCs/>
          <w:color w:val="000000" w:themeColor="text1"/>
        </w:rPr>
        <w:t>mCherry</w:t>
      </w:r>
      <w:proofErr w:type="spellEnd"/>
      <w:r>
        <w:rPr>
          <w:rFonts w:cs="Times New Roman"/>
          <w:iCs/>
          <w:color w:val="000000" w:themeColor="text1"/>
        </w:rPr>
        <w:t>-Cre (CaMKIIα-Cre) virus in vCA1 of TIA1</w:t>
      </w:r>
      <w:r>
        <w:rPr>
          <w:rFonts w:cs="Times New Roman"/>
          <w:iCs/>
          <w:color w:val="000000" w:themeColor="text1"/>
          <w:vertAlign w:val="superscript"/>
        </w:rPr>
        <w:t>f/f</w:t>
      </w:r>
      <w:r>
        <w:rPr>
          <w:rFonts w:cs="Times New Roman"/>
          <w:iCs/>
          <w:color w:val="000000" w:themeColor="text1"/>
        </w:rPr>
        <w:t xml:space="preserve"> mice. Scale bars</w:t>
      </w:r>
      <w:r>
        <w:rPr>
          <w:rFonts w:cs="Times New Roman" w:hint="eastAsia"/>
          <w:iCs/>
          <w:color w:val="000000" w:themeColor="text1"/>
        </w:rPr>
        <w:t>:</w:t>
      </w:r>
      <w:r>
        <w:rPr>
          <w:rFonts w:cs="Times New Roman"/>
          <w:iCs/>
          <w:color w:val="000000" w:themeColor="text1"/>
        </w:rPr>
        <w:t xml:space="preserve"> 1 mm. (</w:t>
      </w:r>
      <w:r>
        <w:rPr>
          <w:rFonts w:cs="Times New Roman" w:hint="eastAsia"/>
          <w:b/>
          <w:bCs/>
          <w:iCs/>
          <w:color w:val="000000" w:themeColor="text1"/>
        </w:rPr>
        <w:t>C</w:t>
      </w:r>
      <w:r>
        <w:rPr>
          <w:rFonts w:cs="Times New Roman"/>
          <w:b/>
          <w:bCs/>
          <w:iCs/>
          <w:color w:val="000000" w:themeColor="text1"/>
        </w:rPr>
        <w:t>-</w:t>
      </w:r>
      <w:r>
        <w:rPr>
          <w:rFonts w:cs="Times New Roman" w:hint="eastAsia"/>
          <w:b/>
          <w:bCs/>
          <w:iCs/>
          <w:color w:val="000000" w:themeColor="text1"/>
        </w:rPr>
        <w:t>E</w:t>
      </w:r>
      <w:r>
        <w:rPr>
          <w:rFonts w:cs="Times New Roman"/>
          <w:iCs/>
          <w:color w:val="000000" w:themeColor="text1"/>
        </w:rPr>
        <w:t>) Behavioral performance of TIA1</w:t>
      </w:r>
      <w:r>
        <w:rPr>
          <w:rFonts w:cs="Times New Roman"/>
          <w:iCs/>
          <w:color w:val="000000" w:themeColor="text1"/>
          <w:vertAlign w:val="superscript"/>
        </w:rPr>
        <w:t>f/f</w:t>
      </w:r>
      <w:r>
        <w:rPr>
          <w:rFonts w:cs="Times New Roman"/>
          <w:iCs/>
          <w:color w:val="000000" w:themeColor="text1"/>
        </w:rPr>
        <w:t xml:space="preserve"> mice injected with CaMKIIα-Cre or gfaABC1D-Cre following LPS treatment, assessed by the TST (</w:t>
      </w:r>
      <w:r>
        <w:rPr>
          <w:rFonts w:cs="Times New Roman" w:hint="eastAsia"/>
          <w:b/>
          <w:bCs/>
          <w:iCs/>
          <w:color w:val="000000" w:themeColor="text1"/>
        </w:rPr>
        <w:t>C</w:t>
      </w:r>
      <w:r>
        <w:rPr>
          <w:rFonts w:cs="Times New Roman"/>
          <w:iCs/>
          <w:color w:val="000000" w:themeColor="text1"/>
        </w:rPr>
        <w:t>), FST (</w:t>
      </w:r>
      <w:r>
        <w:rPr>
          <w:rFonts w:cs="Times New Roman" w:hint="eastAsia"/>
          <w:b/>
          <w:bCs/>
          <w:iCs/>
          <w:color w:val="000000" w:themeColor="text1"/>
        </w:rPr>
        <w:t>D</w:t>
      </w:r>
      <w:r>
        <w:rPr>
          <w:rFonts w:cs="Times New Roman"/>
          <w:iCs/>
          <w:color w:val="000000" w:themeColor="text1"/>
        </w:rPr>
        <w:t>) and SPT (</w:t>
      </w:r>
      <w:r>
        <w:rPr>
          <w:rFonts w:cs="Times New Roman" w:hint="eastAsia"/>
          <w:b/>
          <w:bCs/>
          <w:iCs/>
          <w:color w:val="000000" w:themeColor="text1"/>
        </w:rPr>
        <w:t>E</w:t>
      </w:r>
      <w:r>
        <w:rPr>
          <w:rFonts w:cs="Times New Roman"/>
          <w:iCs/>
          <w:color w:val="000000" w:themeColor="text1"/>
        </w:rPr>
        <w:t>) assays (Ctrl, n = 6; LPS, n = 7; gfaABC1D-Cre-LPS, n = 8; CaMKIIα-Cre-LPS, n = 8; one-way ANOVA). (</w:t>
      </w:r>
      <w:r>
        <w:rPr>
          <w:rFonts w:cs="Times New Roman" w:hint="eastAsia"/>
          <w:b/>
          <w:bCs/>
          <w:iCs/>
          <w:color w:val="000000" w:themeColor="text1"/>
        </w:rPr>
        <w:t>F</w:t>
      </w:r>
      <w:r>
        <w:rPr>
          <w:rFonts w:cs="Times New Roman"/>
          <w:iCs/>
          <w:color w:val="000000" w:themeColor="text1"/>
        </w:rPr>
        <w:t>) Representative images showing the expression of AAV-CaMKIIα-hM3D(</w:t>
      </w:r>
      <w:proofErr w:type="spellStart"/>
      <w:r>
        <w:rPr>
          <w:rFonts w:cs="Times New Roman"/>
          <w:iCs/>
          <w:color w:val="000000" w:themeColor="text1"/>
        </w:rPr>
        <w:t>Gq</w:t>
      </w:r>
      <w:proofErr w:type="spellEnd"/>
      <w:r>
        <w:rPr>
          <w:rFonts w:cs="Times New Roman"/>
          <w:iCs/>
          <w:color w:val="000000" w:themeColor="text1"/>
        </w:rPr>
        <w:t>)-EGFP-3xFLAG-WPRE virus in the vCA1 of TIA1</w:t>
      </w:r>
      <w:r>
        <w:rPr>
          <w:rFonts w:cs="Times New Roman"/>
          <w:iCs/>
          <w:color w:val="000000" w:themeColor="text1"/>
          <w:vertAlign w:val="superscript"/>
        </w:rPr>
        <w:t>CaMKIIα</w:t>
      </w:r>
      <w:r>
        <w:rPr>
          <w:rFonts w:cs="Times New Roman"/>
          <w:iCs/>
          <w:color w:val="000000" w:themeColor="text1"/>
        </w:rPr>
        <w:t>-CKO mice. Scale bars</w:t>
      </w:r>
      <w:r>
        <w:rPr>
          <w:rFonts w:cs="Times New Roman" w:hint="eastAsia"/>
          <w:iCs/>
          <w:color w:val="000000" w:themeColor="text1"/>
        </w:rPr>
        <w:t>:</w:t>
      </w:r>
      <w:r>
        <w:rPr>
          <w:rFonts w:cs="Times New Roman"/>
          <w:iCs/>
          <w:color w:val="000000" w:themeColor="text1"/>
        </w:rPr>
        <w:t xml:space="preserve"> 1 mm. (</w:t>
      </w:r>
      <w:r>
        <w:rPr>
          <w:rFonts w:cs="Times New Roman" w:hint="eastAsia"/>
          <w:b/>
          <w:bCs/>
          <w:iCs/>
          <w:color w:val="000000" w:themeColor="text1"/>
        </w:rPr>
        <w:t>G-</w:t>
      </w:r>
      <w:r>
        <w:rPr>
          <w:rFonts w:cs="Times New Roman" w:hint="eastAsia"/>
          <w:b/>
          <w:bCs/>
          <w:iCs/>
          <w:color w:val="000000" w:themeColor="text1"/>
        </w:rPr>
        <w:lastRenderedPageBreak/>
        <w:t>I</w:t>
      </w:r>
      <w:r>
        <w:rPr>
          <w:rFonts w:cs="Times New Roman"/>
          <w:iCs/>
          <w:color w:val="000000" w:themeColor="text1"/>
        </w:rPr>
        <w:t>) Behavioral analysis of TIA1</w:t>
      </w:r>
      <w:r>
        <w:rPr>
          <w:rFonts w:cs="Times New Roman"/>
          <w:iCs/>
          <w:color w:val="000000" w:themeColor="text1"/>
          <w:vertAlign w:val="superscript"/>
        </w:rPr>
        <w:t>CaMKIIα</w:t>
      </w:r>
      <w:r>
        <w:rPr>
          <w:rFonts w:cs="Times New Roman"/>
          <w:iCs/>
          <w:color w:val="000000" w:themeColor="text1"/>
        </w:rPr>
        <w:t>-CKO mice expressing AAV</w:t>
      </w:r>
      <w:r>
        <w:rPr>
          <w:rFonts w:cs="Times New Roman" w:hint="eastAsia"/>
          <w:iCs/>
          <w:color w:val="000000" w:themeColor="text1"/>
        </w:rPr>
        <w:t>-</w:t>
      </w:r>
      <w:r>
        <w:rPr>
          <w:rFonts w:cs="Times New Roman"/>
          <w:iCs/>
          <w:color w:val="000000" w:themeColor="text1"/>
        </w:rPr>
        <w:t>CaMKIIα-hM3D(</w:t>
      </w:r>
      <w:proofErr w:type="spellStart"/>
      <w:r>
        <w:rPr>
          <w:rFonts w:cs="Times New Roman"/>
          <w:iCs/>
          <w:color w:val="000000" w:themeColor="text1"/>
        </w:rPr>
        <w:t>Gq</w:t>
      </w:r>
      <w:proofErr w:type="spellEnd"/>
      <w:r>
        <w:rPr>
          <w:rFonts w:cs="Times New Roman"/>
          <w:iCs/>
          <w:color w:val="000000" w:themeColor="text1"/>
        </w:rPr>
        <w:t>)-EGFP-3xFLAG-WPRE virus after LPS induction, assessed by TST (</w:t>
      </w:r>
      <w:r>
        <w:rPr>
          <w:rFonts w:cs="Times New Roman" w:hint="eastAsia"/>
          <w:b/>
          <w:bCs/>
          <w:iCs/>
          <w:color w:val="000000" w:themeColor="text1"/>
        </w:rPr>
        <w:t>G</w:t>
      </w:r>
      <w:r>
        <w:rPr>
          <w:rFonts w:cs="Times New Roman"/>
          <w:iCs/>
          <w:color w:val="000000" w:themeColor="text1"/>
        </w:rPr>
        <w:t xml:space="preserve">) </w:t>
      </w:r>
      <w:r>
        <w:rPr>
          <w:rFonts w:cs="Times New Roman" w:hint="eastAsia"/>
          <w:iCs/>
          <w:color w:val="000000" w:themeColor="text1"/>
        </w:rPr>
        <w:t>and</w:t>
      </w:r>
      <w:r>
        <w:rPr>
          <w:rFonts w:cs="Times New Roman"/>
          <w:iCs/>
          <w:color w:val="000000" w:themeColor="text1"/>
        </w:rPr>
        <w:t xml:space="preserve"> FST (</w:t>
      </w:r>
      <w:r>
        <w:rPr>
          <w:rFonts w:cs="Times New Roman" w:hint="eastAsia"/>
          <w:b/>
          <w:bCs/>
          <w:iCs/>
          <w:color w:val="000000" w:themeColor="text1"/>
        </w:rPr>
        <w:t>H</w:t>
      </w:r>
      <w:r>
        <w:rPr>
          <w:rFonts w:cs="Times New Roman"/>
          <w:iCs/>
          <w:color w:val="000000" w:themeColor="text1"/>
        </w:rPr>
        <w:t xml:space="preserve">) </w:t>
      </w:r>
      <w:r>
        <w:rPr>
          <w:rFonts w:cs="Times New Roman" w:hint="eastAsia"/>
          <w:iCs/>
          <w:color w:val="000000" w:themeColor="text1"/>
        </w:rPr>
        <w:t>and</w:t>
      </w:r>
      <w:r>
        <w:rPr>
          <w:rFonts w:cs="Times New Roman"/>
          <w:iCs/>
          <w:color w:val="000000" w:themeColor="text1"/>
        </w:rPr>
        <w:t xml:space="preserve"> SPT (</w:t>
      </w:r>
      <w:r>
        <w:rPr>
          <w:rFonts w:cs="Times New Roman" w:hint="eastAsia"/>
          <w:b/>
          <w:bCs/>
          <w:iCs/>
          <w:color w:val="000000" w:themeColor="text1"/>
        </w:rPr>
        <w:t>I</w:t>
      </w:r>
      <w:r>
        <w:rPr>
          <w:rFonts w:cs="Times New Roman"/>
          <w:iCs/>
          <w:color w:val="000000" w:themeColor="text1"/>
        </w:rPr>
        <w:t>) assays</w:t>
      </w:r>
      <w:r>
        <w:rPr>
          <w:rFonts w:cs="Times New Roman" w:hint="eastAsia"/>
          <w:iCs/>
          <w:color w:val="000000" w:themeColor="text1"/>
        </w:rPr>
        <w:t xml:space="preserve">. </w:t>
      </w:r>
      <w:r>
        <w:rPr>
          <w:rFonts w:cs="Times New Roman"/>
          <w:iCs/>
          <w:color w:val="000000" w:themeColor="text1"/>
        </w:rPr>
        <w:t xml:space="preserve">Both groups received LPS induction (Ctrl, n = 6; </w:t>
      </w:r>
      <w:proofErr w:type="spellStart"/>
      <w:r>
        <w:rPr>
          <w:rFonts w:cs="Times New Roman"/>
          <w:iCs/>
          <w:color w:val="000000" w:themeColor="text1"/>
        </w:rPr>
        <w:t>Gq</w:t>
      </w:r>
      <w:proofErr w:type="spellEnd"/>
      <w:r>
        <w:rPr>
          <w:rFonts w:cs="Times New Roman"/>
          <w:iCs/>
          <w:color w:val="000000" w:themeColor="text1"/>
        </w:rPr>
        <w:t xml:space="preserve">, n = 7; </w:t>
      </w:r>
      <w:r>
        <w:rPr>
          <w:rFonts w:cs="Times New Roman"/>
          <w:i/>
          <w:color w:val="000000" w:themeColor="text1"/>
        </w:rPr>
        <w:t>t</w:t>
      </w:r>
      <w:r>
        <w:rPr>
          <w:rFonts w:cs="Times New Roman"/>
          <w:iCs/>
          <w:color w:val="000000" w:themeColor="text1"/>
        </w:rPr>
        <w:t xml:space="preserve">-test). </w:t>
      </w:r>
      <w:r>
        <w:rPr>
          <w:color w:val="000000" w:themeColor="text1"/>
        </w:rPr>
        <w:t>Data are presented as</w:t>
      </w:r>
      <w:r>
        <w:rPr>
          <w:rFonts w:cs="Times New Roman"/>
          <w:iCs/>
          <w:color w:val="000000" w:themeColor="text1"/>
        </w:rPr>
        <w:t xml:space="preserve"> mean ± SEM. </w:t>
      </w:r>
      <w:r>
        <w:rPr>
          <w:rFonts w:cs="Times New Roman"/>
          <w:i/>
          <w:color w:val="000000" w:themeColor="text1"/>
          <w:vertAlign w:val="superscript"/>
        </w:rPr>
        <w:t>*</w:t>
      </w:r>
      <w:r>
        <w:rPr>
          <w:rFonts w:cs="Times New Roman"/>
          <w:i/>
          <w:color w:val="000000" w:themeColor="text1"/>
        </w:rPr>
        <w:t>p &lt; 0.05</w:t>
      </w:r>
      <w:r>
        <w:rPr>
          <w:rFonts w:cs="Times New Roman"/>
          <w:iCs/>
          <w:color w:val="000000" w:themeColor="text1"/>
        </w:rPr>
        <w:t xml:space="preserve">, </w:t>
      </w:r>
      <w:r>
        <w:rPr>
          <w:rFonts w:cs="Times New Roman"/>
          <w:i/>
          <w:color w:val="000000" w:themeColor="text1"/>
          <w:vertAlign w:val="superscript"/>
        </w:rPr>
        <w:t>**</w:t>
      </w:r>
      <w:r>
        <w:rPr>
          <w:rFonts w:cs="Times New Roman"/>
          <w:i/>
          <w:color w:val="000000" w:themeColor="text1"/>
        </w:rPr>
        <w:t>p &lt; 0.01</w:t>
      </w:r>
      <w:r>
        <w:rPr>
          <w:rFonts w:cs="Times New Roman"/>
          <w:iCs/>
          <w:color w:val="000000" w:themeColor="text1"/>
        </w:rPr>
        <w:t>, ns, not significant.</w:t>
      </w:r>
    </w:p>
    <w:p w14:paraId="067B9B2B" w14:textId="77777777" w:rsidR="00CD1936" w:rsidRPr="00CD1936" w:rsidRDefault="00CD1936">
      <w:pPr>
        <w:ind w:firstLineChars="0" w:firstLine="0"/>
        <w:rPr>
          <w:rFonts w:cs="Times New Roman"/>
          <w:color w:val="000000"/>
        </w:rPr>
      </w:pPr>
    </w:p>
    <w:p w14:paraId="72D5D463" w14:textId="1A1C5BD8" w:rsidR="00EE4BB9" w:rsidRDefault="00000000">
      <w:pPr>
        <w:ind w:firstLineChars="0" w:firstLine="0"/>
        <w:rPr>
          <w:b/>
          <w:bCs/>
          <w:color w:val="000000"/>
        </w:rPr>
      </w:pPr>
      <w:r>
        <w:rPr>
          <w:rFonts w:cs="Times New Roman"/>
          <w:b/>
          <w:bCs/>
          <w:color w:val="000000"/>
          <w:lang w:bidi="ar"/>
        </w:rPr>
        <w:t>Supplementary Fig S</w:t>
      </w:r>
      <w:r w:rsidR="00CD1936">
        <w:rPr>
          <w:rFonts w:cs="Times New Roman" w:hint="eastAsia"/>
          <w:b/>
          <w:bCs/>
          <w:color w:val="000000"/>
          <w:lang w:bidi="ar"/>
        </w:rPr>
        <w:t>10</w:t>
      </w:r>
      <w:r>
        <w:rPr>
          <w:rFonts w:cs="Times New Roman"/>
          <w:b/>
          <w:bCs/>
          <w:color w:val="000000"/>
          <w:lang w:bidi="ar"/>
        </w:rPr>
        <w:t>. Identification of the astrocyte-specific AAV9-gfaABC1D-Cre virus.</w:t>
      </w:r>
    </w:p>
    <w:p w14:paraId="1041D6CC" w14:textId="151BB1DE" w:rsidR="00EE4BB9" w:rsidRDefault="00000000">
      <w:pPr>
        <w:ind w:firstLineChars="0" w:firstLine="0"/>
        <w:rPr>
          <w:rFonts w:cs="Times New Roman"/>
          <w:iCs/>
          <w:color w:val="000000"/>
        </w:rPr>
      </w:pPr>
      <w:r>
        <w:rPr>
          <w:rFonts w:cs="Times New Roman"/>
          <w:b/>
          <w:bCs/>
          <w:iCs/>
          <w:color w:val="000000"/>
          <w:lang w:bidi="ar"/>
        </w:rPr>
        <w:t>(A)</w:t>
      </w:r>
      <w:r>
        <w:rPr>
          <w:rFonts w:cs="Times New Roman"/>
          <w:iCs/>
          <w:color w:val="000000"/>
          <w:lang w:bidi="ar"/>
        </w:rPr>
        <w:t xml:space="preserve"> Representative image displaying AAV9-gfaABC1D-Cre (gfaABC1D-Cre) expression in vCA1 of TIA1</w:t>
      </w:r>
      <w:r>
        <w:rPr>
          <w:rFonts w:cs="Times New Roman"/>
          <w:iCs/>
          <w:color w:val="000000"/>
          <w:vertAlign w:val="superscript"/>
          <w:lang w:bidi="ar"/>
        </w:rPr>
        <w:t>f/f</w:t>
      </w:r>
      <w:r>
        <w:rPr>
          <w:rFonts w:cs="Times New Roman"/>
          <w:iCs/>
          <w:color w:val="000000"/>
          <w:lang w:bidi="ar"/>
        </w:rPr>
        <w:t xml:space="preserve"> mice, with co-labeling of Cre and GFAP. Scale bars: 50 </w:t>
      </w:r>
      <w:proofErr w:type="spellStart"/>
      <w:r>
        <w:rPr>
          <w:rFonts w:cs="Times New Roman"/>
          <w:iCs/>
          <w:color w:val="000000"/>
          <w:lang w:bidi="ar"/>
        </w:rPr>
        <w:t>μm</w:t>
      </w:r>
      <w:proofErr w:type="spellEnd"/>
      <w:r>
        <w:rPr>
          <w:rFonts w:cs="Times New Roman"/>
          <w:iCs/>
          <w:color w:val="000000"/>
          <w:lang w:bidi="ar"/>
        </w:rPr>
        <w:t xml:space="preserve">. </w:t>
      </w:r>
      <w:r>
        <w:rPr>
          <w:rFonts w:cs="Times New Roman"/>
          <w:b/>
          <w:bCs/>
          <w:iCs/>
          <w:color w:val="000000"/>
          <w:lang w:bidi="ar"/>
        </w:rPr>
        <w:t>(B)</w:t>
      </w:r>
      <w:r>
        <w:rPr>
          <w:rFonts w:cs="Times New Roman"/>
          <w:iCs/>
          <w:color w:val="000000"/>
          <w:lang w:bidi="ar"/>
        </w:rPr>
        <w:t xml:space="preserve"> Quantification of viral specificity and infection efficiency. Specificity was calculated as the percentage of Cre-positive cells co-expressing GFAP among all Cre-positive cells, whereas infection efficiency was calculated as the percentage of GFAP-positive cells expressing Cre </w:t>
      </w:r>
      <w:r>
        <w:rPr>
          <w:rFonts w:cs="Times New Roman"/>
          <w:color w:val="000000"/>
          <w:lang w:bidi="ar"/>
        </w:rPr>
        <w:t>(n = 3 mice per group</w:t>
      </w:r>
      <w:r w:rsidR="00C3456E">
        <w:rPr>
          <w:rFonts w:cs="Times New Roman" w:hint="eastAsia"/>
          <w:color w:val="000000"/>
          <w:lang w:bidi="ar"/>
        </w:rPr>
        <w:t xml:space="preserve">, </w:t>
      </w:r>
      <w:r w:rsidR="00C3456E">
        <w:rPr>
          <w:rFonts w:cs="Times New Roman"/>
          <w:i/>
          <w:color w:val="000000" w:themeColor="text1"/>
        </w:rPr>
        <w:t>t</w:t>
      </w:r>
      <w:r w:rsidR="00C3456E">
        <w:rPr>
          <w:rFonts w:cs="Times New Roman"/>
          <w:iCs/>
          <w:color w:val="000000" w:themeColor="text1"/>
        </w:rPr>
        <w:t>-test</w:t>
      </w:r>
      <w:r>
        <w:rPr>
          <w:rFonts w:cs="Times New Roman"/>
          <w:color w:val="000000"/>
          <w:lang w:bidi="ar"/>
        </w:rPr>
        <w:t>)</w:t>
      </w:r>
      <w:r>
        <w:rPr>
          <w:rFonts w:cs="Times New Roman"/>
          <w:iCs/>
          <w:color w:val="000000"/>
          <w:lang w:bidi="ar"/>
        </w:rPr>
        <w:t>.</w:t>
      </w:r>
    </w:p>
    <w:p w14:paraId="48DA1B43" w14:textId="77777777" w:rsidR="00EE4BB9" w:rsidRDefault="00EE4BB9">
      <w:pPr>
        <w:ind w:firstLineChars="0" w:firstLine="0"/>
        <w:rPr>
          <w:rFonts w:cs="Times New Roman"/>
          <w:b/>
          <w:bCs/>
          <w:color w:val="000000"/>
        </w:rPr>
      </w:pPr>
    </w:p>
    <w:p w14:paraId="7254BA4B" w14:textId="0C1AEAEC" w:rsidR="00EE4BB9" w:rsidRDefault="00000000">
      <w:pPr>
        <w:ind w:firstLineChars="0" w:firstLine="0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  <w:lang w:bidi="ar"/>
        </w:rPr>
        <w:t>Supplementary Fig S</w:t>
      </w:r>
      <w:r>
        <w:rPr>
          <w:rFonts w:cs="Times New Roman" w:hint="eastAsia"/>
          <w:b/>
          <w:bCs/>
          <w:color w:val="000000"/>
          <w:lang w:bidi="ar"/>
        </w:rPr>
        <w:t>1</w:t>
      </w:r>
      <w:r w:rsidR="00CD1936">
        <w:rPr>
          <w:rFonts w:cs="Times New Roman" w:hint="eastAsia"/>
          <w:b/>
          <w:bCs/>
          <w:color w:val="000000"/>
          <w:lang w:bidi="ar"/>
        </w:rPr>
        <w:t>1</w:t>
      </w:r>
      <w:r>
        <w:rPr>
          <w:rFonts w:cs="Times New Roman"/>
          <w:b/>
          <w:bCs/>
          <w:color w:val="000000"/>
          <w:lang w:bidi="ar"/>
        </w:rPr>
        <w:t>. Gabapentin modulates excitatory-inhibitory synaptic balance in vCA1 neurons of LPS-treated TIA1</w:t>
      </w:r>
      <w:r>
        <w:rPr>
          <w:rFonts w:cs="Times New Roman"/>
          <w:b/>
          <w:bCs/>
          <w:color w:val="000000"/>
          <w:vertAlign w:val="superscript"/>
          <w:lang w:bidi="ar"/>
        </w:rPr>
        <w:t>CaMKIIα</w:t>
      </w:r>
      <w:r>
        <w:rPr>
          <w:rFonts w:cs="Times New Roman"/>
          <w:b/>
          <w:bCs/>
          <w:color w:val="000000"/>
          <w:lang w:bidi="ar"/>
        </w:rPr>
        <w:t>-CKO mice.</w:t>
      </w:r>
    </w:p>
    <w:p w14:paraId="377BD119" w14:textId="77777777" w:rsidR="00EE4BB9" w:rsidRDefault="00000000">
      <w:pPr>
        <w:ind w:firstLineChars="0" w:firstLine="0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  <w:lang w:bidi="ar"/>
        </w:rPr>
        <w:t>(A, B)</w:t>
      </w:r>
      <w:r>
        <w:rPr>
          <w:rFonts w:cs="Times New Roman"/>
          <w:color w:val="000000"/>
          <w:lang w:bidi="ar"/>
        </w:rPr>
        <w:t xml:space="preserve"> Representative EPSC </w:t>
      </w:r>
      <w:r>
        <w:rPr>
          <w:rFonts w:cs="Times New Roman"/>
          <w:b/>
          <w:bCs/>
          <w:color w:val="000000"/>
          <w:lang w:bidi="ar"/>
        </w:rPr>
        <w:t>(A)</w:t>
      </w:r>
      <w:r>
        <w:rPr>
          <w:rFonts w:cs="Times New Roman"/>
          <w:color w:val="000000"/>
          <w:lang w:bidi="ar"/>
        </w:rPr>
        <w:t xml:space="preserve"> and IPSC</w:t>
      </w:r>
      <w:r>
        <w:rPr>
          <w:rFonts w:cs="Times New Roman"/>
          <w:b/>
          <w:bCs/>
          <w:color w:val="000000"/>
          <w:lang w:bidi="ar"/>
        </w:rPr>
        <w:t xml:space="preserve"> (B)</w:t>
      </w:r>
      <w:r>
        <w:rPr>
          <w:rFonts w:cs="Times New Roman"/>
          <w:color w:val="000000"/>
          <w:lang w:bidi="ar"/>
        </w:rPr>
        <w:t xml:space="preserve"> traces recorded from vCA1 neurons of TIA1</w:t>
      </w:r>
      <w:r>
        <w:rPr>
          <w:rFonts w:cs="Times New Roman"/>
          <w:color w:val="000000"/>
          <w:vertAlign w:val="superscript"/>
          <w:lang w:bidi="ar"/>
        </w:rPr>
        <w:t>CaMKIIα</w:t>
      </w:r>
      <w:r>
        <w:rPr>
          <w:rFonts w:cs="Times New Roman"/>
          <w:color w:val="000000"/>
          <w:lang w:bidi="ar"/>
        </w:rPr>
        <w:t xml:space="preserve">-CKO mice under Ctrl, LPS, and </w:t>
      </w:r>
      <w:proofErr w:type="spellStart"/>
      <w:r>
        <w:rPr>
          <w:rFonts w:cs="Times New Roman"/>
          <w:color w:val="000000"/>
          <w:lang w:bidi="ar"/>
        </w:rPr>
        <w:t>LPS+gabapentin</w:t>
      </w:r>
      <w:proofErr w:type="spellEnd"/>
      <w:r>
        <w:rPr>
          <w:rFonts w:cs="Times New Roman"/>
          <w:color w:val="000000"/>
          <w:lang w:bidi="ar"/>
        </w:rPr>
        <w:t xml:space="preserve"> conditions. Scale bars represent 10 </w:t>
      </w:r>
      <w:proofErr w:type="spellStart"/>
      <w:r>
        <w:rPr>
          <w:rFonts w:cs="Times New Roman"/>
          <w:color w:val="000000"/>
          <w:lang w:bidi="ar"/>
        </w:rPr>
        <w:t>pA</w:t>
      </w:r>
      <w:proofErr w:type="spellEnd"/>
      <w:r>
        <w:rPr>
          <w:rFonts w:cs="Times New Roman"/>
          <w:color w:val="000000"/>
          <w:lang w:bidi="ar"/>
        </w:rPr>
        <w:t xml:space="preserve"> and 1 s in </w:t>
      </w:r>
      <w:r>
        <w:rPr>
          <w:rFonts w:cs="Times New Roman"/>
          <w:b/>
          <w:bCs/>
          <w:color w:val="000000"/>
          <w:lang w:bidi="ar"/>
        </w:rPr>
        <w:t>(A)</w:t>
      </w:r>
      <w:r>
        <w:rPr>
          <w:rFonts w:cs="Times New Roman"/>
          <w:color w:val="000000"/>
          <w:lang w:bidi="ar"/>
        </w:rPr>
        <w:t xml:space="preserve">, and 20 </w:t>
      </w:r>
      <w:proofErr w:type="spellStart"/>
      <w:r>
        <w:rPr>
          <w:rFonts w:cs="Times New Roman"/>
          <w:color w:val="000000"/>
          <w:lang w:bidi="ar"/>
        </w:rPr>
        <w:t>pA</w:t>
      </w:r>
      <w:proofErr w:type="spellEnd"/>
      <w:r>
        <w:rPr>
          <w:rFonts w:cs="Times New Roman"/>
          <w:color w:val="000000"/>
          <w:lang w:bidi="ar"/>
        </w:rPr>
        <w:t xml:space="preserve"> and 0.5 s in </w:t>
      </w:r>
      <w:r>
        <w:rPr>
          <w:rFonts w:cs="Times New Roman"/>
          <w:b/>
          <w:bCs/>
          <w:color w:val="000000"/>
          <w:lang w:bidi="ar"/>
        </w:rPr>
        <w:t>(B)</w:t>
      </w:r>
      <w:r>
        <w:rPr>
          <w:rFonts w:cs="Times New Roman"/>
          <w:color w:val="000000"/>
          <w:lang w:bidi="ar"/>
        </w:rPr>
        <w:t xml:space="preserve">. </w:t>
      </w:r>
      <w:r>
        <w:rPr>
          <w:rFonts w:cs="Times New Roman"/>
          <w:b/>
          <w:bCs/>
          <w:color w:val="000000"/>
          <w:lang w:bidi="ar"/>
        </w:rPr>
        <w:t>(C, D)</w:t>
      </w:r>
      <w:r>
        <w:rPr>
          <w:rFonts w:cs="Times New Roman"/>
          <w:color w:val="000000"/>
          <w:lang w:bidi="ar"/>
        </w:rPr>
        <w:t xml:space="preserve"> Quantification of EPSC frequency and IPSC frequency. </w:t>
      </w:r>
      <w:r>
        <w:rPr>
          <w:rFonts w:cs="Times New Roman"/>
          <w:b/>
          <w:bCs/>
          <w:color w:val="000000"/>
          <w:lang w:bidi="ar"/>
        </w:rPr>
        <w:t>(E)</w:t>
      </w:r>
      <w:r>
        <w:rPr>
          <w:rFonts w:cs="Times New Roman"/>
          <w:color w:val="000000"/>
          <w:lang w:bidi="ar"/>
        </w:rPr>
        <w:t xml:space="preserve"> Quantification of the EPSC/IPSC frequency ratio (E/I ratio) as shown in (</w:t>
      </w:r>
      <w:r>
        <w:rPr>
          <w:rFonts w:cs="Times New Roman"/>
          <w:b/>
          <w:bCs/>
          <w:color w:val="000000"/>
          <w:lang w:bidi="ar"/>
        </w:rPr>
        <w:t>A, B</w:t>
      </w:r>
      <w:r>
        <w:rPr>
          <w:rFonts w:cs="Times New Roman"/>
          <w:color w:val="000000"/>
          <w:lang w:bidi="ar"/>
        </w:rPr>
        <w:t xml:space="preserve">) (Ctrl, n = 18 neurons/3 mice; LPS, n = 17 neurons/3 mice; </w:t>
      </w:r>
      <w:proofErr w:type="spellStart"/>
      <w:r>
        <w:rPr>
          <w:rFonts w:cs="Times New Roman"/>
          <w:color w:val="000000"/>
          <w:lang w:bidi="ar"/>
        </w:rPr>
        <w:t>LPS+gabapentin</w:t>
      </w:r>
      <w:proofErr w:type="spellEnd"/>
      <w:r>
        <w:rPr>
          <w:rFonts w:cs="Times New Roman"/>
          <w:color w:val="000000"/>
          <w:lang w:bidi="ar"/>
        </w:rPr>
        <w:t xml:space="preserve">, n = 19 neurons/3 mice). Data are presented as mean ± SEM. One-way ANOVA with Tukey’s post hoc test. </w:t>
      </w:r>
      <w:r>
        <w:rPr>
          <w:rFonts w:cs="Times New Roman"/>
          <w:i/>
          <w:color w:val="000000"/>
          <w:vertAlign w:val="superscript"/>
          <w:lang w:bidi="ar"/>
        </w:rPr>
        <w:t>*</w:t>
      </w:r>
      <w:r>
        <w:rPr>
          <w:rFonts w:cs="Times New Roman"/>
          <w:i/>
          <w:color w:val="000000"/>
          <w:lang w:bidi="ar"/>
        </w:rPr>
        <w:t xml:space="preserve">p </w:t>
      </w:r>
      <w:r>
        <w:rPr>
          <w:rFonts w:cs="Times New Roman"/>
          <w:iCs/>
          <w:color w:val="000000"/>
          <w:lang w:bidi="ar"/>
        </w:rPr>
        <w:t>&lt; 0.05,</w:t>
      </w:r>
      <w:r>
        <w:rPr>
          <w:rFonts w:cs="Times New Roman"/>
          <w:i/>
          <w:color w:val="000000"/>
          <w:lang w:bidi="ar"/>
        </w:rPr>
        <w:t xml:space="preserve"> </w:t>
      </w:r>
      <w:r>
        <w:rPr>
          <w:rFonts w:cs="Times New Roman"/>
          <w:i/>
          <w:color w:val="000000"/>
          <w:vertAlign w:val="superscript"/>
          <w:lang w:bidi="ar"/>
        </w:rPr>
        <w:t>**</w:t>
      </w:r>
      <w:r>
        <w:rPr>
          <w:rFonts w:cs="Times New Roman"/>
          <w:iCs/>
          <w:color w:val="000000"/>
          <w:lang w:bidi="ar"/>
        </w:rPr>
        <w:t>p &lt; 0.01, ns, not significant.</w:t>
      </w:r>
    </w:p>
    <w:sectPr w:rsidR="00EE4B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8930C" w14:textId="77777777" w:rsidR="00170D1E" w:rsidRDefault="00170D1E">
      <w:pPr>
        <w:spacing w:line="240" w:lineRule="auto"/>
        <w:ind w:firstLine="480"/>
      </w:pPr>
      <w:r>
        <w:separator/>
      </w:r>
    </w:p>
  </w:endnote>
  <w:endnote w:type="continuationSeparator" w:id="0">
    <w:p w14:paraId="03773366" w14:textId="77777777" w:rsidR="00170D1E" w:rsidRDefault="00170D1E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20A5C" w14:textId="77777777" w:rsidR="00EE4BB9" w:rsidRDefault="00EE4BB9">
    <w:pPr>
      <w:pStyle w:val="a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9816059"/>
    </w:sdtPr>
    <w:sdtContent>
      <w:p w14:paraId="1EC93CD9" w14:textId="77777777" w:rsidR="00EE4BB9" w:rsidRDefault="00000000">
        <w:pPr>
          <w:pStyle w:val="a9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93019E4" w14:textId="77777777" w:rsidR="00EE4BB9" w:rsidRDefault="00EE4BB9">
    <w:pPr>
      <w:pStyle w:val="a9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E678" w14:textId="77777777" w:rsidR="00EE4BB9" w:rsidRDefault="00EE4BB9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6D577" w14:textId="77777777" w:rsidR="00170D1E" w:rsidRDefault="00170D1E">
      <w:pPr>
        <w:ind w:firstLine="480"/>
      </w:pPr>
      <w:r>
        <w:separator/>
      </w:r>
    </w:p>
  </w:footnote>
  <w:footnote w:type="continuationSeparator" w:id="0">
    <w:p w14:paraId="7D61EFAE" w14:textId="77777777" w:rsidR="00170D1E" w:rsidRDefault="00170D1E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6681" w14:textId="77777777" w:rsidR="00EE4BB9" w:rsidRDefault="00EE4BB9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958EE" w14:textId="77777777" w:rsidR="00EE4BB9" w:rsidRDefault="00EE4BB9">
    <w:pPr>
      <w:pStyle w:val="ab"/>
      <w:pBdr>
        <w:bottom w:val="none" w:sz="0" w:space="1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6269" w14:textId="77777777" w:rsidR="00EE4BB9" w:rsidRDefault="00EE4BB9">
    <w:pPr>
      <w:pStyle w:val="ab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7D033E0"/>
    <w:multiLevelType w:val="singleLevel"/>
    <w:tmpl w:val="E7D033E0"/>
    <w:lvl w:ilvl="0">
      <w:start w:val="1"/>
      <w:numFmt w:val="upperLetter"/>
      <w:suff w:val="space"/>
      <w:lvlText w:val="(%1)"/>
      <w:lvlJc w:val="left"/>
    </w:lvl>
  </w:abstractNum>
  <w:num w:numId="1" w16cid:durableId="1953856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VmOGQ5NTYwMzJjYzc0YjRjYjU1MWRlNzc3NWM0MD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Translational psychaitry-3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x59fs2ot9dviesaftx5vwqvv90e0x5dpd5&quot;&gt;CDN-My EndNote Library&lt;record-ids&gt;&lt;item&gt;17&lt;/item&gt;&lt;item&gt;18&lt;/item&gt;&lt;item&gt;20&lt;/item&gt;&lt;item&gt;21&lt;/item&gt;&lt;item&gt;22&lt;/item&gt;&lt;item&gt;26&lt;/item&gt;&lt;item&gt;31&lt;/item&gt;&lt;item&gt;32&lt;/item&gt;&lt;item&gt;33&lt;/item&gt;&lt;item&gt;36&lt;/item&gt;&lt;item&gt;42&lt;/item&gt;&lt;item&gt;247&lt;/item&gt;&lt;item&gt;248&lt;/item&gt;&lt;item&gt;298&lt;/item&gt;&lt;item&gt;299&lt;/item&gt;&lt;item&gt;301&lt;/item&gt;&lt;item&gt;302&lt;/item&gt;&lt;item&gt;303&lt;/item&gt;&lt;item&gt;307&lt;/item&gt;&lt;item&gt;308&lt;/item&gt;&lt;item&gt;309&lt;/item&gt;&lt;item&gt;310&lt;/item&gt;&lt;item&gt;313&lt;/item&gt;&lt;item&gt;315&lt;/item&gt;&lt;item&gt;316&lt;/item&gt;&lt;item&gt;317&lt;/item&gt;&lt;item&gt;319&lt;/item&gt;&lt;item&gt;321&lt;/item&gt;&lt;item&gt;322&lt;/item&gt;&lt;item&gt;323&lt;/item&gt;&lt;item&gt;325&lt;/item&gt;&lt;item&gt;327&lt;/item&gt;&lt;/record-ids&gt;&lt;/item&gt;&lt;/Libraries&gt;"/>
  </w:docVars>
  <w:rsids>
    <w:rsidRoot w:val="78EE2C88"/>
    <w:rsid w:val="000009A0"/>
    <w:rsid w:val="000013FA"/>
    <w:rsid w:val="00001941"/>
    <w:rsid w:val="000019B7"/>
    <w:rsid w:val="00001E29"/>
    <w:rsid w:val="0000232F"/>
    <w:rsid w:val="00002A1A"/>
    <w:rsid w:val="00003F2C"/>
    <w:rsid w:val="000056FC"/>
    <w:rsid w:val="000059AF"/>
    <w:rsid w:val="00006B8F"/>
    <w:rsid w:val="000070A4"/>
    <w:rsid w:val="00010655"/>
    <w:rsid w:val="000126C6"/>
    <w:rsid w:val="000132BD"/>
    <w:rsid w:val="00013354"/>
    <w:rsid w:val="000139E2"/>
    <w:rsid w:val="0001437C"/>
    <w:rsid w:val="00015196"/>
    <w:rsid w:val="000151D2"/>
    <w:rsid w:val="00017120"/>
    <w:rsid w:val="0001758C"/>
    <w:rsid w:val="000205C4"/>
    <w:rsid w:val="00020A2C"/>
    <w:rsid w:val="00020ED8"/>
    <w:rsid w:val="00020F6E"/>
    <w:rsid w:val="00021303"/>
    <w:rsid w:val="00021AC9"/>
    <w:rsid w:val="00021DD7"/>
    <w:rsid w:val="0002212F"/>
    <w:rsid w:val="000222BC"/>
    <w:rsid w:val="00022DE9"/>
    <w:rsid w:val="00023294"/>
    <w:rsid w:val="000240F6"/>
    <w:rsid w:val="00024747"/>
    <w:rsid w:val="00024833"/>
    <w:rsid w:val="00024A58"/>
    <w:rsid w:val="00024FE1"/>
    <w:rsid w:val="00027F67"/>
    <w:rsid w:val="00030354"/>
    <w:rsid w:val="00030781"/>
    <w:rsid w:val="000318C9"/>
    <w:rsid w:val="0003226B"/>
    <w:rsid w:val="00032610"/>
    <w:rsid w:val="000344F5"/>
    <w:rsid w:val="00034751"/>
    <w:rsid w:val="0003485B"/>
    <w:rsid w:val="000357E1"/>
    <w:rsid w:val="00035EA7"/>
    <w:rsid w:val="0003703D"/>
    <w:rsid w:val="000375A6"/>
    <w:rsid w:val="00037D9D"/>
    <w:rsid w:val="00040CFD"/>
    <w:rsid w:val="00040ED2"/>
    <w:rsid w:val="00041907"/>
    <w:rsid w:val="0004378B"/>
    <w:rsid w:val="00044035"/>
    <w:rsid w:val="000441F4"/>
    <w:rsid w:val="00044378"/>
    <w:rsid w:val="000446AA"/>
    <w:rsid w:val="00044CB4"/>
    <w:rsid w:val="00045791"/>
    <w:rsid w:val="00046793"/>
    <w:rsid w:val="00046919"/>
    <w:rsid w:val="00047757"/>
    <w:rsid w:val="00047CE4"/>
    <w:rsid w:val="000505B0"/>
    <w:rsid w:val="00054035"/>
    <w:rsid w:val="000545CB"/>
    <w:rsid w:val="0005538B"/>
    <w:rsid w:val="000558BF"/>
    <w:rsid w:val="00055AAC"/>
    <w:rsid w:val="00056D31"/>
    <w:rsid w:val="00057DB6"/>
    <w:rsid w:val="00060428"/>
    <w:rsid w:val="000612BB"/>
    <w:rsid w:val="000623A9"/>
    <w:rsid w:val="00062B57"/>
    <w:rsid w:val="00063F17"/>
    <w:rsid w:val="00066010"/>
    <w:rsid w:val="000672B0"/>
    <w:rsid w:val="00070982"/>
    <w:rsid w:val="00070E79"/>
    <w:rsid w:val="00071935"/>
    <w:rsid w:val="0007193B"/>
    <w:rsid w:val="000727EB"/>
    <w:rsid w:val="00072873"/>
    <w:rsid w:val="000745C4"/>
    <w:rsid w:val="00074751"/>
    <w:rsid w:val="000757C7"/>
    <w:rsid w:val="00075BEB"/>
    <w:rsid w:val="00076CC2"/>
    <w:rsid w:val="00077BAD"/>
    <w:rsid w:val="000816F1"/>
    <w:rsid w:val="00081727"/>
    <w:rsid w:val="00081A14"/>
    <w:rsid w:val="00081A19"/>
    <w:rsid w:val="00082B50"/>
    <w:rsid w:val="000834BC"/>
    <w:rsid w:val="00083502"/>
    <w:rsid w:val="00084B8E"/>
    <w:rsid w:val="00085A51"/>
    <w:rsid w:val="000900CA"/>
    <w:rsid w:val="00090600"/>
    <w:rsid w:val="0009197F"/>
    <w:rsid w:val="00092306"/>
    <w:rsid w:val="00093336"/>
    <w:rsid w:val="00093416"/>
    <w:rsid w:val="00093593"/>
    <w:rsid w:val="000936A9"/>
    <w:rsid w:val="00094648"/>
    <w:rsid w:val="0009501B"/>
    <w:rsid w:val="00095C37"/>
    <w:rsid w:val="000964F0"/>
    <w:rsid w:val="00096802"/>
    <w:rsid w:val="000A012E"/>
    <w:rsid w:val="000A0A8E"/>
    <w:rsid w:val="000A217F"/>
    <w:rsid w:val="000A24E6"/>
    <w:rsid w:val="000A314D"/>
    <w:rsid w:val="000A3824"/>
    <w:rsid w:val="000A3850"/>
    <w:rsid w:val="000A4106"/>
    <w:rsid w:val="000A47D2"/>
    <w:rsid w:val="000A6E3D"/>
    <w:rsid w:val="000A70D0"/>
    <w:rsid w:val="000A792D"/>
    <w:rsid w:val="000B0161"/>
    <w:rsid w:val="000B0557"/>
    <w:rsid w:val="000B0735"/>
    <w:rsid w:val="000B1164"/>
    <w:rsid w:val="000B145C"/>
    <w:rsid w:val="000B1DE1"/>
    <w:rsid w:val="000B2297"/>
    <w:rsid w:val="000B2BC8"/>
    <w:rsid w:val="000B3C08"/>
    <w:rsid w:val="000B4C0D"/>
    <w:rsid w:val="000B4CC5"/>
    <w:rsid w:val="000B4EC0"/>
    <w:rsid w:val="000B58D7"/>
    <w:rsid w:val="000B6002"/>
    <w:rsid w:val="000B6576"/>
    <w:rsid w:val="000B72C4"/>
    <w:rsid w:val="000B7A7C"/>
    <w:rsid w:val="000C0DE8"/>
    <w:rsid w:val="000C1492"/>
    <w:rsid w:val="000C180C"/>
    <w:rsid w:val="000C319E"/>
    <w:rsid w:val="000C370D"/>
    <w:rsid w:val="000C3F01"/>
    <w:rsid w:val="000C4201"/>
    <w:rsid w:val="000C46E2"/>
    <w:rsid w:val="000C63DD"/>
    <w:rsid w:val="000C6815"/>
    <w:rsid w:val="000C693A"/>
    <w:rsid w:val="000C6AC9"/>
    <w:rsid w:val="000C6B87"/>
    <w:rsid w:val="000C71B4"/>
    <w:rsid w:val="000C7B11"/>
    <w:rsid w:val="000D0630"/>
    <w:rsid w:val="000D0FB1"/>
    <w:rsid w:val="000D132E"/>
    <w:rsid w:val="000D2101"/>
    <w:rsid w:val="000D268F"/>
    <w:rsid w:val="000D314D"/>
    <w:rsid w:val="000D57A9"/>
    <w:rsid w:val="000D592C"/>
    <w:rsid w:val="000D7129"/>
    <w:rsid w:val="000D723A"/>
    <w:rsid w:val="000D7B3F"/>
    <w:rsid w:val="000E03FB"/>
    <w:rsid w:val="000E0688"/>
    <w:rsid w:val="000E0776"/>
    <w:rsid w:val="000E0B81"/>
    <w:rsid w:val="000E0D2C"/>
    <w:rsid w:val="000E0F73"/>
    <w:rsid w:val="000E1383"/>
    <w:rsid w:val="000E2396"/>
    <w:rsid w:val="000E394F"/>
    <w:rsid w:val="000E3968"/>
    <w:rsid w:val="000E3AC8"/>
    <w:rsid w:val="000E5250"/>
    <w:rsid w:val="000E584D"/>
    <w:rsid w:val="000E5DBF"/>
    <w:rsid w:val="000E6392"/>
    <w:rsid w:val="000E67D4"/>
    <w:rsid w:val="000F06C9"/>
    <w:rsid w:val="000F0FC0"/>
    <w:rsid w:val="000F16C7"/>
    <w:rsid w:val="000F1E68"/>
    <w:rsid w:val="000F28FC"/>
    <w:rsid w:val="000F30F6"/>
    <w:rsid w:val="000F31FA"/>
    <w:rsid w:val="000F39D2"/>
    <w:rsid w:val="000F4290"/>
    <w:rsid w:val="000F4A54"/>
    <w:rsid w:val="000F4CBC"/>
    <w:rsid w:val="000F63B5"/>
    <w:rsid w:val="000F7506"/>
    <w:rsid w:val="00100738"/>
    <w:rsid w:val="00100A6D"/>
    <w:rsid w:val="001011A7"/>
    <w:rsid w:val="00101245"/>
    <w:rsid w:val="001018D3"/>
    <w:rsid w:val="00102611"/>
    <w:rsid w:val="0010306F"/>
    <w:rsid w:val="001048CB"/>
    <w:rsid w:val="0010541F"/>
    <w:rsid w:val="00105BA0"/>
    <w:rsid w:val="00106303"/>
    <w:rsid w:val="00106E1A"/>
    <w:rsid w:val="00106F23"/>
    <w:rsid w:val="001075A4"/>
    <w:rsid w:val="00107EE2"/>
    <w:rsid w:val="0011044A"/>
    <w:rsid w:val="00110470"/>
    <w:rsid w:val="00110934"/>
    <w:rsid w:val="0011126C"/>
    <w:rsid w:val="00111887"/>
    <w:rsid w:val="001118DA"/>
    <w:rsid w:val="00111DFF"/>
    <w:rsid w:val="001128DA"/>
    <w:rsid w:val="00112C9E"/>
    <w:rsid w:val="001131F5"/>
    <w:rsid w:val="00114DC9"/>
    <w:rsid w:val="00114F13"/>
    <w:rsid w:val="001159AB"/>
    <w:rsid w:val="00116D1F"/>
    <w:rsid w:val="00117458"/>
    <w:rsid w:val="00120034"/>
    <w:rsid w:val="00122B6B"/>
    <w:rsid w:val="00122D1F"/>
    <w:rsid w:val="00122DF1"/>
    <w:rsid w:val="00123142"/>
    <w:rsid w:val="00124333"/>
    <w:rsid w:val="001248CD"/>
    <w:rsid w:val="00124FEE"/>
    <w:rsid w:val="00125D0A"/>
    <w:rsid w:val="00126386"/>
    <w:rsid w:val="001271B7"/>
    <w:rsid w:val="00127554"/>
    <w:rsid w:val="001279B1"/>
    <w:rsid w:val="00127D81"/>
    <w:rsid w:val="0013107D"/>
    <w:rsid w:val="00131BB5"/>
    <w:rsid w:val="00131FDE"/>
    <w:rsid w:val="0013208B"/>
    <w:rsid w:val="00132224"/>
    <w:rsid w:val="00132C00"/>
    <w:rsid w:val="00132D0F"/>
    <w:rsid w:val="001331CD"/>
    <w:rsid w:val="001349E1"/>
    <w:rsid w:val="00134AEA"/>
    <w:rsid w:val="00135414"/>
    <w:rsid w:val="001354A9"/>
    <w:rsid w:val="00135999"/>
    <w:rsid w:val="00135E7A"/>
    <w:rsid w:val="00137F35"/>
    <w:rsid w:val="0014002C"/>
    <w:rsid w:val="00140728"/>
    <w:rsid w:val="00140B38"/>
    <w:rsid w:val="00141341"/>
    <w:rsid w:val="0014165D"/>
    <w:rsid w:val="00141852"/>
    <w:rsid w:val="001424F2"/>
    <w:rsid w:val="00142957"/>
    <w:rsid w:val="00142E4C"/>
    <w:rsid w:val="00143DEA"/>
    <w:rsid w:val="00144E49"/>
    <w:rsid w:val="00145083"/>
    <w:rsid w:val="001450B7"/>
    <w:rsid w:val="001454D9"/>
    <w:rsid w:val="00145784"/>
    <w:rsid w:val="0014724A"/>
    <w:rsid w:val="0014748C"/>
    <w:rsid w:val="00147F2B"/>
    <w:rsid w:val="0015056D"/>
    <w:rsid w:val="001509C1"/>
    <w:rsid w:val="00150B18"/>
    <w:rsid w:val="00150FD6"/>
    <w:rsid w:val="001516ED"/>
    <w:rsid w:val="00152E1E"/>
    <w:rsid w:val="001535B3"/>
    <w:rsid w:val="00153DA3"/>
    <w:rsid w:val="00154C79"/>
    <w:rsid w:val="0015542C"/>
    <w:rsid w:val="0015596D"/>
    <w:rsid w:val="00155A27"/>
    <w:rsid w:val="00157252"/>
    <w:rsid w:val="0015784A"/>
    <w:rsid w:val="001579AA"/>
    <w:rsid w:val="00157C03"/>
    <w:rsid w:val="00157EB7"/>
    <w:rsid w:val="001605BC"/>
    <w:rsid w:val="00160EC9"/>
    <w:rsid w:val="0016187B"/>
    <w:rsid w:val="0016215F"/>
    <w:rsid w:val="00162251"/>
    <w:rsid w:val="0016258D"/>
    <w:rsid w:val="00162AC8"/>
    <w:rsid w:val="00162EED"/>
    <w:rsid w:val="001630B4"/>
    <w:rsid w:val="00163892"/>
    <w:rsid w:val="00163940"/>
    <w:rsid w:val="001652E7"/>
    <w:rsid w:val="00165D4B"/>
    <w:rsid w:val="00166B73"/>
    <w:rsid w:val="00166D9A"/>
    <w:rsid w:val="00166F5E"/>
    <w:rsid w:val="00166F9F"/>
    <w:rsid w:val="001677E1"/>
    <w:rsid w:val="00170D1E"/>
    <w:rsid w:val="0017153C"/>
    <w:rsid w:val="00171664"/>
    <w:rsid w:val="001727CE"/>
    <w:rsid w:val="001738F8"/>
    <w:rsid w:val="00173A4E"/>
    <w:rsid w:val="00174B9B"/>
    <w:rsid w:val="00174D9E"/>
    <w:rsid w:val="00174E64"/>
    <w:rsid w:val="0017531F"/>
    <w:rsid w:val="001755DD"/>
    <w:rsid w:val="00177774"/>
    <w:rsid w:val="001805C3"/>
    <w:rsid w:val="0018082C"/>
    <w:rsid w:val="00181149"/>
    <w:rsid w:val="001813E6"/>
    <w:rsid w:val="00181EB0"/>
    <w:rsid w:val="00183A90"/>
    <w:rsid w:val="00183EEA"/>
    <w:rsid w:val="0018590C"/>
    <w:rsid w:val="00185AF5"/>
    <w:rsid w:val="00185EFD"/>
    <w:rsid w:val="00186C6A"/>
    <w:rsid w:val="00186CB9"/>
    <w:rsid w:val="00187612"/>
    <w:rsid w:val="00187F21"/>
    <w:rsid w:val="0019007F"/>
    <w:rsid w:val="001903B4"/>
    <w:rsid w:val="001912A8"/>
    <w:rsid w:val="001932C3"/>
    <w:rsid w:val="00193392"/>
    <w:rsid w:val="001936A3"/>
    <w:rsid w:val="00196F78"/>
    <w:rsid w:val="001A3AB1"/>
    <w:rsid w:val="001A4397"/>
    <w:rsid w:val="001A4B5F"/>
    <w:rsid w:val="001A519B"/>
    <w:rsid w:val="001A5389"/>
    <w:rsid w:val="001A582D"/>
    <w:rsid w:val="001A5981"/>
    <w:rsid w:val="001A66E7"/>
    <w:rsid w:val="001A6816"/>
    <w:rsid w:val="001A6BFA"/>
    <w:rsid w:val="001A7294"/>
    <w:rsid w:val="001A777E"/>
    <w:rsid w:val="001A7960"/>
    <w:rsid w:val="001A7E77"/>
    <w:rsid w:val="001B0CCC"/>
    <w:rsid w:val="001B1044"/>
    <w:rsid w:val="001B1D65"/>
    <w:rsid w:val="001B26D4"/>
    <w:rsid w:val="001B3742"/>
    <w:rsid w:val="001B4A40"/>
    <w:rsid w:val="001B4B9B"/>
    <w:rsid w:val="001B5DC8"/>
    <w:rsid w:val="001B5F48"/>
    <w:rsid w:val="001B676F"/>
    <w:rsid w:val="001B7345"/>
    <w:rsid w:val="001C0510"/>
    <w:rsid w:val="001C1CEA"/>
    <w:rsid w:val="001C1E61"/>
    <w:rsid w:val="001C1F7F"/>
    <w:rsid w:val="001C21F1"/>
    <w:rsid w:val="001C2275"/>
    <w:rsid w:val="001C269D"/>
    <w:rsid w:val="001C3561"/>
    <w:rsid w:val="001C416B"/>
    <w:rsid w:val="001C41AD"/>
    <w:rsid w:val="001C454F"/>
    <w:rsid w:val="001C4E29"/>
    <w:rsid w:val="001C5852"/>
    <w:rsid w:val="001C5A60"/>
    <w:rsid w:val="001C5F58"/>
    <w:rsid w:val="001C7053"/>
    <w:rsid w:val="001C70ED"/>
    <w:rsid w:val="001C75EA"/>
    <w:rsid w:val="001D0015"/>
    <w:rsid w:val="001D003A"/>
    <w:rsid w:val="001D1815"/>
    <w:rsid w:val="001D19A0"/>
    <w:rsid w:val="001D1D04"/>
    <w:rsid w:val="001D4A8A"/>
    <w:rsid w:val="001D6766"/>
    <w:rsid w:val="001D6B84"/>
    <w:rsid w:val="001D722A"/>
    <w:rsid w:val="001D789A"/>
    <w:rsid w:val="001E0136"/>
    <w:rsid w:val="001E1520"/>
    <w:rsid w:val="001E176E"/>
    <w:rsid w:val="001E17C7"/>
    <w:rsid w:val="001E1B0D"/>
    <w:rsid w:val="001E1B72"/>
    <w:rsid w:val="001E2B2A"/>
    <w:rsid w:val="001E2E57"/>
    <w:rsid w:val="001E405E"/>
    <w:rsid w:val="001E4717"/>
    <w:rsid w:val="001E6638"/>
    <w:rsid w:val="001E67EE"/>
    <w:rsid w:val="001E6B52"/>
    <w:rsid w:val="001E7016"/>
    <w:rsid w:val="001F033F"/>
    <w:rsid w:val="001F08E4"/>
    <w:rsid w:val="001F0EA2"/>
    <w:rsid w:val="001F150B"/>
    <w:rsid w:val="001F1CCA"/>
    <w:rsid w:val="001F1D6B"/>
    <w:rsid w:val="001F2579"/>
    <w:rsid w:val="001F31D9"/>
    <w:rsid w:val="001F340A"/>
    <w:rsid w:val="001F3442"/>
    <w:rsid w:val="001F3A58"/>
    <w:rsid w:val="001F466D"/>
    <w:rsid w:val="001F5A75"/>
    <w:rsid w:val="001F606D"/>
    <w:rsid w:val="001F675A"/>
    <w:rsid w:val="001F73B4"/>
    <w:rsid w:val="001F7FCA"/>
    <w:rsid w:val="00200606"/>
    <w:rsid w:val="00200978"/>
    <w:rsid w:val="002026D9"/>
    <w:rsid w:val="00202C26"/>
    <w:rsid w:val="00203722"/>
    <w:rsid w:val="00203723"/>
    <w:rsid w:val="0020408E"/>
    <w:rsid w:val="00204499"/>
    <w:rsid w:val="002045BA"/>
    <w:rsid w:val="00205877"/>
    <w:rsid w:val="00205E1D"/>
    <w:rsid w:val="002067D1"/>
    <w:rsid w:val="00207200"/>
    <w:rsid w:val="0021006F"/>
    <w:rsid w:val="00211105"/>
    <w:rsid w:val="002117A2"/>
    <w:rsid w:val="002117D6"/>
    <w:rsid w:val="002122DA"/>
    <w:rsid w:val="0021291A"/>
    <w:rsid w:val="0021325F"/>
    <w:rsid w:val="00213E14"/>
    <w:rsid w:val="00214C7B"/>
    <w:rsid w:val="0021556C"/>
    <w:rsid w:val="00215597"/>
    <w:rsid w:val="00216675"/>
    <w:rsid w:val="00216940"/>
    <w:rsid w:val="00216959"/>
    <w:rsid w:val="0021714B"/>
    <w:rsid w:val="00217451"/>
    <w:rsid w:val="00217CA9"/>
    <w:rsid w:val="00221777"/>
    <w:rsid w:val="00222285"/>
    <w:rsid w:val="00223AD9"/>
    <w:rsid w:val="002243FD"/>
    <w:rsid w:val="00224DB7"/>
    <w:rsid w:val="002250F5"/>
    <w:rsid w:val="002269A1"/>
    <w:rsid w:val="00226B1D"/>
    <w:rsid w:val="002271F1"/>
    <w:rsid w:val="002301C0"/>
    <w:rsid w:val="00231203"/>
    <w:rsid w:val="00231FE4"/>
    <w:rsid w:val="00232864"/>
    <w:rsid w:val="002335F9"/>
    <w:rsid w:val="00233E4E"/>
    <w:rsid w:val="00234BFE"/>
    <w:rsid w:val="00236236"/>
    <w:rsid w:val="002363C8"/>
    <w:rsid w:val="00236F48"/>
    <w:rsid w:val="002374DF"/>
    <w:rsid w:val="00237E58"/>
    <w:rsid w:val="00240143"/>
    <w:rsid w:val="00240161"/>
    <w:rsid w:val="00242715"/>
    <w:rsid w:val="002435D4"/>
    <w:rsid w:val="0024488E"/>
    <w:rsid w:val="00244D66"/>
    <w:rsid w:val="002456AC"/>
    <w:rsid w:val="002459F8"/>
    <w:rsid w:val="00246646"/>
    <w:rsid w:val="00246811"/>
    <w:rsid w:val="002506FD"/>
    <w:rsid w:val="00250C3B"/>
    <w:rsid w:val="00251A0B"/>
    <w:rsid w:val="00251D71"/>
    <w:rsid w:val="00252264"/>
    <w:rsid w:val="00252B6A"/>
    <w:rsid w:val="00252E08"/>
    <w:rsid w:val="00253182"/>
    <w:rsid w:val="002532E4"/>
    <w:rsid w:val="00253430"/>
    <w:rsid w:val="002547A3"/>
    <w:rsid w:val="002562C5"/>
    <w:rsid w:val="0025756F"/>
    <w:rsid w:val="00261386"/>
    <w:rsid w:val="00261AA1"/>
    <w:rsid w:val="00261C53"/>
    <w:rsid w:val="0026275C"/>
    <w:rsid w:val="00262FC3"/>
    <w:rsid w:val="00263811"/>
    <w:rsid w:val="002657F0"/>
    <w:rsid w:val="002664FD"/>
    <w:rsid w:val="00266817"/>
    <w:rsid w:val="00267197"/>
    <w:rsid w:val="002671DD"/>
    <w:rsid w:val="00270894"/>
    <w:rsid w:val="00270E5E"/>
    <w:rsid w:val="0027129D"/>
    <w:rsid w:val="00271971"/>
    <w:rsid w:val="0027230F"/>
    <w:rsid w:val="00273343"/>
    <w:rsid w:val="00273A92"/>
    <w:rsid w:val="00274731"/>
    <w:rsid w:val="002748B9"/>
    <w:rsid w:val="0027492A"/>
    <w:rsid w:val="00274BEA"/>
    <w:rsid w:val="0027524F"/>
    <w:rsid w:val="00275877"/>
    <w:rsid w:val="00276A15"/>
    <w:rsid w:val="00276D65"/>
    <w:rsid w:val="00280927"/>
    <w:rsid w:val="00280FFF"/>
    <w:rsid w:val="0028113E"/>
    <w:rsid w:val="00281F5D"/>
    <w:rsid w:val="00282825"/>
    <w:rsid w:val="00282BA0"/>
    <w:rsid w:val="002838B2"/>
    <w:rsid w:val="00284BFE"/>
    <w:rsid w:val="00286A95"/>
    <w:rsid w:val="00286F12"/>
    <w:rsid w:val="00286FAB"/>
    <w:rsid w:val="00287CA8"/>
    <w:rsid w:val="00287CAC"/>
    <w:rsid w:val="00291741"/>
    <w:rsid w:val="002920B1"/>
    <w:rsid w:val="002928BB"/>
    <w:rsid w:val="002932D1"/>
    <w:rsid w:val="00294E2E"/>
    <w:rsid w:val="00295CB4"/>
    <w:rsid w:val="00295F0A"/>
    <w:rsid w:val="0029668E"/>
    <w:rsid w:val="00296749"/>
    <w:rsid w:val="00296803"/>
    <w:rsid w:val="00297931"/>
    <w:rsid w:val="002A0017"/>
    <w:rsid w:val="002A0A93"/>
    <w:rsid w:val="002A1B08"/>
    <w:rsid w:val="002A22C5"/>
    <w:rsid w:val="002A2CA5"/>
    <w:rsid w:val="002A3714"/>
    <w:rsid w:val="002A39C6"/>
    <w:rsid w:val="002A4161"/>
    <w:rsid w:val="002A46A3"/>
    <w:rsid w:val="002A470E"/>
    <w:rsid w:val="002A4AA4"/>
    <w:rsid w:val="002A5B06"/>
    <w:rsid w:val="002A672D"/>
    <w:rsid w:val="002A69DB"/>
    <w:rsid w:val="002A7554"/>
    <w:rsid w:val="002A7A09"/>
    <w:rsid w:val="002B07D0"/>
    <w:rsid w:val="002B26E5"/>
    <w:rsid w:val="002B2E88"/>
    <w:rsid w:val="002B32CF"/>
    <w:rsid w:val="002B3C01"/>
    <w:rsid w:val="002B3FEB"/>
    <w:rsid w:val="002B4419"/>
    <w:rsid w:val="002B4535"/>
    <w:rsid w:val="002B4772"/>
    <w:rsid w:val="002B79A3"/>
    <w:rsid w:val="002C0273"/>
    <w:rsid w:val="002C0BE3"/>
    <w:rsid w:val="002C115C"/>
    <w:rsid w:val="002C1454"/>
    <w:rsid w:val="002C1ACF"/>
    <w:rsid w:val="002C2645"/>
    <w:rsid w:val="002C41EE"/>
    <w:rsid w:val="002C433E"/>
    <w:rsid w:val="002C458B"/>
    <w:rsid w:val="002C45DB"/>
    <w:rsid w:val="002C5482"/>
    <w:rsid w:val="002C56B0"/>
    <w:rsid w:val="002C5817"/>
    <w:rsid w:val="002C5C09"/>
    <w:rsid w:val="002C6CBA"/>
    <w:rsid w:val="002D0D19"/>
    <w:rsid w:val="002D0EE0"/>
    <w:rsid w:val="002D12CE"/>
    <w:rsid w:val="002D1BDF"/>
    <w:rsid w:val="002D1F72"/>
    <w:rsid w:val="002D2893"/>
    <w:rsid w:val="002D352A"/>
    <w:rsid w:val="002D3597"/>
    <w:rsid w:val="002D389E"/>
    <w:rsid w:val="002D3940"/>
    <w:rsid w:val="002D3945"/>
    <w:rsid w:val="002D46FF"/>
    <w:rsid w:val="002D4C03"/>
    <w:rsid w:val="002D560A"/>
    <w:rsid w:val="002D622E"/>
    <w:rsid w:val="002D769F"/>
    <w:rsid w:val="002D7E83"/>
    <w:rsid w:val="002E03A1"/>
    <w:rsid w:val="002E0443"/>
    <w:rsid w:val="002E14C9"/>
    <w:rsid w:val="002E250E"/>
    <w:rsid w:val="002E3205"/>
    <w:rsid w:val="002E3461"/>
    <w:rsid w:val="002E36E4"/>
    <w:rsid w:val="002E398B"/>
    <w:rsid w:val="002E4550"/>
    <w:rsid w:val="002E56C1"/>
    <w:rsid w:val="002E5CCA"/>
    <w:rsid w:val="002E5FDB"/>
    <w:rsid w:val="002F0769"/>
    <w:rsid w:val="002F0ACF"/>
    <w:rsid w:val="002F2B66"/>
    <w:rsid w:val="002F2ECE"/>
    <w:rsid w:val="002F336D"/>
    <w:rsid w:val="002F359D"/>
    <w:rsid w:val="002F3D12"/>
    <w:rsid w:val="002F3E89"/>
    <w:rsid w:val="002F4618"/>
    <w:rsid w:val="002F5A5E"/>
    <w:rsid w:val="002F711C"/>
    <w:rsid w:val="002F7222"/>
    <w:rsid w:val="00300558"/>
    <w:rsid w:val="00300918"/>
    <w:rsid w:val="00300AD7"/>
    <w:rsid w:val="00301AE4"/>
    <w:rsid w:val="00302042"/>
    <w:rsid w:val="00302702"/>
    <w:rsid w:val="00302A7E"/>
    <w:rsid w:val="00303318"/>
    <w:rsid w:val="00303330"/>
    <w:rsid w:val="003047F7"/>
    <w:rsid w:val="003049ED"/>
    <w:rsid w:val="00305416"/>
    <w:rsid w:val="00305851"/>
    <w:rsid w:val="00305878"/>
    <w:rsid w:val="00307704"/>
    <w:rsid w:val="0031005B"/>
    <w:rsid w:val="00310E3D"/>
    <w:rsid w:val="00311249"/>
    <w:rsid w:val="003117FD"/>
    <w:rsid w:val="00312FBA"/>
    <w:rsid w:val="0031349A"/>
    <w:rsid w:val="0031380A"/>
    <w:rsid w:val="003144CC"/>
    <w:rsid w:val="0031512A"/>
    <w:rsid w:val="003162BC"/>
    <w:rsid w:val="00317814"/>
    <w:rsid w:val="003179CF"/>
    <w:rsid w:val="00317AD3"/>
    <w:rsid w:val="00317B87"/>
    <w:rsid w:val="00317D2D"/>
    <w:rsid w:val="00320320"/>
    <w:rsid w:val="003210EC"/>
    <w:rsid w:val="00322230"/>
    <w:rsid w:val="00322BDF"/>
    <w:rsid w:val="00323246"/>
    <w:rsid w:val="00323488"/>
    <w:rsid w:val="00323F22"/>
    <w:rsid w:val="00324DEB"/>
    <w:rsid w:val="00324ED2"/>
    <w:rsid w:val="00325830"/>
    <w:rsid w:val="0032645B"/>
    <w:rsid w:val="00326ABB"/>
    <w:rsid w:val="00331D15"/>
    <w:rsid w:val="00332C9E"/>
    <w:rsid w:val="003330E4"/>
    <w:rsid w:val="003334AE"/>
    <w:rsid w:val="003341FF"/>
    <w:rsid w:val="00334582"/>
    <w:rsid w:val="0033465C"/>
    <w:rsid w:val="0033590C"/>
    <w:rsid w:val="003367F4"/>
    <w:rsid w:val="00337914"/>
    <w:rsid w:val="00337973"/>
    <w:rsid w:val="00340600"/>
    <w:rsid w:val="0034086A"/>
    <w:rsid w:val="003408A1"/>
    <w:rsid w:val="00340F33"/>
    <w:rsid w:val="00341165"/>
    <w:rsid w:val="00341CE4"/>
    <w:rsid w:val="00342CD6"/>
    <w:rsid w:val="0034380A"/>
    <w:rsid w:val="00344DCA"/>
    <w:rsid w:val="00345691"/>
    <w:rsid w:val="00345835"/>
    <w:rsid w:val="00345C39"/>
    <w:rsid w:val="00345EC5"/>
    <w:rsid w:val="0034675B"/>
    <w:rsid w:val="00346AE9"/>
    <w:rsid w:val="00347D21"/>
    <w:rsid w:val="00347D39"/>
    <w:rsid w:val="00347D77"/>
    <w:rsid w:val="00350404"/>
    <w:rsid w:val="003514E7"/>
    <w:rsid w:val="003518A2"/>
    <w:rsid w:val="00351B32"/>
    <w:rsid w:val="00351FE3"/>
    <w:rsid w:val="0035274D"/>
    <w:rsid w:val="00352BDF"/>
    <w:rsid w:val="00354760"/>
    <w:rsid w:val="003558A4"/>
    <w:rsid w:val="00355D98"/>
    <w:rsid w:val="003570C1"/>
    <w:rsid w:val="003603CF"/>
    <w:rsid w:val="00361269"/>
    <w:rsid w:val="00361CE6"/>
    <w:rsid w:val="00361E77"/>
    <w:rsid w:val="00363230"/>
    <w:rsid w:val="00364FA0"/>
    <w:rsid w:val="00366CAC"/>
    <w:rsid w:val="0036773C"/>
    <w:rsid w:val="003677DE"/>
    <w:rsid w:val="00367B2F"/>
    <w:rsid w:val="0037124F"/>
    <w:rsid w:val="00372CA8"/>
    <w:rsid w:val="00372F83"/>
    <w:rsid w:val="003737E3"/>
    <w:rsid w:val="0037387D"/>
    <w:rsid w:val="00373890"/>
    <w:rsid w:val="00375256"/>
    <w:rsid w:val="00375282"/>
    <w:rsid w:val="00375748"/>
    <w:rsid w:val="00375AF3"/>
    <w:rsid w:val="00375C23"/>
    <w:rsid w:val="00376308"/>
    <w:rsid w:val="00376B9A"/>
    <w:rsid w:val="00377021"/>
    <w:rsid w:val="00380497"/>
    <w:rsid w:val="00380CEF"/>
    <w:rsid w:val="00380FA1"/>
    <w:rsid w:val="00381099"/>
    <w:rsid w:val="0038139E"/>
    <w:rsid w:val="003817DC"/>
    <w:rsid w:val="00381D8E"/>
    <w:rsid w:val="00381FE6"/>
    <w:rsid w:val="00382054"/>
    <w:rsid w:val="00382584"/>
    <w:rsid w:val="00382CB9"/>
    <w:rsid w:val="003837F2"/>
    <w:rsid w:val="0038436C"/>
    <w:rsid w:val="003847A5"/>
    <w:rsid w:val="003851F5"/>
    <w:rsid w:val="003859B4"/>
    <w:rsid w:val="00385E2F"/>
    <w:rsid w:val="0038640C"/>
    <w:rsid w:val="00386694"/>
    <w:rsid w:val="00386908"/>
    <w:rsid w:val="003873D6"/>
    <w:rsid w:val="00387540"/>
    <w:rsid w:val="003875C2"/>
    <w:rsid w:val="00387BB0"/>
    <w:rsid w:val="00387F03"/>
    <w:rsid w:val="00390C5A"/>
    <w:rsid w:val="0039270C"/>
    <w:rsid w:val="00393173"/>
    <w:rsid w:val="00393CAD"/>
    <w:rsid w:val="00394153"/>
    <w:rsid w:val="00394737"/>
    <w:rsid w:val="0039536C"/>
    <w:rsid w:val="003962D7"/>
    <w:rsid w:val="00396362"/>
    <w:rsid w:val="0039649D"/>
    <w:rsid w:val="00396580"/>
    <w:rsid w:val="00397E11"/>
    <w:rsid w:val="003A0686"/>
    <w:rsid w:val="003A164B"/>
    <w:rsid w:val="003A1B99"/>
    <w:rsid w:val="003A2017"/>
    <w:rsid w:val="003A2CE3"/>
    <w:rsid w:val="003A3635"/>
    <w:rsid w:val="003A3697"/>
    <w:rsid w:val="003A39CC"/>
    <w:rsid w:val="003A3E08"/>
    <w:rsid w:val="003A40A7"/>
    <w:rsid w:val="003A4A9D"/>
    <w:rsid w:val="003A4CB5"/>
    <w:rsid w:val="003A546F"/>
    <w:rsid w:val="003A6660"/>
    <w:rsid w:val="003A73FC"/>
    <w:rsid w:val="003A7B3D"/>
    <w:rsid w:val="003A7D37"/>
    <w:rsid w:val="003B0F2B"/>
    <w:rsid w:val="003B1ABC"/>
    <w:rsid w:val="003B22A3"/>
    <w:rsid w:val="003B230F"/>
    <w:rsid w:val="003B2EDA"/>
    <w:rsid w:val="003B4182"/>
    <w:rsid w:val="003B46E2"/>
    <w:rsid w:val="003B4C94"/>
    <w:rsid w:val="003B5C18"/>
    <w:rsid w:val="003B66DE"/>
    <w:rsid w:val="003B6E25"/>
    <w:rsid w:val="003C080D"/>
    <w:rsid w:val="003C1165"/>
    <w:rsid w:val="003C1232"/>
    <w:rsid w:val="003C1C07"/>
    <w:rsid w:val="003C1F22"/>
    <w:rsid w:val="003C33BA"/>
    <w:rsid w:val="003C383F"/>
    <w:rsid w:val="003C397C"/>
    <w:rsid w:val="003C3D44"/>
    <w:rsid w:val="003C4736"/>
    <w:rsid w:val="003C4F2C"/>
    <w:rsid w:val="003C540A"/>
    <w:rsid w:val="003C665A"/>
    <w:rsid w:val="003C7568"/>
    <w:rsid w:val="003C776F"/>
    <w:rsid w:val="003C7B84"/>
    <w:rsid w:val="003D083A"/>
    <w:rsid w:val="003D185A"/>
    <w:rsid w:val="003D1C1F"/>
    <w:rsid w:val="003D46F9"/>
    <w:rsid w:val="003D4C87"/>
    <w:rsid w:val="003D5818"/>
    <w:rsid w:val="003D60CB"/>
    <w:rsid w:val="003D6417"/>
    <w:rsid w:val="003D65CF"/>
    <w:rsid w:val="003D69C2"/>
    <w:rsid w:val="003D7120"/>
    <w:rsid w:val="003D71E0"/>
    <w:rsid w:val="003D7A07"/>
    <w:rsid w:val="003D7C0F"/>
    <w:rsid w:val="003D7E2F"/>
    <w:rsid w:val="003E1501"/>
    <w:rsid w:val="003E235D"/>
    <w:rsid w:val="003E247E"/>
    <w:rsid w:val="003E2907"/>
    <w:rsid w:val="003E2CA5"/>
    <w:rsid w:val="003E2F16"/>
    <w:rsid w:val="003E31D4"/>
    <w:rsid w:val="003E3F4D"/>
    <w:rsid w:val="003E4D26"/>
    <w:rsid w:val="003E5367"/>
    <w:rsid w:val="003E542C"/>
    <w:rsid w:val="003E5915"/>
    <w:rsid w:val="003E758F"/>
    <w:rsid w:val="003F078A"/>
    <w:rsid w:val="003F0DB0"/>
    <w:rsid w:val="003F1CD3"/>
    <w:rsid w:val="003F204C"/>
    <w:rsid w:val="003F2B67"/>
    <w:rsid w:val="003F2F81"/>
    <w:rsid w:val="003F2FA5"/>
    <w:rsid w:val="003F3B67"/>
    <w:rsid w:val="003F3C64"/>
    <w:rsid w:val="003F3E63"/>
    <w:rsid w:val="003F3FE9"/>
    <w:rsid w:val="003F41D5"/>
    <w:rsid w:val="003F4638"/>
    <w:rsid w:val="003F52EF"/>
    <w:rsid w:val="003F659D"/>
    <w:rsid w:val="003F6848"/>
    <w:rsid w:val="003F72CF"/>
    <w:rsid w:val="004001FE"/>
    <w:rsid w:val="00400624"/>
    <w:rsid w:val="0040145D"/>
    <w:rsid w:val="0040163A"/>
    <w:rsid w:val="004018D2"/>
    <w:rsid w:val="00402BDA"/>
    <w:rsid w:val="00403246"/>
    <w:rsid w:val="00403319"/>
    <w:rsid w:val="004035F8"/>
    <w:rsid w:val="00403ADE"/>
    <w:rsid w:val="00403D83"/>
    <w:rsid w:val="0040491B"/>
    <w:rsid w:val="0040567A"/>
    <w:rsid w:val="0040581D"/>
    <w:rsid w:val="00405928"/>
    <w:rsid w:val="00405957"/>
    <w:rsid w:val="00405CE5"/>
    <w:rsid w:val="0040624E"/>
    <w:rsid w:val="00406296"/>
    <w:rsid w:val="00406DD8"/>
    <w:rsid w:val="004105E1"/>
    <w:rsid w:val="0041071A"/>
    <w:rsid w:val="00411278"/>
    <w:rsid w:val="004114EB"/>
    <w:rsid w:val="004118DA"/>
    <w:rsid w:val="004129F5"/>
    <w:rsid w:val="004131F0"/>
    <w:rsid w:val="004132FA"/>
    <w:rsid w:val="00416CA0"/>
    <w:rsid w:val="0041737C"/>
    <w:rsid w:val="00421857"/>
    <w:rsid w:val="004219B1"/>
    <w:rsid w:val="00421F4E"/>
    <w:rsid w:val="00422A0A"/>
    <w:rsid w:val="00423AA2"/>
    <w:rsid w:val="0042409A"/>
    <w:rsid w:val="0042433E"/>
    <w:rsid w:val="00424816"/>
    <w:rsid w:val="00425583"/>
    <w:rsid w:val="00425C0F"/>
    <w:rsid w:val="00426E97"/>
    <w:rsid w:val="00426F03"/>
    <w:rsid w:val="00427BD1"/>
    <w:rsid w:val="00430904"/>
    <w:rsid w:val="0043131F"/>
    <w:rsid w:val="004314FA"/>
    <w:rsid w:val="00431A7D"/>
    <w:rsid w:val="004326CF"/>
    <w:rsid w:val="00433B02"/>
    <w:rsid w:val="004344F2"/>
    <w:rsid w:val="004350B0"/>
    <w:rsid w:val="00435E58"/>
    <w:rsid w:val="004363E3"/>
    <w:rsid w:val="004372D4"/>
    <w:rsid w:val="0044087E"/>
    <w:rsid w:val="00440C3F"/>
    <w:rsid w:val="00443655"/>
    <w:rsid w:val="0044403B"/>
    <w:rsid w:val="00444C3D"/>
    <w:rsid w:val="004455DE"/>
    <w:rsid w:val="0044744E"/>
    <w:rsid w:val="00450151"/>
    <w:rsid w:val="0045107D"/>
    <w:rsid w:val="00451377"/>
    <w:rsid w:val="004514A5"/>
    <w:rsid w:val="00452041"/>
    <w:rsid w:val="004520F8"/>
    <w:rsid w:val="00452CA7"/>
    <w:rsid w:val="00452D9D"/>
    <w:rsid w:val="004533C3"/>
    <w:rsid w:val="00453B02"/>
    <w:rsid w:val="00453C9A"/>
    <w:rsid w:val="00453E51"/>
    <w:rsid w:val="004546B1"/>
    <w:rsid w:val="004553BA"/>
    <w:rsid w:val="0045612D"/>
    <w:rsid w:val="00457A0D"/>
    <w:rsid w:val="00457CCC"/>
    <w:rsid w:val="00460FE0"/>
    <w:rsid w:val="00461035"/>
    <w:rsid w:val="00461835"/>
    <w:rsid w:val="00461B94"/>
    <w:rsid w:val="00464A89"/>
    <w:rsid w:val="004658DB"/>
    <w:rsid w:val="0046613E"/>
    <w:rsid w:val="0046732B"/>
    <w:rsid w:val="00467DA6"/>
    <w:rsid w:val="00470453"/>
    <w:rsid w:val="0047072E"/>
    <w:rsid w:val="00470C99"/>
    <w:rsid w:val="00470E68"/>
    <w:rsid w:val="0047122E"/>
    <w:rsid w:val="0047217F"/>
    <w:rsid w:val="00472522"/>
    <w:rsid w:val="004727CB"/>
    <w:rsid w:val="00472B81"/>
    <w:rsid w:val="00473ECC"/>
    <w:rsid w:val="00474093"/>
    <w:rsid w:val="004741D8"/>
    <w:rsid w:val="00474A8D"/>
    <w:rsid w:val="0047736D"/>
    <w:rsid w:val="0047745F"/>
    <w:rsid w:val="004774BA"/>
    <w:rsid w:val="00481938"/>
    <w:rsid w:val="00481CFC"/>
    <w:rsid w:val="00482E37"/>
    <w:rsid w:val="00483B0C"/>
    <w:rsid w:val="004843DE"/>
    <w:rsid w:val="004844BA"/>
    <w:rsid w:val="0048542F"/>
    <w:rsid w:val="0048551A"/>
    <w:rsid w:val="0048573C"/>
    <w:rsid w:val="004865DE"/>
    <w:rsid w:val="00487671"/>
    <w:rsid w:val="0049040D"/>
    <w:rsid w:val="00491939"/>
    <w:rsid w:val="00491955"/>
    <w:rsid w:val="00491EB6"/>
    <w:rsid w:val="00492065"/>
    <w:rsid w:val="00493774"/>
    <w:rsid w:val="00493813"/>
    <w:rsid w:val="004938BC"/>
    <w:rsid w:val="004938FB"/>
    <w:rsid w:val="00493CAA"/>
    <w:rsid w:val="00496285"/>
    <w:rsid w:val="004968F1"/>
    <w:rsid w:val="00496B26"/>
    <w:rsid w:val="004A25A3"/>
    <w:rsid w:val="004A260E"/>
    <w:rsid w:val="004A5618"/>
    <w:rsid w:val="004A6F6E"/>
    <w:rsid w:val="004A71BE"/>
    <w:rsid w:val="004A732B"/>
    <w:rsid w:val="004A7DBC"/>
    <w:rsid w:val="004B031A"/>
    <w:rsid w:val="004B092B"/>
    <w:rsid w:val="004B0E4C"/>
    <w:rsid w:val="004B1A5E"/>
    <w:rsid w:val="004B2DD9"/>
    <w:rsid w:val="004B2F64"/>
    <w:rsid w:val="004B3009"/>
    <w:rsid w:val="004B42F1"/>
    <w:rsid w:val="004B4D92"/>
    <w:rsid w:val="004B4EA7"/>
    <w:rsid w:val="004B5BB7"/>
    <w:rsid w:val="004B6C61"/>
    <w:rsid w:val="004B7622"/>
    <w:rsid w:val="004B7AFE"/>
    <w:rsid w:val="004C0478"/>
    <w:rsid w:val="004C0D2C"/>
    <w:rsid w:val="004C14B7"/>
    <w:rsid w:val="004C206C"/>
    <w:rsid w:val="004C275D"/>
    <w:rsid w:val="004C29FE"/>
    <w:rsid w:val="004C2BA4"/>
    <w:rsid w:val="004C3334"/>
    <w:rsid w:val="004C39C6"/>
    <w:rsid w:val="004C41AC"/>
    <w:rsid w:val="004C45F7"/>
    <w:rsid w:val="004C492C"/>
    <w:rsid w:val="004C4C2A"/>
    <w:rsid w:val="004C564E"/>
    <w:rsid w:val="004C5F69"/>
    <w:rsid w:val="004C6BD2"/>
    <w:rsid w:val="004C73FF"/>
    <w:rsid w:val="004C7BD0"/>
    <w:rsid w:val="004C7C3C"/>
    <w:rsid w:val="004D01B6"/>
    <w:rsid w:val="004D0A27"/>
    <w:rsid w:val="004D163B"/>
    <w:rsid w:val="004D1A1C"/>
    <w:rsid w:val="004D2803"/>
    <w:rsid w:val="004D31A7"/>
    <w:rsid w:val="004D4C1A"/>
    <w:rsid w:val="004D5309"/>
    <w:rsid w:val="004D5310"/>
    <w:rsid w:val="004D6003"/>
    <w:rsid w:val="004D65CB"/>
    <w:rsid w:val="004D6C70"/>
    <w:rsid w:val="004D79D8"/>
    <w:rsid w:val="004E0CCB"/>
    <w:rsid w:val="004E159F"/>
    <w:rsid w:val="004E2266"/>
    <w:rsid w:val="004E3775"/>
    <w:rsid w:val="004E3A98"/>
    <w:rsid w:val="004E3F63"/>
    <w:rsid w:val="004E4A2D"/>
    <w:rsid w:val="004E4A7A"/>
    <w:rsid w:val="004E52D4"/>
    <w:rsid w:val="004E54D6"/>
    <w:rsid w:val="004E5897"/>
    <w:rsid w:val="004E5D45"/>
    <w:rsid w:val="004E6F04"/>
    <w:rsid w:val="004E70DB"/>
    <w:rsid w:val="004E7876"/>
    <w:rsid w:val="004E7B01"/>
    <w:rsid w:val="004E7DB4"/>
    <w:rsid w:val="004F006E"/>
    <w:rsid w:val="004F045E"/>
    <w:rsid w:val="004F0467"/>
    <w:rsid w:val="004F0D1E"/>
    <w:rsid w:val="004F16E9"/>
    <w:rsid w:val="004F1933"/>
    <w:rsid w:val="004F1C34"/>
    <w:rsid w:val="004F246C"/>
    <w:rsid w:val="004F24A7"/>
    <w:rsid w:val="004F3526"/>
    <w:rsid w:val="004F3EC7"/>
    <w:rsid w:val="004F425A"/>
    <w:rsid w:val="004F46AB"/>
    <w:rsid w:val="004F47FD"/>
    <w:rsid w:val="004F58A8"/>
    <w:rsid w:val="004F603D"/>
    <w:rsid w:val="004F6055"/>
    <w:rsid w:val="004F652A"/>
    <w:rsid w:val="004F699A"/>
    <w:rsid w:val="004F79E5"/>
    <w:rsid w:val="00500205"/>
    <w:rsid w:val="00500239"/>
    <w:rsid w:val="00500674"/>
    <w:rsid w:val="00500A67"/>
    <w:rsid w:val="00500CB1"/>
    <w:rsid w:val="005012E0"/>
    <w:rsid w:val="005021ED"/>
    <w:rsid w:val="005023FB"/>
    <w:rsid w:val="00502A24"/>
    <w:rsid w:val="00502E52"/>
    <w:rsid w:val="00503099"/>
    <w:rsid w:val="0050364C"/>
    <w:rsid w:val="00503B44"/>
    <w:rsid w:val="0050408F"/>
    <w:rsid w:val="005042FE"/>
    <w:rsid w:val="00505D90"/>
    <w:rsid w:val="005077B5"/>
    <w:rsid w:val="005077CC"/>
    <w:rsid w:val="00507F62"/>
    <w:rsid w:val="005100B2"/>
    <w:rsid w:val="00510167"/>
    <w:rsid w:val="00510A5B"/>
    <w:rsid w:val="005110D0"/>
    <w:rsid w:val="00511186"/>
    <w:rsid w:val="005115DB"/>
    <w:rsid w:val="00513368"/>
    <w:rsid w:val="00513370"/>
    <w:rsid w:val="00513AAD"/>
    <w:rsid w:val="0051445A"/>
    <w:rsid w:val="00514D2E"/>
    <w:rsid w:val="00514D65"/>
    <w:rsid w:val="00515780"/>
    <w:rsid w:val="005158BF"/>
    <w:rsid w:val="00515E55"/>
    <w:rsid w:val="005166D1"/>
    <w:rsid w:val="00516A2B"/>
    <w:rsid w:val="00516A81"/>
    <w:rsid w:val="00516FCC"/>
    <w:rsid w:val="00517F5C"/>
    <w:rsid w:val="00520B51"/>
    <w:rsid w:val="00520C2B"/>
    <w:rsid w:val="00520E6C"/>
    <w:rsid w:val="005212DA"/>
    <w:rsid w:val="005218EC"/>
    <w:rsid w:val="00521C11"/>
    <w:rsid w:val="00521E4D"/>
    <w:rsid w:val="00522D59"/>
    <w:rsid w:val="005234BC"/>
    <w:rsid w:val="0052386F"/>
    <w:rsid w:val="005241FB"/>
    <w:rsid w:val="005244B8"/>
    <w:rsid w:val="005246CD"/>
    <w:rsid w:val="00524F44"/>
    <w:rsid w:val="00527189"/>
    <w:rsid w:val="00530062"/>
    <w:rsid w:val="00530627"/>
    <w:rsid w:val="00530722"/>
    <w:rsid w:val="00530F3A"/>
    <w:rsid w:val="005314D2"/>
    <w:rsid w:val="005314EA"/>
    <w:rsid w:val="00531576"/>
    <w:rsid w:val="005318AB"/>
    <w:rsid w:val="00531D34"/>
    <w:rsid w:val="00531D39"/>
    <w:rsid w:val="00532206"/>
    <w:rsid w:val="00533212"/>
    <w:rsid w:val="005332BA"/>
    <w:rsid w:val="005342B7"/>
    <w:rsid w:val="005346CC"/>
    <w:rsid w:val="005346D3"/>
    <w:rsid w:val="0053508A"/>
    <w:rsid w:val="005357C9"/>
    <w:rsid w:val="00536124"/>
    <w:rsid w:val="005363DC"/>
    <w:rsid w:val="005366A0"/>
    <w:rsid w:val="005368CE"/>
    <w:rsid w:val="0053706D"/>
    <w:rsid w:val="00537657"/>
    <w:rsid w:val="00537C42"/>
    <w:rsid w:val="005401F9"/>
    <w:rsid w:val="0054039C"/>
    <w:rsid w:val="00540F79"/>
    <w:rsid w:val="00541502"/>
    <w:rsid w:val="00541B0D"/>
    <w:rsid w:val="0054286B"/>
    <w:rsid w:val="005428E5"/>
    <w:rsid w:val="00542EFB"/>
    <w:rsid w:val="00543355"/>
    <w:rsid w:val="00543953"/>
    <w:rsid w:val="005442E1"/>
    <w:rsid w:val="00544A25"/>
    <w:rsid w:val="00544D59"/>
    <w:rsid w:val="00544FAE"/>
    <w:rsid w:val="00545271"/>
    <w:rsid w:val="00545440"/>
    <w:rsid w:val="00545AED"/>
    <w:rsid w:val="0054623A"/>
    <w:rsid w:val="00546492"/>
    <w:rsid w:val="00546B43"/>
    <w:rsid w:val="00547120"/>
    <w:rsid w:val="00550393"/>
    <w:rsid w:val="00550E27"/>
    <w:rsid w:val="00550F65"/>
    <w:rsid w:val="005515A2"/>
    <w:rsid w:val="005518E4"/>
    <w:rsid w:val="00551F08"/>
    <w:rsid w:val="005521A7"/>
    <w:rsid w:val="00552D48"/>
    <w:rsid w:val="00552DDB"/>
    <w:rsid w:val="0055350F"/>
    <w:rsid w:val="0055358D"/>
    <w:rsid w:val="00553803"/>
    <w:rsid w:val="00554B9F"/>
    <w:rsid w:val="00554FFF"/>
    <w:rsid w:val="005551E1"/>
    <w:rsid w:val="005555FF"/>
    <w:rsid w:val="00555F08"/>
    <w:rsid w:val="005560D1"/>
    <w:rsid w:val="0055662D"/>
    <w:rsid w:val="00556B48"/>
    <w:rsid w:val="00556E5B"/>
    <w:rsid w:val="0056146B"/>
    <w:rsid w:val="0056163A"/>
    <w:rsid w:val="00562510"/>
    <w:rsid w:val="00562C68"/>
    <w:rsid w:val="0056314A"/>
    <w:rsid w:val="0056325D"/>
    <w:rsid w:val="00563495"/>
    <w:rsid w:val="00565BDD"/>
    <w:rsid w:val="00566080"/>
    <w:rsid w:val="005662CE"/>
    <w:rsid w:val="0056658D"/>
    <w:rsid w:val="0057056E"/>
    <w:rsid w:val="005717E9"/>
    <w:rsid w:val="00571C25"/>
    <w:rsid w:val="00571F66"/>
    <w:rsid w:val="00572005"/>
    <w:rsid w:val="00572DE7"/>
    <w:rsid w:val="00572E45"/>
    <w:rsid w:val="00573072"/>
    <w:rsid w:val="00573AD0"/>
    <w:rsid w:val="0057421B"/>
    <w:rsid w:val="00574DDB"/>
    <w:rsid w:val="00575D45"/>
    <w:rsid w:val="00575DF5"/>
    <w:rsid w:val="00576267"/>
    <w:rsid w:val="005762BC"/>
    <w:rsid w:val="0057652A"/>
    <w:rsid w:val="00577591"/>
    <w:rsid w:val="005808D0"/>
    <w:rsid w:val="00580BC5"/>
    <w:rsid w:val="005810D4"/>
    <w:rsid w:val="005812DD"/>
    <w:rsid w:val="00581998"/>
    <w:rsid w:val="00582C85"/>
    <w:rsid w:val="00582EDB"/>
    <w:rsid w:val="005831EA"/>
    <w:rsid w:val="005837DD"/>
    <w:rsid w:val="00583B33"/>
    <w:rsid w:val="00583B56"/>
    <w:rsid w:val="00583DC9"/>
    <w:rsid w:val="00584614"/>
    <w:rsid w:val="00584BE1"/>
    <w:rsid w:val="00584D0F"/>
    <w:rsid w:val="00587788"/>
    <w:rsid w:val="00587E8E"/>
    <w:rsid w:val="0059029A"/>
    <w:rsid w:val="00592A2D"/>
    <w:rsid w:val="00592F42"/>
    <w:rsid w:val="00593A48"/>
    <w:rsid w:val="005942B0"/>
    <w:rsid w:val="005943F6"/>
    <w:rsid w:val="00594F5D"/>
    <w:rsid w:val="005951EC"/>
    <w:rsid w:val="00597833"/>
    <w:rsid w:val="005978CB"/>
    <w:rsid w:val="00597D65"/>
    <w:rsid w:val="00597F72"/>
    <w:rsid w:val="005A00F0"/>
    <w:rsid w:val="005A09E8"/>
    <w:rsid w:val="005A1956"/>
    <w:rsid w:val="005A1A41"/>
    <w:rsid w:val="005A2387"/>
    <w:rsid w:val="005A27E8"/>
    <w:rsid w:val="005A347E"/>
    <w:rsid w:val="005A39D5"/>
    <w:rsid w:val="005A405E"/>
    <w:rsid w:val="005A4568"/>
    <w:rsid w:val="005A490A"/>
    <w:rsid w:val="005A7767"/>
    <w:rsid w:val="005B0D09"/>
    <w:rsid w:val="005B1179"/>
    <w:rsid w:val="005B2695"/>
    <w:rsid w:val="005B35EE"/>
    <w:rsid w:val="005B42B8"/>
    <w:rsid w:val="005B4C13"/>
    <w:rsid w:val="005B4F4B"/>
    <w:rsid w:val="005B54ED"/>
    <w:rsid w:val="005B5F6F"/>
    <w:rsid w:val="005B69DC"/>
    <w:rsid w:val="005B6D4A"/>
    <w:rsid w:val="005B71E5"/>
    <w:rsid w:val="005B743D"/>
    <w:rsid w:val="005B7CB6"/>
    <w:rsid w:val="005C0DE6"/>
    <w:rsid w:val="005C12AB"/>
    <w:rsid w:val="005C2374"/>
    <w:rsid w:val="005C2E2D"/>
    <w:rsid w:val="005C2F20"/>
    <w:rsid w:val="005C31BE"/>
    <w:rsid w:val="005C3A13"/>
    <w:rsid w:val="005C5064"/>
    <w:rsid w:val="005C520A"/>
    <w:rsid w:val="005C5C18"/>
    <w:rsid w:val="005C5C4D"/>
    <w:rsid w:val="005C6410"/>
    <w:rsid w:val="005C7BC8"/>
    <w:rsid w:val="005D002D"/>
    <w:rsid w:val="005D0084"/>
    <w:rsid w:val="005D18DA"/>
    <w:rsid w:val="005D22E1"/>
    <w:rsid w:val="005D4338"/>
    <w:rsid w:val="005D43FF"/>
    <w:rsid w:val="005D477A"/>
    <w:rsid w:val="005D5985"/>
    <w:rsid w:val="005D5AE0"/>
    <w:rsid w:val="005D6757"/>
    <w:rsid w:val="005D7A16"/>
    <w:rsid w:val="005D7C47"/>
    <w:rsid w:val="005D7F3A"/>
    <w:rsid w:val="005D7FB5"/>
    <w:rsid w:val="005E1A8A"/>
    <w:rsid w:val="005E269E"/>
    <w:rsid w:val="005E2983"/>
    <w:rsid w:val="005E421E"/>
    <w:rsid w:val="005E43F3"/>
    <w:rsid w:val="005E4465"/>
    <w:rsid w:val="005E5B0C"/>
    <w:rsid w:val="005E63FC"/>
    <w:rsid w:val="005E6DD8"/>
    <w:rsid w:val="005F000B"/>
    <w:rsid w:val="005F07A9"/>
    <w:rsid w:val="005F0ADB"/>
    <w:rsid w:val="005F186F"/>
    <w:rsid w:val="005F2498"/>
    <w:rsid w:val="005F35C3"/>
    <w:rsid w:val="005F35FC"/>
    <w:rsid w:val="005F3A75"/>
    <w:rsid w:val="005F4045"/>
    <w:rsid w:val="005F51B3"/>
    <w:rsid w:val="005F5BA4"/>
    <w:rsid w:val="005F6CCA"/>
    <w:rsid w:val="005F71DD"/>
    <w:rsid w:val="005F7473"/>
    <w:rsid w:val="005F774B"/>
    <w:rsid w:val="00600037"/>
    <w:rsid w:val="006010EA"/>
    <w:rsid w:val="006020FD"/>
    <w:rsid w:val="006036F6"/>
    <w:rsid w:val="00605571"/>
    <w:rsid w:val="00605622"/>
    <w:rsid w:val="0060696A"/>
    <w:rsid w:val="00606BBE"/>
    <w:rsid w:val="00606C2F"/>
    <w:rsid w:val="00607165"/>
    <w:rsid w:val="006102FC"/>
    <w:rsid w:val="00610C84"/>
    <w:rsid w:val="00611128"/>
    <w:rsid w:val="00611755"/>
    <w:rsid w:val="00611A42"/>
    <w:rsid w:val="00611FED"/>
    <w:rsid w:val="00612541"/>
    <w:rsid w:val="0061283D"/>
    <w:rsid w:val="00612C9E"/>
    <w:rsid w:val="00613405"/>
    <w:rsid w:val="00614C08"/>
    <w:rsid w:val="00615637"/>
    <w:rsid w:val="00616443"/>
    <w:rsid w:val="0062055B"/>
    <w:rsid w:val="006209EC"/>
    <w:rsid w:val="00620F13"/>
    <w:rsid w:val="006212DC"/>
    <w:rsid w:val="00621F68"/>
    <w:rsid w:val="00621F76"/>
    <w:rsid w:val="0062351E"/>
    <w:rsid w:val="00623B4E"/>
    <w:rsid w:val="006243B4"/>
    <w:rsid w:val="006252AA"/>
    <w:rsid w:val="0062530E"/>
    <w:rsid w:val="00625981"/>
    <w:rsid w:val="00626227"/>
    <w:rsid w:val="00626E79"/>
    <w:rsid w:val="00626E83"/>
    <w:rsid w:val="00627764"/>
    <w:rsid w:val="00630D56"/>
    <w:rsid w:val="00631385"/>
    <w:rsid w:val="00631B38"/>
    <w:rsid w:val="00631ED1"/>
    <w:rsid w:val="00632083"/>
    <w:rsid w:val="0063286B"/>
    <w:rsid w:val="00633A09"/>
    <w:rsid w:val="00633B1E"/>
    <w:rsid w:val="00633B4E"/>
    <w:rsid w:val="006343B7"/>
    <w:rsid w:val="0063440F"/>
    <w:rsid w:val="006366C3"/>
    <w:rsid w:val="00636758"/>
    <w:rsid w:val="00636883"/>
    <w:rsid w:val="00636B31"/>
    <w:rsid w:val="006373A7"/>
    <w:rsid w:val="006373DE"/>
    <w:rsid w:val="006376C1"/>
    <w:rsid w:val="0064045E"/>
    <w:rsid w:val="00640750"/>
    <w:rsid w:val="006407C2"/>
    <w:rsid w:val="006410B2"/>
    <w:rsid w:val="006416B7"/>
    <w:rsid w:val="0064184E"/>
    <w:rsid w:val="00642495"/>
    <w:rsid w:val="006443AF"/>
    <w:rsid w:val="00644A32"/>
    <w:rsid w:val="00644B8F"/>
    <w:rsid w:val="00644DFE"/>
    <w:rsid w:val="00647725"/>
    <w:rsid w:val="00647C0E"/>
    <w:rsid w:val="0065045C"/>
    <w:rsid w:val="00650628"/>
    <w:rsid w:val="006507B8"/>
    <w:rsid w:val="006508BF"/>
    <w:rsid w:val="00650D31"/>
    <w:rsid w:val="0065333D"/>
    <w:rsid w:val="0065547E"/>
    <w:rsid w:val="00655EB3"/>
    <w:rsid w:val="0065644F"/>
    <w:rsid w:val="00656F29"/>
    <w:rsid w:val="00657151"/>
    <w:rsid w:val="00657765"/>
    <w:rsid w:val="00657934"/>
    <w:rsid w:val="00657D06"/>
    <w:rsid w:val="0066020C"/>
    <w:rsid w:val="006605FA"/>
    <w:rsid w:val="00660B0A"/>
    <w:rsid w:val="006625C2"/>
    <w:rsid w:val="00662AAE"/>
    <w:rsid w:val="00663331"/>
    <w:rsid w:val="00663340"/>
    <w:rsid w:val="00663FBB"/>
    <w:rsid w:val="00664A71"/>
    <w:rsid w:val="00667F4B"/>
    <w:rsid w:val="0067042B"/>
    <w:rsid w:val="006705FC"/>
    <w:rsid w:val="00670956"/>
    <w:rsid w:val="00670DEA"/>
    <w:rsid w:val="00671208"/>
    <w:rsid w:val="00671351"/>
    <w:rsid w:val="00672793"/>
    <w:rsid w:val="006727CE"/>
    <w:rsid w:val="00672A8B"/>
    <w:rsid w:val="00674485"/>
    <w:rsid w:val="00674643"/>
    <w:rsid w:val="006754EF"/>
    <w:rsid w:val="00675534"/>
    <w:rsid w:val="00675BD9"/>
    <w:rsid w:val="0067627B"/>
    <w:rsid w:val="0067629A"/>
    <w:rsid w:val="00676BFB"/>
    <w:rsid w:val="00676CE5"/>
    <w:rsid w:val="0067764B"/>
    <w:rsid w:val="00677D13"/>
    <w:rsid w:val="00677F51"/>
    <w:rsid w:val="00681493"/>
    <w:rsid w:val="0068251B"/>
    <w:rsid w:val="00683F42"/>
    <w:rsid w:val="00683FEF"/>
    <w:rsid w:val="006843D1"/>
    <w:rsid w:val="0068506E"/>
    <w:rsid w:val="00685A99"/>
    <w:rsid w:val="0068718D"/>
    <w:rsid w:val="006878A6"/>
    <w:rsid w:val="00690585"/>
    <w:rsid w:val="00690A2F"/>
    <w:rsid w:val="006910B7"/>
    <w:rsid w:val="0069200B"/>
    <w:rsid w:val="0069264A"/>
    <w:rsid w:val="006934A8"/>
    <w:rsid w:val="00693D21"/>
    <w:rsid w:val="0069412B"/>
    <w:rsid w:val="0069420C"/>
    <w:rsid w:val="0069450D"/>
    <w:rsid w:val="0069536D"/>
    <w:rsid w:val="00695708"/>
    <w:rsid w:val="00695D99"/>
    <w:rsid w:val="006963D8"/>
    <w:rsid w:val="00696B94"/>
    <w:rsid w:val="00696FA0"/>
    <w:rsid w:val="00697496"/>
    <w:rsid w:val="006A0E0D"/>
    <w:rsid w:val="006A159D"/>
    <w:rsid w:val="006A15BE"/>
    <w:rsid w:val="006A19BD"/>
    <w:rsid w:val="006A37D8"/>
    <w:rsid w:val="006A43A9"/>
    <w:rsid w:val="006A4C88"/>
    <w:rsid w:val="006A537B"/>
    <w:rsid w:val="006A5737"/>
    <w:rsid w:val="006A5BE7"/>
    <w:rsid w:val="006A7506"/>
    <w:rsid w:val="006A7EEC"/>
    <w:rsid w:val="006B02E7"/>
    <w:rsid w:val="006B0873"/>
    <w:rsid w:val="006B0C34"/>
    <w:rsid w:val="006B13AA"/>
    <w:rsid w:val="006B31D3"/>
    <w:rsid w:val="006B3AFD"/>
    <w:rsid w:val="006B3E47"/>
    <w:rsid w:val="006B3F2B"/>
    <w:rsid w:val="006B5055"/>
    <w:rsid w:val="006B6048"/>
    <w:rsid w:val="006B6362"/>
    <w:rsid w:val="006B6F39"/>
    <w:rsid w:val="006B74FA"/>
    <w:rsid w:val="006B765F"/>
    <w:rsid w:val="006B7C62"/>
    <w:rsid w:val="006B7DEB"/>
    <w:rsid w:val="006C1067"/>
    <w:rsid w:val="006C2B64"/>
    <w:rsid w:val="006C39D2"/>
    <w:rsid w:val="006C39E1"/>
    <w:rsid w:val="006C3A7C"/>
    <w:rsid w:val="006C42C2"/>
    <w:rsid w:val="006C4B40"/>
    <w:rsid w:val="006C5FBE"/>
    <w:rsid w:val="006C662A"/>
    <w:rsid w:val="006C7CE5"/>
    <w:rsid w:val="006D091A"/>
    <w:rsid w:val="006D10B1"/>
    <w:rsid w:val="006D2752"/>
    <w:rsid w:val="006D3525"/>
    <w:rsid w:val="006D437E"/>
    <w:rsid w:val="006D46B2"/>
    <w:rsid w:val="006D5016"/>
    <w:rsid w:val="006D533B"/>
    <w:rsid w:val="006D56A5"/>
    <w:rsid w:val="006D5A48"/>
    <w:rsid w:val="006D5AB1"/>
    <w:rsid w:val="006D667A"/>
    <w:rsid w:val="006D6C22"/>
    <w:rsid w:val="006D78C7"/>
    <w:rsid w:val="006D7D92"/>
    <w:rsid w:val="006E072B"/>
    <w:rsid w:val="006E0FCD"/>
    <w:rsid w:val="006E1046"/>
    <w:rsid w:val="006E1134"/>
    <w:rsid w:val="006E11DC"/>
    <w:rsid w:val="006E144C"/>
    <w:rsid w:val="006E2276"/>
    <w:rsid w:val="006E2482"/>
    <w:rsid w:val="006E3241"/>
    <w:rsid w:val="006E3E50"/>
    <w:rsid w:val="006E4214"/>
    <w:rsid w:val="006E45DF"/>
    <w:rsid w:val="006E5243"/>
    <w:rsid w:val="006E5533"/>
    <w:rsid w:val="006E636A"/>
    <w:rsid w:val="006E6817"/>
    <w:rsid w:val="006E6936"/>
    <w:rsid w:val="006E6B10"/>
    <w:rsid w:val="006F0C4C"/>
    <w:rsid w:val="006F1099"/>
    <w:rsid w:val="006F15B6"/>
    <w:rsid w:val="006F201C"/>
    <w:rsid w:val="006F30BA"/>
    <w:rsid w:val="006F462C"/>
    <w:rsid w:val="006F4E62"/>
    <w:rsid w:val="006F5289"/>
    <w:rsid w:val="006F5F76"/>
    <w:rsid w:val="006F60C7"/>
    <w:rsid w:val="006F6504"/>
    <w:rsid w:val="006F759B"/>
    <w:rsid w:val="006F78B7"/>
    <w:rsid w:val="006F7971"/>
    <w:rsid w:val="007016DE"/>
    <w:rsid w:val="007016FD"/>
    <w:rsid w:val="007025E3"/>
    <w:rsid w:val="00703042"/>
    <w:rsid w:val="00705669"/>
    <w:rsid w:val="00705BD9"/>
    <w:rsid w:val="00706098"/>
    <w:rsid w:val="007075FE"/>
    <w:rsid w:val="00707800"/>
    <w:rsid w:val="00707C4A"/>
    <w:rsid w:val="00710958"/>
    <w:rsid w:val="007125B3"/>
    <w:rsid w:val="007132CF"/>
    <w:rsid w:val="00713300"/>
    <w:rsid w:val="00713500"/>
    <w:rsid w:val="00713B31"/>
    <w:rsid w:val="00713FF1"/>
    <w:rsid w:val="00714306"/>
    <w:rsid w:val="00714CC4"/>
    <w:rsid w:val="00715DB3"/>
    <w:rsid w:val="00715F64"/>
    <w:rsid w:val="007172AF"/>
    <w:rsid w:val="007173AC"/>
    <w:rsid w:val="00721800"/>
    <w:rsid w:val="00721A64"/>
    <w:rsid w:val="00723CB2"/>
    <w:rsid w:val="00723EDD"/>
    <w:rsid w:val="00723F7C"/>
    <w:rsid w:val="00724F9C"/>
    <w:rsid w:val="007251F3"/>
    <w:rsid w:val="00725242"/>
    <w:rsid w:val="007265FC"/>
    <w:rsid w:val="0072679E"/>
    <w:rsid w:val="00726AEF"/>
    <w:rsid w:val="0072755E"/>
    <w:rsid w:val="00730903"/>
    <w:rsid w:val="00730C64"/>
    <w:rsid w:val="007312D7"/>
    <w:rsid w:val="00731D1B"/>
    <w:rsid w:val="00731DB5"/>
    <w:rsid w:val="00732292"/>
    <w:rsid w:val="00732313"/>
    <w:rsid w:val="00733787"/>
    <w:rsid w:val="007356BB"/>
    <w:rsid w:val="00735842"/>
    <w:rsid w:val="007359D0"/>
    <w:rsid w:val="00735B2B"/>
    <w:rsid w:val="00735D52"/>
    <w:rsid w:val="007363DF"/>
    <w:rsid w:val="00736D66"/>
    <w:rsid w:val="00736F31"/>
    <w:rsid w:val="007416A5"/>
    <w:rsid w:val="00741875"/>
    <w:rsid w:val="00741A49"/>
    <w:rsid w:val="00741ADC"/>
    <w:rsid w:val="00741BE9"/>
    <w:rsid w:val="0074388E"/>
    <w:rsid w:val="00743FBA"/>
    <w:rsid w:val="00744388"/>
    <w:rsid w:val="0074439A"/>
    <w:rsid w:val="007451C6"/>
    <w:rsid w:val="00745370"/>
    <w:rsid w:val="007455BC"/>
    <w:rsid w:val="0074570F"/>
    <w:rsid w:val="00745C45"/>
    <w:rsid w:val="00745D77"/>
    <w:rsid w:val="00746729"/>
    <w:rsid w:val="00747B08"/>
    <w:rsid w:val="00751ABA"/>
    <w:rsid w:val="00752EB5"/>
    <w:rsid w:val="00753493"/>
    <w:rsid w:val="007539F3"/>
    <w:rsid w:val="00754542"/>
    <w:rsid w:val="00754E74"/>
    <w:rsid w:val="00755AE5"/>
    <w:rsid w:val="00755D82"/>
    <w:rsid w:val="00755F28"/>
    <w:rsid w:val="007560B0"/>
    <w:rsid w:val="0075650E"/>
    <w:rsid w:val="00756E8D"/>
    <w:rsid w:val="007573F8"/>
    <w:rsid w:val="00757585"/>
    <w:rsid w:val="00757DAC"/>
    <w:rsid w:val="00760D1F"/>
    <w:rsid w:val="00761712"/>
    <w:rsid w:val="00761F1A"/>
    <w:rsid w:val="00762459"/>
    <w:rsid w:val="0076286C"/>
    <w:rsid w:val="0076338D"/>
    <w:rsid w:val="0076429B"/>
    <w:rsid w:val="00764450"/>
    <w:rsid w:val="00765282"/>
    <w:rsid w:val="0077178A"/>
    <w:rsid w:val="00772AF8"/>
    <w:rsid w:val="007730CF"/>
    <w:rsid w:val="0077321D"/>
    <w:rsid w:val="00773364"/>
    <w:rsid w:val="00773700"/>
    <w:rsid w:val="00773DDD"/>
    <w:rsid w:val="0077477C"/>
    <w:rsid w:val="00774DFC"/>
    <w:rsid w:val="00775C32"/>
    <w:rsid w:val="007762E0"/>
    <w:rsid w:val="0077633A"/>
    <w:rsid w:val="00776636"/>
    <w:rsid w:val="007770C2"/>
    <w:rsid w:val="0077738B"/>
    <w:rsid w:val="00777A0A"/>
    <w:rsid w:val="00777ACA"/>
    <w:rsid w:val="00777FD4"/>
    <w:rsid w:val="00780FB0"/>
    <w:rsid w:val="00781812"/>
    <w:rsid w:val="00782315"/>
    <w:rsid w:val="00782BCE"/>
    <w:rsid w:val="00782EBA"/>
    <w:rsid w:val="00783DEA"/>
    <w:rsid w:val="00783EE1"/>
    <w:rsid w:val="00784E72"/>
    <w:rsid w:val="00784EB2"/>
    <w:rsid w:val="00785150"/>
    <w:rsid w:val="007855A4"/>
    <w:rsid w:val="0078570C"/>
    <w:rsid w:val="00785CCB"/>
    <w:rsid w:val="00787E3A"/>
    <w:rsid w:val="0079190B"/>
    <w:rsid w:val="00791C2A"/>
    <w:rsid w:val="00792048"/>
    <w:rsid w:val="00792297"/>
    <w:rsid w:val="007925D7"/>
    <w:rsid w:val="00792CD0"/>
    <w:rsid w:val="00793808"/>
    <w:rsid w:val="007939E2"/>
    <w:rsid w:val="00793EC7"/>
    <w:rsid w:val="0079491F"/>
    <w:rsid w:val="00794970"/>
    <w:rsid w:val="00795085"/>
    <w:rsid w:val="00795D96"/>
    <w:rsid w:val="007971E7"/>
    <w:rsid w:val="007979A4"/>
    <w:rsid w:val="007A1AEE"/>
    <w:rsid w:val="007A2C5B"/>
    <w:rsid w:val="007A2CD9"/>
    <w:rsid w:val="007A2F5F"/>
    <w:rsid w:val="007A3822"/>
    <w:rsid w:val="007A4D4B"/>
    <w:rsid w:val="007A4E2A"/>
    <w:rsid w:val="007A5932"/>
    <w:rsid w:val="007A5AF1"/>
    <w:rsid w:val="007A5FEC"/>
    <w:rsid w:val="007A6673"/>
    <w:rsid w:val="007A6B05"/>
    <w:rsid w:val="007B09FC"/>
    <w:rsid w:val="007B0A60"/>
    <w:rsid w:val="007B133D"/>
    <w:rsid w:val="007B1FA4"/>
    <w:rsid w:val="007B23C9"/>
    <w:rsid w:val="007B262B"/>
    <w:rsid w:val="007B3D17"/>
    <w:rsid w:val="007B3F47"/>
    <w:rsid w:val="007B4180"/>
    <w:rsid w:val="007B497F"/>
    <w:rsid w:val="007B4A19"/>
    <w:rsid w:val="007B4AFA"/>
    <w:rsid w:val="007B4CEA"/>
    <w:rsid w:val="007B50AE"/>
    <w:rsid w:val="007B50CD"/>
    <w:rsid w:val="007B5F17"/>
    <w:rsid w:val="007B6CBD"/>
    <w:rsid w:val="007B7849"/>
    <w:rsid w:val="007B786E"/>
    <w:rsid w:val="007C0501"/>
    <w:rsid w:val="007C06DF"/>
    <w:rsid w:val="007C1697"/>
    <w:rsid w:val="007C196C"/>
    <w:rsid w:val="007C1AB5"/>
    <w:rsid w:val="007C2295"/>
    <w:rsid w:val="007C2463"/>
    <w:rsid w:val="007C3E5C"/>
    <w:rsid w:val="007C4356"/>
    <w:rsid w:val="007C44D7"/>
    <w:rsid w:val="007C6FB5"/>
    <w:rsid w:val="007C7237"/>
    <w:rsid w:val="007C7F21"/>
    <w:rsid w:val="007D083D"/>
    <w:rsid w:val="007D0938"/>
    <w:rsid w:val="007D0984"/>
    <w:rsid w:val="007D128D"/>
    <w:rsid w:val="007D1854"/>
    <w:rsid w:val="007D1FCD"/>
    <w:rsid w:val="007D3751"/>
    <w:rsid w:val="007D387A"/>
    <w:rsid w:val="007D3F52"/>
    <w:rsid w:val="007D501F"/>
    <w:rsid w:val="007D5333"/>
    <w:rsid w:val="007D55A9"/>
    <w:rsid w:val="007D5A18"/>
    <w:rsid w:val="007D5F5B"/>
    <w:rsid w:val="007D6956"/>
    <w:rsid w:val="007D72DD"/>
    <w:rsid w:val="007D7544"/>
    <w:rsid w:val="007D7CE9"/>
    <w:rsid w:val="007D7E3A"/>
    <w:rsid w:val="007E0099"/>
    <w:rsid w:val="007E013D"/>
    <w:rsid w:val="007E0B51"/>
    <w:rsid w:val="007E0D4F"/>
    <w:rsid w:val="007E1603"/>
    <w:rsid w:val="007E17E8"/>
    <w:rsid w:val="007E1D0A"/>
    <w:rsid w:val="007E299C"/>
    <w:rsid w:val="007E29AA"/>
    <w:rsid w:val="007E35A2"/>
    <w:rsid w:val="007E39F9"/>
    <w:rsid w:val="007E3A9D"/>
    <w:rsid w:val="007E3C14"/>
    <w:rsid w:val="007E3C5C"/>
    <w:rsid w:val="007E4203"/>
    <w:rsid w:val="007E53C9"/>
    <w:rsid w:val="007E64DC"/>
    <w:rsid w:val="007E764C"/>
    <w:rsid w:val="007F0194"/>
    <w:rsid w:val="007F180C"/>
    <w:rsid w:val="007F1878"/>
    <w:rsid w:val="007F202A"/>
    <w:rsid w:val="007F205A"/>
    <w:rsid w:val="007F230A"/>
    <w:rsid w:val="007F2602"/>
    <w:rsid w:val="007F2EA2"/>
    <w:rsid w:val="007F3403"/>
    <w:rsid w:val="007F35DB"/>
    <w:rsid w:val="007F3748"/>
    <w:rsid w:val="007F3952"/>
    <w:rsid w:val="007F4873"/>
    <w:rsid w:val="007F4B63"/>
    <w:rsid w:val="007F4DF1"/>
    <w:rsid w:val="007F5498"/>
    <w:rsid w:val="007F579B"/>
    <w:rsid w:val="007F6901"/>
    <w:rsid w:val="008003E0"/>
    <w:rsid w:val="00800C40"/>
    <w:rsid w:val="008016D9"/>
    <w:rsid w:val="0080274C"/>
    <w:rsid w:val="00802E2B"/>
    <w:rsid w:val="0080341D"/>
    <w:rsid w:val="00803780"/>
    <w:rsid w:val="00803DA1"/>
    <w:rsid w:val="0080467C"/>
    <w:rsid w:val="008063EC"/>
    <w:rsid w:val="0080689B"/>
    <w:rsid w:val="0080714F"/>
    <w:rsid w:val="00807706"/>
    <w:rsid w:val="008077D0"/>
    <w:rsid w:val="00810320"/>
    <w:rsid w:val="00810BD3"/>
    <w:rsid w:val="00811C03"/>
    <w:rsid w:val="00812051"/>
    <w:rsid w:val="008125F9"/>
    <w:rsid w:val="00812C9A"/>
    <w:rsid w:val="008130FF"/>
    <w:rsid w:val="00813DB6"/>
    <w:rsid w:val="00813F52"/>
    <w:rsid w:val="00814D97"/>
    <w:rsid w:val="0081582C"/>
    <w:rsid w:val="00816205"/>
    <w:rsid w:val="00817599"/>
    <w:rsid w:val="008177B2"/>
    <w:rsid w:val="00817F0B"/>
    <w:rsid w:val="00820A39"/>
    <w:rsid w:val="00821823"/>
    <w:rsid w:val="008232F7"/>
    <w:rsid w:val="00823945"/>
    <w:rsid w:val="00823EE4"/>
    <w:rsid w:val="00825366"/>
    <w:rsid w:val="00825844"/>
    <w:rsid w:val="00825D4D"/>
    <w:rsid w:val="00826671"/>
    <w:rsid w:val="008268EF"/>
    <w:rsid w:val="00826FE2"/>
    <w:rsid w:val="00827185"/>
    <w:rsid w:val="00831465"/>
    <w:rsid w:val="0083193B"/>
    <w:rsid w:val="0083257B"/>
    <w:rsid w:val="00833617"/>
    <w:rsid w:val="00833967"/>
    <w:rsid w:val="00835743"/>
    <w:rsid w:val="00835BCD"/>
    <w:rsid w:val="00836208"/>
    <w:rsid w:val="00836E6F"/>
    <w:rsid w:val="00837342"/>
    <w:rsid w:val="008374D2"/>
    <w:rsid w:val="00837A4A"/>
    <w:rsid w:val="008401D8"/>
    <w:rsid w:val="00840FB8"/>
    <w:rsid w:val="00841140"/>
    <w:rsid w:val="008411FA"/>
    <w:rsid w:val="00841DD0"/>
    <w:rsid w:val="00843DA3"/>
    <w:rsid w:val="00844B50"/>
    <w:rsid w:val="008454B6"/>
    <w:rsid w:val="008456E0"/>
    <w:rsid w:val="00845AF6"/>
    <w:rsid w:val="00845D2E"/>
    <w:rsid w:val="00845DCF"/>
    <w:rsid w:val="008463EE"/>
    <w:rsid w:val="008464CA"/>
    <w:rsid w:val="008475D2"/>
    <w:rsid w:val="0085029C"/>
    <w:rsid w:val="00850A66"/>
    <w:rsid w:val="00850E41"/>
    <w:rsid w:val="00851892"/>
    <w:rsid w:val="008522CA"/>
    <w:rsid w:val="0085283A"/>
    <w:rsid w:val="00852A12"/>
    <w:rsid w:val="00854333"/>
    <w:rsid w:val="00854369"/>
    <w:rsid w:val="008568B5"/>
    <w:rsid w:val="00857513"/>
    <w:rsid w:val="00857866"/>
    <w:rsid w:val="00860068"/>
    <w:rsid w:val="00860C20"/>
    <w:rsid w:val="00861929"/>
    <w:rsid w:val="00861B38"/>
    <w:rsid w:val="00861BDB"/>
    <w:rsid w:val="008624F7"/>
    <w:rsid w:val="008631D5"/>
    <w:rsid w:val="008635DF"/>
    <w:rsid w:val="00863D8B"/>
    <w:rsid w:val="008640B8"/>
    <w:rsid w:val="0086506A"/>
    <w:rsid w:val="00865A95"/>
    <w:rsid w:val="00865ADD"/>
    <w:rsid w:val="00866154"/>
    <w:rsid w:val="0086650E"/>
    <w:rsid w:val="00867344"/>
    <w:rsid w:val="00867ABF"/>
    <w:rsid w:val="008700DC"/>
    <w:rsid w:val="00870247"/>
    <w:rsid w:val="00870741"/>
    <w:rsid w:val="0087081D"/>
    <w:rsid w:val="008710C2"/>
    <w:rsid w:val="00871ACE"/>
    <w:rsid w:val="00871CC0"/>
    <w:rsid w:val="00871FA7"/>
    <w:rsid w:val="00872224"/>
    <w:rsid w:val="008726CC"/>
    <w:rsid w:val="0087312E"/>
    <w:rsid w:val="008733AE"/>
    <w:rsid w:val="00873950"/>
    <w:rsid w:val="00874209"/>
    <w:rsid w:val="008742F6"/>
    <w:rsid w:val="00874DB3"/>
    <w:rsid w:val="00874E40"/>
    <w:rsid w:val="0087593D"/>
    <w:rsid w:val="008761DE"/>
    <w:rsid w:val="00877652"/>
    <w:rsid w:val="00877A9B"/>
    <w:rsid w:val="00880465"/>
    <w:rsid w:val="00880763"/>
    <w:rsid w:val="00882760"/>
    <w:rsid w:val="0088321E"/>
    <w:rsid w:val="00883317"/>
    <w:rsid w:val="0088348B"/>
    <w:rsid w:val="0088392A"/>
    <w:rsid w:val="0088395D"/>
    <w:rsid w:val="00883D91"/>
    <w:rsid w:val="008843F3"/>
    <w:rsid w:val="00884F9E"/>
    <w:rsid w:val="008851D7"/>
    <w:rsid w:val="008852AB"/>
    <w:rsid w:val="00885328"/>
    <w:rsid w:val="00885504"/>
    <w:rsid w:val="00886203"/>
    <w:rsid w:val="008864B1"/>
    <w:rsid w:val="00886BFB"/>
    <w:rsid w:val="00886DE7"/>
    <w:rsid w:val="00886F66"/>
    <w:rsid w:val="00890A3B"/>
    <w:rsid w:val="00890A91"/>
    <w:rsid w:val="00890AF6"/>
    <w:rsid w:val="00891906"/>
    <w:rsid w:val="00891D75"/>
    <w:rsid w:val="0089269C"/>
    <w:rsid w:val="008929C3"/>
    <w:rsid w:val="0089308C"/>
    <w:rsid w:val="0089336F"/>
    <w:rsid w:val="00893F71"/>
    <w:rsid w:val="008946F7"/>
    <w:rsid w:val="00894FBC"/>
    <w:rsid w:val="00896338"/>
    <w:rsid w:val="0089673F"/>
    <w:rsid w:val="008972C8"/>
    <w:rsid w:val="008973F3"/>
    <w:rsid w:val="00897B2E"/>
    <w:rsid w:val="00897F23"/>
    <w:rsid w:val="008A10D3"/>
    <w:rsid w:val="008A1C57"/>
    <w:rsid w:val="008A2423"/>
    <w:rsid w:val="008A2439"/>
    <w:rsid w:val="008A293A"/>
    <w:rsid w:val="008A29FE"/>
    <w:rsid w:val="008A3077"/>
    <w:rsid w:val="008A3D67"/>
    <w:rsid w:val="008A470C"/>
    <w:rsid w:val="008A48D8"/>
    <w:rsid w:val="008A4F8A"/>
    <w:rsid w:val="008A581D"/>
    <w:rsid w:val="008A58C9"/>
    <w:rsid w:val="008A5C2E"/>
    <w:rsid w:val="008A5DA0"/>
    <w:rsid w:val="008A67B7"/>
    <w:rsid w:val="008A7350"/>
    <w:rsid w:val="008A78C9"/>
    <w:rsid w:val="008A79E3"/>
    <w:rsid w:val="008A7C9D"/>
    <w:rsid w:val="008B05F5"/>
    <w:rsid w:val="008B0799"/>
    <w:rsid w:val="008B0E7E"/>
    <w:rsid w:val="008B2505"/>
    <w:rsid w:val="008B2A4D"/>
    <w:rsid w:val="008B3031"/>
    <w:rsid w:val="008B3F60"/>
    <w:rsid w:val="008B3FEE"/>
    <w:rsid w:val="008B46D1"/>
    <w:rsid w:val="008B501F"/>
    <w:rsid w:val="008B55F1"/>
    <w:rsid w:val="008B5B26"/>
    <w:rsid w:val="008B5B60"/>
    <w:rsid w:val="008B6525"/>
    <w:rsid w:val="008B6A05"/>
    <w:rsid w:val="008B7073"/>
    <w:rsid w:val="008B76A9"/>
    <w:rsid w:val="008B7C8A"/>
    <w:rsid w:val="008B7E79"/>
    <w:rsid w:val="008C0400"/>
    <w:rsid w:val="008C052F"/>
    <w:rsid w:val="008C0967"/>
    <w:rsid w:val="008C10BF"/>
    <w:rsid w:val="008C268D"/>
    <w:rsid w:val="008C32D9"/>
    <w:rsid w:val="008C447D"/>
    <w:rsid w:val="008C4AB9"/>
    <w:rsid w:val="008C52B1"/>
    <w:rsid w:val="008C5D04"/>
    <w:rsid w:val="008C710B"/>
    <w:rsid w:val="008C752E"/>
    <w:rsid w:val="008C763E"/>
    <w:rsid w:val="008D0BB8"/>
    <w:rsid w:val="008D1698"/>
    <w:rsid w:val="008D1852"/>
    <w:rsid w:val="008D2A38"/>
    <w:rsid w:val="008D2E4B"/>
    <w:rsid w:val="008D2FA2"/>
    <w:rsid w:val="008D30B7"/>
    <w:rsid w:val="008D44EF"/>
    <w:rsid w:val="008D4904"/>
    <w:rsid w:val="008D5D0C"/>
    <w:rsid w:val="008D650C"/>
    <w:rsid w:val="008D7130"/>
    <w:rsid w:val="008E026F"/>
    <w:rsid w:val="008E0FDC"/>
    <w:rsid w:val="008E1028"/>
    <w:rsid w:val="008E1945"/>
    <w:rsid w:val="008E2ABA"/>
    <w:rsid w:val="008E307C"/>
    <w:rsid w:val="008E3481"/>
    <w:rsid w:val="008E43E6"/>
    <w:rsid w:val="008E58AD"/>
    <w:rsid w:val="008E5A92"/>
    <w:rsid w:val="008E5AFF"/>
    <w:rsid w:val="008E5FF3"/>
    <w:rsid w:val="008E63BA"/>
    <w:rsid w:val="008F0FA5"/>
    <w:rsid w:val="008F0FAD"/>
    <w:rsid w:val="008F1480"/>
    <w:rsid w:val="008F213B"/>
    <w:rsid w:val="008F215C"/>
    <w:rsid w:val="008F2396"/>
    <w:rsid w:val="008F317D"/>
    <w:rsid w:val="008F3BEB"/>
    <w:rsid w:val="008F410B"/>
    <w:rsid w:val="008F5472"/>
    <w:rsid w:val="008F5738"/>
    <w:rsid w:val="008F5F8B"/>
    <w:rsid w:val="008F62DD"/>
    <w:rsid w:val="008F723C"/>
    <w:rsid w:val="0090043D"/>
    <w:rsid w:val="0090189D"/>
    <w:rsid w:val="00901C52"/>
    <w:rsid w:val="00902F49"/>
    <w:rsid w:val="00903A0E"/>
    <w:rsid w:val="00903C20"/>
    <w:rsid w:val="00903FDF"/>
    <w:rsid w:val="009048E0"/>
    <w:rsid w:val="009061E3"/>
    <w:rsid w:val="00906351"/>
    <w:rsid w:val="00906412"/>
    <w:rsid w:val="00907C11"/>
    <w:rsid w:val="00907D19"/>
    <w:rsid w:val="009105B7"/>
    <w:rsid w:val="0091096D"/>
    <w:rsid w:val="00912049"/>
    <w:rsid w:val="00912212"/>
    <w:rsid w:val="00912746"/>
    <w:rsid w:val="009128D4"/>
    <w:rsid w:val="00912E20"/>
    <w:rsid w:val="009133A9"/>
    <w:rsid w:val="0091376D"/>
    <w:rsid w:val="00913B03"/>
    <w:rsid w:val="00913FFF"/>
    <w:rsid w:val="00915225"/>
    <w:rsid w:val="009166A0"/>
    <w:rsid w:val="009168D8"/>
    <w:rsid w:val="00917D75"/>
    <w:rsid w:val="00921066"/>
    <w:rsid w:val="009213CC"/>
    <w:rsid w:val="009219EC"/>
    <w:rsid w:val="00921B84"/>
    <w:rsid w:val="00922C0F"/>
    <w:rsid w:val="009237B0"/>
    <w:rsid w:val="00923CAF"/>
    <w:rsid w:val="00924AC3"/>
    <w:rsid w:val="00925B69"/>
    <w:rsid w:val="00926DB8"/>
    <w:rsid w:val="0092704D"/>
    <w:rsid w:val="00930F87"/>
    <w:rsid w:val="00931F61"/>
    <w:rsid w:val="00932E05"/>
    <w:rsid w:val="00933127"/>
    <w:rsid w:val="0093473C"/>
    <w:rsid w:val="0093517E"/>
    <w:rsid w:val="009358B9"/>
    <w:rsid w:val="00936265"/>
    <w:rsid w:val="00936AB1"/>
    <w:rsid w:val="00936C6A"/>
    <w:rsid w:val="00937001"/>
    <w:rsid w:val="009374AE"/>
    <w:rsid w:val="00937D53"/>
    <w:rsid w:val="00941021"/>
    <w:rsid w:val="00941118"/>
    <w:rsid w:val="00941784"/>
    <w:rsid w:val="00941A90"/>
    <w:rsid w:val="009430FE"/>
    <w:rsid w:val="00943316"/>
    <w:rsid w:val="00943A92"/>
    <w:rsid w:val="009465B0"/>
    <w:rsid w:val="00946AEB"/>
    <w:rsid w:val="009473F9"/>
    <w:rsid w:val="0094758B"/>
    <w:rsid w:val="00947E16"/>
    <w:rsid w:val="00950455"/>
    <w:rsid w:val="009522E3"/>
    <w:rsid w:val="00952718"/>
    <w:rsid w:val="00952AB5"/>
    <w:rsid w:val="00953CC7"/>
    <w:rsid w:val="00953F16"/>
    <w:rsid w:val="00953F5A"/>
    <w:rsid w:val="00954785"/>
    <w:rsid w:val="00954A12"/>
    <w:rsid w:val="00955C12"/>
    <w:rsid w:val="00956159"/>
    <w:rsid w:val="00956C42"/>
    <w:rsid w:val="00956CD8"/>
    <w:rsid w:val="00957095"/>
    <w:rsid w:val="00957B01"/>
    <w:rsid w:val="00957BDE"/>
    <w:rsid w:val="00957FC3"/>
    <w:rsid w:val="00962FC0"/>
    <w:rsid w:val="009631DA"/>
    <w:rsid w:val="00963AAD"/>
    <w:rsid w:val="009642D3"/>
    <w:rsid w:val="009648CF"/>
    <w:rsid w:val="00965887"/>
    <w:rsid w:val="00965CBD"/>
    <w:rsid w:val="00966026"/>
    <w:rsid w:val="00966068"/>
    <w:rsid w:val="009669A2"/>
    <w:rsid w:val="00966E8E"/>
    <w:rsid w:val="00970508"/>
    <w:rsid w:val="009729EF"/>
    <w:rsid w:val="009750BB"/>
    <w:rsid w:val="0097517E"/>
    <w:rsid w:val="00975357"/>
    <w:rsid w:val="00975FBB"/>
    <w:rsid w:val="0097663A"/>
    <w:rsid w:val="0097663F"/>
    <w:rsid w:val="00977C43"/>
    <w:rsid w:val="00977E80"/>
    <w:rsid w:val="00980169"/>
    <w:rsid w:val="00980354"/>
    <w:rsid w:val="009806F0"/>
    <w:rsid w:val="009815B0"/>
    <w:rsid w:val="0098258A"/>
    <w:rsid w:val="00982612"/>
    <w:rsid w:val="009830B5"/>
    <w:rsid w:val="00983B9A"/>
    <w:rsid w:val="00984016"/>
    <w:rsid w:val="00984E14"/>
    <w:rsid w:val="009853F4"/>
    <w:rsid w:val="00985C20"/>
    <w:rsid w:val="009867A3"/>
    <w:rsid w:val="00987BDE"/>
    <w:rsid w:val="00990170"/>
    <w:rsid w:val="009907B1"/>
    <w:rsid w:val="00990DAA"/>
    <w:rsid w:val="00991A06"/>
    <w:rsid w:val="00991BB6"/>
    <w:rsid w:val="00992329"/>
    <w:rsid w:val="0099321A"/>
    <w:rsid w:val="009936C0"/>
    <w:rsid w:val="00994053"/>
    <w:rsid w:val="00994718"/>
    <w:rsid w:val="009949F1"/>
    <w:rsid w:val="00995938"/>
    <w:rsid w:val="00995F4A"/>
    <w:rsid w:val="00996536"/>
    <w:rsid w:val="00996D8D"/>
    <w:rsid w:val="00996E2C"/>
    <w:rsid w:val="00997A51"/>
    <w:rsid w:val="00997FA0"/>
    <w:rsid w:val="009A0520"/>
    <w:rsid w:val="009A0D8A"/>
    <w:rsid w:val="009A124B"/>
    <w:rsid w:val="009A2539"/>
    <w:rsid w:val="009A2738"/>
    <w:rsid w:val="009A4C7C"/>
    <w:rsid w:val="009A5781"/>
    <w:rsid w:val="009A57EC"/>
    <w:rsid w:val="009A6D30"/>
    <w:rsid w:val="009B0D87"/>
    <w:rsid w:val="009B23B7"/>
    <w:rsid w:val="009B3525"/>
    <w:rsid w:val="009B4278"/>
    <w:rsid w:val="009B4F78"/>
    <w:rsid w:val="009B56F4"/>
    <w:rsid w:val="009B6764"/>
    <w:rsid w:val="009B7891"/>
    <w:rsid w:val="009B7912"/>
    <w:rsid w:val="009B7957"/>
    <w:rsid w:val="009B7EF8"/>
    <w:rsid w:val="009C163C"/>
    <w:rsid w:val="009C1E7B"/>
    <w:rsid w:val="009C2023"/>
    <w:rsid w:val="009C2975"/>
    <w:rsid w:val="009C495F"/>
    <w:rsid w:val="009C5319"/>
    <w:rsid w:val="009C66D9"/>
    <w:rsid w:val="009C6897"/>
    <w:rsid w:val="009C6F21"/>
    <w:rsid w:val="009D05B2"/>
    <w:rsid w:val="009D1E5F"/>
    <w:rsid w:val="009D26C5"/>
    <w:rsid w:val="009D2ACF"/>
    <w:rsid w:val="009D44F8"/>
    <w:rsid w:val="009D4A0B"/>
    <w:rsid w:val="009D5E0C"/>
    <w:rsid w:val="009D6899"/>
    <w:rsid w:val="009D68B6"/>
    <w:rsid w:val="009D6FF5"/>
    <w:rsid w:val="009E2D62"/>
    <w:rsid w:val="009E361D"/>
    <w:rsid w:val="009E4184"/>
    <w:rsid w:val="009E41A0"/>
    <w:rsid w:val="009E4684"/>
    <w:rsid w:val="009E5CC0"/>
    <w:rsid w:val="009E60A1"/>
    <w:rsid w:val="009E61D0"/>
    <w:rsid w:val="009E6490"/>
    <w:rsid w:val="009E6602"/>
    <w:rsid w:val="009E7524"/>
    <w:rsid w:val="009E7731"/>
    <w:rsid w:val="009E793E"/>
    <w:rsid w:val="009F0302"/>
    <w:rsid w:val="009F1DFE"/>
    <w:rsid w:val="009F27D7"/>
    <w:rsid w:val="009F39D0"/>
    <w:rsid w:val="009F3B41"/>
    <w:rsid w:val="009F442C"/>
    <w:rsid w:val="009F6248"/>
    <w:rsid w:val="009F699E"/>
    <w:rsid w:val="009F76F7"/>
    <w:rsid w:val="009F774E"/>
    <w:rsid w:val="009F7794"/>
    <w:rsid w:val="009F77F4"/>
    <w:rsid w:val="009F7CEA"/>
    <w:rsid w:val="00A000F6"/>
    <w:rsid w:val="00A003A0"/>
    <w:rsid w:val="00A006F5"/>
    <w:rsid w:val="00A008AB"/>
    <w:rsid w:val="00A00D4B"/>
    <w:rsid w:val="00A00DD2"/>
    <w:rsid w:val="00A00EE2"/>
    <w:rsid w:val="00A0101B"/>
    <w:rsid w:val="00A01A27"/>
    <w:rsid w:val="00A01C11"/>
    <w:rsid w:val="00A02F1F"/>
    <w:rsid w:val="00A03739"/>
    <w:rsid w:val="00A04404"/>
    <w:rsid w:val="00A04B0B"/>
    <w:rsid w:val="00A04EC8"/>
    <w:rsid w:val="00A051B3"/>
    <w:rsid w:val="00A052A5"/>
    <w:rsid w:val="00A054C6"/>
    <w:rsid w:val="00A05FD3"/>
    <w:rsid w:val="00A06C7B"/>
    <w:rsid w:val="00A07587"/>
    <w:rsid w:val="00A07796"/>
    <w:rsid w:val="00A07C15"/>
    <w:rsid w:val="00A100A7"/>
    <w:rsid w:val="00A101E1"/>
    <w:rsid w:val="00A1102B"/>
    <w:rsid w:val="00A11DDE"/>
    <w:rsid w:val="00A127FC"/>
    <w:rsid w:val="00A13093"/>
    <w:rsid w:val="00A1493E"/>
    <w:rsid w:val="00A15AEA"/>
    <w:rsid w:val="00A16749"/>
    <w:rsid w:val="00A16E17"/>
    <w:rsid w:val="00A179C9"/>
    <w:rsid w:val="00A17BE6"/>
    <w:rsid w:val="00A17DF9"/>
    <w:rsid w:val="00A20076"/>
    <w:rsid w:val="00A20E86"/>
    <w:rsid w:val="00A21A0F"/>
    <w:rsid w:val="00A22495"/>
    <w:rsid w:val="00A22E0B"/>
    <w:rsid w:val="00A2328A"/>
    <w:rsid w:val="00A24E5E"/>
    <w:rsid w:val="00A25E7C"/>
    <w:rsid w:val="00A262E3"/>
    <w:rsid w:val="00A26A45"/>
    <w:rsid w:val="00A27BF7"/>
    <w:rsid w:val="00A27E40"/>
    <w:rsid w:val="00A30A1F"/>
    <w:rsid w:val="00A3124C"/>
    <w:rsid w:val="00A31B68"/>
    <w:rsid w:val="00A31F85"/>
    <w:rsid w:val="00A32291"/>
    <w:rsid w:val="00A32C60"/>
    <w:rsid w:val="00A34D6D"/>
    <w:rsid w:val="00A3744E"/>
    <w:rsid w:val="00A379C5"/>
    <w:rsid w:val="00A37A26"/>
    <w:rsid w:val="00A40217"/>
    <w:rsid w:val="00A40361"/>
    <w:rsid w:val="00A40399"/>
    <w:rsid w:val="00A40BEE"/>
    <w:rsid w:val="00A40F6B"/>
    <w:rsid w:val="00A41100"/>
    <w:rsid w:val="00A41202"/>
    <w:rsid w:val="00A41DC9"/>
    <w:rsid w:val="00A42347"/>
    <w:rsid w:val="00A42CA7"/>
    <w:rsid w:val="00A42E00"/>
    <w:rsid w:val="00A4377E"/>
    <w:rsid w:val="00A439AD"/>
    <w:rsid w:val="00A460AF"/>
    <w:rsid w:val="00A463D2"/>
    <w:rsid w:val="00A5091F"/>
    <w:rsid w:val="00A51B33"/>
    <w:rsid w:val="00A51E80"/>
    <w:rsid w:val="00A52F5A"/>
    <w:rsid w:val="00A53900"/>
    <w:rsid w:val="00A5485D"/>
    <w:rsid w:val="00A5493C"/>
    <w:rsid w:val="00A56A6C"/>
    <w:rsid w:val="00A56E13"/>
    <w:rsid w:val="00A60487"/>
    <w:rsid w:val="00A60B4D"/>
    <w:rsid w:val="00A62708"/>
    <w:rsid w:val="00A62E2E"/>
    <w:rsid w:val="00A642DA"/>
    <w:rsid w:val="00A64325"/>
    <w:rsid w:val="00A64C9D"/>
    <w:rsid w:val="00A64E19"/>
    <w:rsid w:val="00A65A06"/>
    <w:rsid w:val="00A65A2A"/>
    <w:rsid w:val="00A65DEF"/>
    <w:rsid w:val="00A65FA9"/>
    <w:rsid w:val="00A665ED"/>
    <w:rsid w:val="00A669D8"/>
    <w:rsid w:val="00A67C1C"/>
    <w:rsid w:val="00A67F58"/>
    <w:rsid w:val="00A70255"/>
    <w:rsid w:val="00A704D9"/>
    <w:rsid w:val="00A714EA"/>
    <w:rsid w:val="00A71BCD"/>
    <w:rsid w:val="00A723C9"/>
    <w:rsid w:val="00A739CA"/>
    <w:rsid w:val="00A74996"/>
    <w:rsid w:val="00A7535C"/>
    <w:rsid w:val="00A75B35"/>
    <w:rsid w:val="00A775F0"/>
    <w:rsid w:val="00A77BC7"/>
    <w:rsid w:val="00A8035C"/>
    <w:rsid w:val="00A80555"/>
    <w:rsid w:val="00A80EEC"/>
    <w:rsid w:val="00A8102F"/>
    <w:rsid w:val="00A83EF7"/>
    <w:rsid w:val="00A8447F"/>
    <w:rsid w:val="00A849F8"/>
    <w:rsid w:val="00A850BA"/>
    <w:rsid w:val="00A8569F"/>
    <w:rsid w:val="00A861F2"/>
    <w:rsid w:val="00A86793"/>
    <w:rsid w:val="00A8683B"/>
    <w:rsid w:val="00A87175"/>
    <w:rsid w:val="00A87908"/>
    <w:rsid w:val="00A8795B"/>
    <w:rsid w:val="00A87DA4"/>
    <w:rsid w:val="00A87DC2"/>
    <w:rsid w:val="00A900B6"/>
    <w:rsid w:val="00A9075C"/>
    <w:rsid w:val="00A91FE1"/>
    <w:rsid w:val="00A93157"/>
    <w:rsid w:val="00A9377C"/>
    <w:rsid w:val="00A9416B"/>
    <w:rsid w:val="00A9557E"/>
    <w:rsid w:val="00A95642"/>
    <w:rsid w:val="00A956AD"/>
    <w:rsid w:val="00A9599D"/>
    <w:rsid w:val="00A95DA2"/>
    <w:rsid w:val="00A9616E"/>
    <w:rsid w:val="00A96BB4"/>
    <w:rsid w:val="00A96F86"/>
    <w:rsid w:val="00A974B0"/>
    <w:rsid w:val="00AA0A50"/>
    <w:rsid w:val="00AA0CF2"/>
    <w:rsid w:val="00AA11CB"/>
    <w:rsid w:val="00AA19F0"/>
    <w:rsid w:val="00AA1AE9"/>
    <w:rsid w:val="00AA254F"/>
    <w:rsid w:val="00AA3CFF"/>
    <w:rsid w:val="00AA3D98"/>
    <w:rsid w:val="00AA45F1"/>
    <w:rsid w:val="00AA51B5"/>
    <w:rsid w:val="00AA5A42"/>
    <w:rsid w:val="00AA5E80"/>
    <w:rsid w:val="00AA6B89"/>
    <w:rsid w:val="00AA70AA"/>
    <w:rsid w:val="00AA7543"/>
    <w:rsid w:val="00AB12A1"/>
    <w:rsid w:val="00AB130C"/>
    <w:rsid w:val="00AB1EEE"/>
    <w:rsid w:val="00AB2462"/>
    <w:rsid w:val="00AB2A6E"/>
    <w:rsid w:val="00AB2BF7"/>
    <w:rsid w:val="00AB2D82"/>
    <w:rsid w:val="00AB32BA"/>
    <w:rsid w:val="00AB3CA3"/>
    <w:rsid w:val="00AB3F4F"/>
    <w:rsid w:val="00AB478A"/>
    <w:rsid w:val="00AB4AB7"/>
    <w:rsid w:val="00AB53BD"/>
    <w:rsid w:val="00AB5C49"/>
    <w:rsid w:val="00AB5DEA"/>
    <w:rsid w:val="00AB5DED"/>
    <w:rsid w:val="00AB63BA"/>
    <w:rsid w:val="00AB6B7C"/>
    <w:rsid w:val="00AB6CFE"/>
    <w:rsid w:val="00AC0ACC"/>
    <w:rsid w:val="00AC0D73"/>
    <w:rsid w:val="00AC0EF9"/>
    <w:rsid w:val="00AC1143"/>
    <w:rsid w:val="00AC1204"/>
    <w:rsid w:val="00AC15D0"/>
    <w:rsid w:val="00AC1C83"/>
    <w:rsid w:val="00AC1EF5"/>
    <w:rsid w:val="00AC246A"/>
    <w:rsid w:val="00AC2865"/>
    <w:rsid w:val="00AC2C9A"/>
    <w:rsid w:val="00AC2FD3"/>
    <w:rsid w:val="00AC3523"/>
    <w:rsid w:val="00AC35EE"/>
    <w:rsid w:val="00AC3D00"/>
    <w:rsid w:val="00AC5C8E"/>
    <w:rsid w:val="00AC6141"/>
    <w:rsid w:val="00AC68B3"/>
    <w:rsid w:val="00AC6BB9"/>
    <w:rsid w:val="00AC6C13"/>
    <w:rsid w:val="00AC77D5"/>
    <w:rsid w:val="00AC7924"/>
    <w:rsid w:val="00AD0102"/>
    <w:rsid w:val="00AD1144"/>
    <w:rsid w:val="00AD12A4"/>
    <w:rsid w:val="00AD1730"/>
    <w:rsid w:val="00AD210A"/>
    <w:rsid w:val="00AD2F26"/>
    <w:rsid w:val="00AD43C4"/>
    <w:rsid w:val="00AD4A46"/>
    <w:rsid w:val="00AD4AC1"/>
    <w:rsid w:val="00AD52B3"/>
    <w:rsid w:val="00AD54EF"/>
    <w:rsid w:val="00AD5C80"/>
    <w:rsid w:val="00AD621C"/>
    <w:rsid w:val="00AD649B"/>
    <w:rsid w:val="00AD6D86"/>
    <w:rsid w:val="00AD71E9"/>
    <w:rsid w:val="00AD758C"/>
    <w:rsid w:val="00AE0B23"/>
    <w:rsid w:val="00AE0F96"/>
    <w:rsid w:val="00AE11FE"/>
    <w:rsid w:val="00AE24B9"/>
    <w:rsid w:val="00AE25C1"/>
    <w:rsid w:val="00AE2ABD"/>
    <w:rsid w:val="00AE422D"/>
    <w:rsid w:val="00AE4A03"/>
    <w:rsid w:val="00AE4FB7"/>
    <w:rsid w:val="00AE50A7"/>
    <w:rsid w:val="00AE7139"/>
    <w:rsid w:val="00AE7213"/>
    <w:rsid w:val="00AE7282"/>
    <w:rsid w:val="00AE787A"/>
    <w:rsid w:val="00AE7EE3"/>
    <w:rsid w:val="00AE7EFC"/>
    <w:rsid w:val="00AF0684"/>
    <w:rsid w:val="00AF1519"/>
    <w:rsid w:val="00AF16BE"/>
    <w:rsid w:val="00AF1ED7"/>
    <w:rsid w:val="00AF20F3"/>
    <w:rsid w:val="00AF2674"/>
    <w:rsid w:val="00AF28F1"/>
    <w:rsid w:val="00AF2BD6"/>
    <w:rsid w:val="00AF36D6"/>
    <w:rsid w:val="00AF445E"/>
    <w:rsid w:val="00AF4883"/>
    <w:rsid w:val="00AF593A"/>
    <w:rsid w:val="00AF5B02"/>
    <w:rsid w:val="00AF677F"/>
    <w:rsid w:val="00AF69A6"/>
    <w:rsid w:val="00AF7B49"/>
    <w:rsid w:val="00B02505"/>
    <w:rsid w:val="00B028F7"/>
    <w:rsid w:val="00B03001"/>
    <w:rsid w:val="00B03E8E"/>
    <w:rsid w:val="00B03F6F"/>
    <w:rsid w:val="00B03F7E"/>
    <w:rsid w:val="00B048C2"/>
    <w:rsid w:val="00B04A74"/>
    <w:rsid w:val="00B055B9"/>
    <w:rsid w:val="00B05C16"/>
    <w:rsid w:val="00B05D04"/>
    <w:rsid w:val="00B05D51"/>
    <w:rsid w:val="00B06AA7"/>
    <w:rsid w:val="00B06F5C"/>
    <w:rsid w:val="00B076B7"/>
    <w:rsid w:val="00B07E1F"/>
    <w:rsid w:val="00B07FE8"/>
    <w:rsid w:val="00B10006"/>
    <w:rsid w:val="00B10FCD"/>
    <w:rsid w:val="00B110E1"/>
    <w:rsid w:val="00B119FC"/>
    <w:rsid w:val="00B11B51"/>
    <w:rsid w:val="00B131C7"/>
    <w:rsid w:val="00B133CF"/>
    <w:rsid w:val="00B14637"/>
    <w:rsid w:val="00B15AA8"/>
    <w:rsid w:val="00B164BC"/>
    <w:rsid w:val="00B17D85"/>
    <w:rsid w:val="00B20271"/>
    <w:rsid w:val="00B206B9"/>
    <w:rsid w:val="00B214A6"/>
    <w:rsid w:val="00B218E1"/>
    <w:rsid w:val="00B2263C"/>
    <w:rsid w:val="00B22CF3"/>
    <w:rsid w:val="00B23343"/>
    <w:rsid w:val="00B23CE0"/>
    <w:rsid w:val="00B23EC3"/>
    <w:rsid w:val="00B24688"/>
    <w:rsid w:val="00B252D2"/>
    <w:rsid w:val="00B25A26"/>
    <w:rsid w:val="00B27928"/>
    <w:rsid w:val="00B27C49"/>
    <w:rsid w:val="00B302EF"/>
    <w:rsid w:val="00B30B50"/>
    <w:rsid w:val="00B30EA1"/>
    <w:rsid w:val="00B31ED9"/>
    <w:rsid w:val="00B3238E"/>
    <w:rsid w:val="00B32E2D"/>
    <w:rsid w:val="00B33312"/>
    <w:rsid w:val="00B3458A"/>
    <w:rsid w:val="00B348BC"/>
    <w:rsid w:val="00B3492B"/>
    <w:rsid w:val="00B34B61"/>
    <w:rsid w:val="00B34F90"/>
    <w:rsid w:val="00B36B6B"/>
    <w:rsid w:val="00B36D9B"/>
    <w:rsid w:val="00B37D71"/>
    <w:rsid w:val="00B40658"/>
    <w:rsid w:val="00B40F2E"/>
    <w:rsid w:val="00B43487"/>
    <w:rsid w:val="00B43591"/>
    <w:rsid w:val="00B4368F"/>
    <w:rsid w:val="00B43D5F"/>
    <w:rsid w:val="00B44051"/>
    <w:rsid w:val="00B45077"/>
    <w:rsid w:val="00B451A0"/>
    <w:rsid w:val="00B4548C"/>
    <w:rsid w:val="00B454A1"/>
    <w:rsid w:val="00B456B5"/>
    <w:rsid w:val="00B460CB"/>
    <w:rsid w:val="00B466FA"/>
    <w:rsid w:val="00B46FD1"/>
    <w:rsid w:val="00B47503"/>
    <w:rsid w:val="00B50067"/>
    <w:rsid w:val="00B500AA"/>
    <w:rsid w:val="00B51184"/>
    <w:rsid w:val="00B513AF"/>
    <w:rsid w:val="00B527F2"/>
    <w:rsid w:val="00B52831"/>
    <w:rsid w:val="00B529AB"/>
    <w:rsid w:val="00B53025"/>
    <w:rsid w:val="00B53D3D"/>
    <w:rsid w:val="00B544F2"/>
    <w:rsid w:val="00B54C15"/>
    <w:rsid w:val="00B5518B"/>
    <w:rsid w:val="00B55355"/>
    <w:rsid w:val="00B5568A"/>
    <w:rsid w:val="00B55C88"/>
    <w:rsid w:val="00B565E1"/>
    <w:rsid w:val="00B5727B"/>
    <w:rsid w:val="00B60A02"/>
    <w:rsid w:val="00B621BD"/>
    <w:rsid w:val="00B63888"/>
    <w:rsid w:val="00B63B85"/>
    <w:rsid w:val="00B64037"/>
    <w:rsid w:val="00B640BF"/>
    <w:rsid w:val="00B6467A"/>
    <w:rsid w:val="00B64ABB"/>
    <w:rsid w:val="00B64DC6"/>
    <w:rsid w:val="00B65BD4"/>
    <w:rsid w:val="00B66402"/>
    <w:rsid w:val="00B66493"/>
    <w:rsid w:val="00B66B12"/>
    <w:rsid w:val="00B66B44"/>
    <w:rsid w:val="00B671C3"/>
    <w:rsid w:val="00B671D0"/>
    <w:rsid w:val="00B673BA"/>
    <w:rsid w:val="00B67569"/>
    <w:rsid w:val="00B675AB"/>
    <w:rsid w:val="00B67994"/>
    <w:rsid w:val="00B707F5"/>
    <w:rsid w:val="00B70887"/>
    <w:rsid w:val="00B711A2"/>
    <w:rsid w:val="00B72529"/>
    <w:rsid w:val="00B73894"/>
    <w:rsid w:val="00B74F94"/>
    <w:rsid w:val="00B75156"/>
    <w:rsid w:val="00B751BF"/>
    <w:rsid w:val="00B75B98"/>
    <w:rsid w:val="00B75FC1"/>
    <w:rsid w:val="00B7756D"/>
    <w:rsid w:val="00B77B4B"/>
    <w:rsid w:val="00B77CA3"/>
    <w:rsid w:val="00B80641"/>
    <w:rsid w:val="00B80A5F"/>
    <w:rsid w:val="00B80FC4"/>
    <w:rsid w:val="00B81288"/>
    <w:rsid w:val="00B822D7"/>
    <w:rsid w:val="00B830F4"/>
    <w:rsid w:val="00B83539"/>
    <w:rsid w:val="00B83589"/>
    <w:rsid w:val="00B83AFA"/>
    <w:rsid w:val="00B83B38"/>
    <w:rsid w:val="00B83EDD"/>
    <w:rsid w:val="00B84534"/>
    <w:rsid w:val="00B85254"/>
    <w:rsid w:val="00B86692"/>
    <w:rsid w:val="00B90A77"/>
    <w:rsid w:val="00B9103A"/>
    <w:rsid w:val="00B91128"/>
    <w:rsid w:val="00B91371"/>
    <w:rsid w:val="00B928E3"/>
    <w:rsid w:val="00B93706"/>
    <w:rsid w:val="00B94142"/>
    <w:rsid w:val="00B9466A"/>
    <w:rsid w:val="00B958B6"/>
    <w:rsid w:val="00B95A07"/>
    <w:rsid w:val="00B95FDD"/>
    <w:rsid w:val="00B96089"/>
    <w:rsid w:val="00B9653A"/>
    <w:rsid w:val="00B97E77"/>
    <w:rsid w:val="00BA1664"/>
    <w:rsid w:val="00BA1E47"/>
    <w:rsid w:val="00BA1F44"/>
    <w:rsid w:val="00BA282B"/>
    <w:rsid w:val="00BA309D"/>
    <w:rsid w:val="00BA3D0C"/>
    <w:rsid w:val="00BA47D4"/>
    <w:rsid w:val="00BA4A0A"/>
    <w:rsid w:val="00BA4B50"/>
    <w:rsid w:val="00BA548D"/>
    <w:rsid w:val="00BA598C"/>
    <w:rsid w:val="00BA5D02"/>
    <w:rsid w:val="00BA7B5D"/>
    <w:rsid w:val="00BA7E3C"/>
    <w:rsid w:val="00BB06A3"/>
    <w:rsid w:val="00BB10C3"/>
    <w:rsid w:val="00BB113A"/>
    <w:rsid w:val="00BB19BA"/>
    <w:rsid w:val="00BB3149"/>
    <w:rsid w:val="00BB4DDD"/>
    <w:rsid w:val="00BB4F98"/>
    <w:rsid w:val="00BB63FB"/>
    <w:rsid w:val="00BB6853"/>
    <w:rsid w:val="00BB6C4C"/>
    <w:rsid w:val="00BB74EE"/>
    <w:rsid w:val="00BB7AD8"/>
    <w:rsid w:val="00BB7B56"/>
    <w:rsid w:val="00BC01FE"/>
    <w:rsid w:val="00BC029B"/>
    <w:rsid w:val="00BC0B09"/>
    <w:rsid w:val="00BC1023"/>
    <w:rsid w:val="00BC1318"/>
    <w:rsid w:val="00BC1CC3"/>
    <w:rsid w:val="00BC1DA2"/>
    <w:rsid w:val="00BC213C"/>
    <w:rsid w:val="00BC23F4"/>
    <w:rsid w:val="00BC42FD"/>
    <w:rsid w:val="00BC4B85"/>
    <w:rsid w:val="00BC67B0"/>
    <w:rsid w:val="00BC6926"/>
    <w:rsid w:val="00BC6D74"/>
    <w:rsid w:val="00BC7045"/>
    <w:rsid w:val="00BC7126"/>
    <w:rsid w:val="00BD072F"/>
    <w:rsid w:val="00BD0FFC"/>
    <w:rsid w:val="00BD1DB1"/>
    <w:rsid w:val="00BD2B22"/>
    <w:rsid w:val="00BD2D58"/>
    <w:rsid w:val="00BD2EED"/>
    <w:rsid w:val="00BD340C"/>
    <w:rsid w:val="00BD4166"/>
    <w:rsid w:val="00BD44F2"/>
    <w:rsid w:val="00BD491E"/>
    <w:rsid w:val="00BD4A3E"/>
    <w:rsid w:val="00BD4A6B"/>
    <w:rsid w:val="00BD5C14"/>
    <w:rsid w:val="00BD5F71"/>
    <w:rsid w:val="00BD6109"/>
    <w:rsid w:val="00BD6F49"/>
    <w:rsid w:val="00BD74E0"/>
    <w:rsid w:val="00BD76E0"/>
    <w:rsid w:val="00BE00E7"/>
    <w:rsid w:val="00BE0C60"/>
    <w:rsid w:val="00BE23CF"/>
    <w:rsid w:val="00BE2B33"/>
    <w:rsid w:val="00BE2CD0"/>
    <w:rsid w:val="00BE2E58"/>
    <w:rsid w:val="00BE3A88"/>
    <w:rsid w:val="00BE5131"/>
    <w:rsid w:val="00BE56BE"/>
    <w:rsid w:val="00BE592D"/>
    <w:rsid w:val="00BE5F46"/>
    <w:rsid w:val="00BE6A6B"/>
    <w:rsid w:val="00BE6DC3"/>
    <w:rsid w:val="00BF0160"/>
    <w:rsid w:val="00BF0660"/>
    <w:rsid w:val="00BF1CB5"/>
    <w:rsid w:val="00BF312D"/>
    <w:rsid w:val="00BF366C"/>
    <w:rsid w:val="00BF36C6"/>
    <w:rsid w:val="00BF3C8D"/>
    <w:rsid w:val="00BF3D81"/>
    <w:rsid w:val="00BF3F0F"/>
    <w:rsid w:val="00BF46CD"/>
    <w:rsid w:val="00BF49F3"/>
    <w:rsid w:val="00BF4BC7"/>
    <w:rsid w:val="00BF4CAF"/>
    <w:rsid w:val="00BF50A1"/>
    <w:rsid w:val="00BF5EBA"/>
    <w:rsid w:val="00BF5F2A"/>
    <w:rsid w:val="00BF6628"/>
    <w:rsid w:val="00BF71EC"/>
    <w:rsid w:val="00BF73B1"/>
    <w:rsid w:val="00BF76EA"/>
    <w:rsid w:val="00BF78F8"/>
    <w:rsid w:val="00C004DF"/>
    <w:rsid w:val="00C00657"/>
    <w:rsid w:val="00C01062"/>
    <w:rsid w:val="00C012A5"/>
    <w:rsid w:val="00C014B2"/>
    <w:rsid w:val="00C017A3"/>
    <w:rsid w:val="00C032A6"/>
    <w:rsid w:val="00C033D5"/>
    <w:rsid w:val="00C0342A"/>
    <w:rsid w:val="00C03BA1"/>
    <w:rsid w:val="00C041B3"/>
    <w:rsid w:val="00C04927"/>
    <w:rsid w:val="00C05BE4"/>
    <w:rsid w:val="00C07B2A"/>
    <w:rsid w:val="00C07F0E"/>
    <w:rsid w:val="00C07F6F"/>
    <w:rsid w:val="00C10907"/>
    <w:rsid w:val="00C10ACC"/>
    <w:rsid w:val="00C10C6B"/>
    <w:rsid w:val="00C1161E"/>
    <w:rsid w:val="00C11E6D"/>
    <w:rsid w:val="00C131BB"/>
    <w:rsid w:val="00C136D3"/>
    <w:rsid w:val="00C141EF"/>
    <w:rsid w:val="00C146DC"/>
    <w:rsid w:val="00C14D54"/>
    <w:rsid w:val="00C14DED"/>
    <w:rsid w:val="00C15EBC"/>
    <w:rsid w:val="00C16861"/>
    <w:rsid w:val="00C16C2E"/>
    <w:rsid w:val="00C16D76"/>
    <w:rsid w:val="00C16F83"/>
    <w:rsid w:val="00C170CC"/>
    <w:rsid w:val="00C17199"/>
    <w:rsid w:val="00C20741"/>
    <w:rsid w:val="00C20B14"/>
    <w:rsid w:val="00C21E5B"/>
    <w:rsid w:val="00C24286"/>
    <w:rsid w:val="00C24C1F"/>
    <w:rsid w:val="00C25599"/>
    <w:rsid w:val="00C256B7"/>
    <w:rsid w:val="00C274DD"/>
    <w:rsid w:val="00C2782F"/>
    <w:rsid w:val="00C27B59"/>
    <w:rsid w:val="00C27B8D"/>
    <w:rsid w:val="00C27CB2"/>
    <w:rsid w:val="00C3015C"/>
    <w:rsid w:val="00C30425"/>
    <w:rsid w:val="00C309BB"/>
    <w:rsid w:val="00C30E43"/>
    <w:rsid w:val="00C31484"/>
    <w:rsid w:val="00C31E9F"/>
    <w:rsid w:val="00C32249"/>
    <w:rsid w:val="00C32440"/>
    <w:rsid w:val="00C329A1"/>
    <w:rsid w:val="00C32BDC"/>
    <w:rsid w:val="00C3344B"/>
    <w:rsid w:val="00C341F9"/>
    <w:rsid w:val="00C3456E"/>
    <w:rsid w:val="00C354A9"/>
    <w:rsid w:val="00C3707B"/>
    <w:rsid w:val="00C37373"/>
    <w:rsid w:val="00C37684"/>
    <w:rsid w:val="00C41EB1"/>
    <w:rsid w:val="00C42BD0"/>
    <w:rsid w:val="00C42DCA"/>
    <w:rsid w:val="00C433F5"/>
    <w:rsid w:val="00C43BCD"/>
    <w:rsid w:val="00C4425E"/>
    <w:rsid w:val="00C4456E"/>
    <w:rsid w:val="00C457F9"/>
    <w:rsid w:val="00C45B20"/>
    <w:rsid w:val="00C464DF"/>
    <w:rsid w:val="00C476F4"/>
    <w:rsid w:val="00C501D0"/>
    <w:rsid w:val="00C503A2"/>
    <w:rsid w:val="00C50401"/>
    <w:rsid w:val="00C51219"/>
    <w:rsid w:val="00C516E3"/>
    <w:rsid w:val="00C51B57"/>
    <w:rsid w:val="00C52028"/>
    <w:rsid w:val="00C548AF"/>
    <w:rsid w:val="00C554B5"/>
    <w:rsid w:val="00C55ABF"/>
    <w:rsid w:val="00C55C29"/>
    <w:rsid w:val="00C55CFD"/>
    <w:rsid w:val="00C55F60"/>
    <w:rsid w:val="00C55F70"/>
    <w:rsid w:val="00C56830"/>
    <w:rsid w:val="00C6035C"/>
    <w:rsid w:val="00C606A4"/>
    <w:rsid w:val="00C61171"/>
    <w:rsid w:val="00C612E1"/>
    <w:rsid w:val="00C615EE"/>
    <w:rsid w:val="00C61B99"/>
    <w:rsid w:val="00C6250B"/>
    <w:rsid w:val="00C62A81"/>
    <w:rsid w:val="00C62CAC"/>
    <w:rsid w:val="00C6494B"/>
    <w:rsid w:val="00C64D18"/>
    <w:rsid w:val="00C64DD9"/>
    <w:rsid w:val="00C6550B"/>
    <w:rsid w:val="00C656E6"/>
    <w:rsid w:val="00C65896"/>
    <w:rsid w:val="00C65D65"/>
    <w:rsid w:val="00C65ECD"/>
    <w:rsid w:val="00C6645A"/>
    <w:rsid w:val="00C708B6"/>
    <w:rsid w:val="00C708DB"/>
    <w:rsid w:val="00C709E4"/>
    <w:rsid w:val="00C70E69"/>
    <w:rsid w:val="00C7113D"/>
    <w:rsid w:val="00C747CC"/>
    <w:rsid w:val="00C76682"/>
    <w:rsid w:val="00C76F6F"/>
    <w:rsid w:val="00C77584"/>
    <w:rsid w:val="00C81983"/>
    <w:rsid w:val="00C82403"/>
    <w:rsid w:val="00C82EDD"/>
    <w:rsid w:val="00C83C58"/>
    <w:rsid w:val="00C83CF7"/>
    <w:rsid w:val="00C83D77"/>
    <w:rsid w:val="00C84206"/>
    <w:rsid w:val="00C84F69"/>
    <w:rsid w:val="00C853FC"/>
    <w:rsid w:val="00C8554E"/>
    <w:rsid w:val="00C85846"/>
    <w:rsid w:val="00C85F07"/>
    <w:rsid w:val="00C861CD"/>
    <w:rsid w:val="00C90335"/>
    <w:rsid w:val="00C91B35"/>
    <w:rsid w:val="00C92587"/>
    <w:rsid w:val="00C92A51"/>
    <w:rsid w:val="00C92A6C"/>
    <w:rsid w:val="00C92C9E"/>
    <w:rsid w:val="00C932D9"/>
    <w:rsid w:val="00C9411B"/>
    <w:rsid w:val="00C95230"/>
    <w:rsid w:val="00C9539C"/>
    <w:rsid w:val="00C9573C"/>
    <w:rsid w:val="00C9674A"/>
    <w:rsid w:val="00CA0007"/>
    <w:rsid w:val="00CA01A9"/>
    <w:rsid w:val="00CA0A89"/>
    <w:rsid w:val="00CA0EAD"/>
    <w:rsid w:val="00CA2A2E"/>
    <w:rsid w:val="00CA2D59"/>
    <w:rsid w:val="00CA33AB"/>
    <w:rsid w:val="00CA3963"/>
    <w:rsid w:val="00CA3F37"/>
    <w:rsid w:val="00CA41D0"/>
    <w:rsid w:val="00CA57DC"/>
    <w:rsid w:val="00CA58E1"/>
    <w:rsid w:val="00CA5915"/>
    <w:rsid w:val="00CA592D"/>
    <w:rsid w:val="00CA6053"/>
    <w:rsid w:val="00CA62B7"/>
    <w:rsid w:val="00CA6773"/>
    <w:rsid w:val="00CA7A2D"/>
    <w:rsid w:val="00CA7DA6"/>
    <w:rsid w:val="00CB1373"/>
    <w:rsid w:val="00CB1490"/>
    <w:rsid w:val="00CB1AF2"/>
    <w:rsid w:val="00CB1C22"/>
    <w:rsid w:val="00CB2988"/>
    <w:rsid w:val="00CB30A6"/>
    <w:rsid w:val="00CB31D6"/>
    <w:rsid w:val="00CB33F4"/>
    <w:rsid w:val="00CB3E34"/>
    <w:rsid w:val="00CB5C03"/>
    <w:rsid w:val="00CB6AB9"/>
    <w:rsid w:val="00CB75DA"/>
    <w:rsid w:val="00CB7781"/>
    <w:rsid w:val="00CB7914"/>
    <w:rsid w:val="00CC03C3"/>
    <w:rsid w:val="00CC0989"/>
    <w:rsid w:val="00CC0AB6"/>
    <w:rsid w:val="00CC0BF1"/>
    <w:rsid w:val="00CC0F87"/>
    <w:rsid w:val="00CC1DF6"/>
    <w:rsid w:val="00CC2579"/>
    <w:rsid w:val="00CC3395"/>
    <w:rsid w:val="00CC398E"/>
    <w:rsid w:val="00CC5569"/>
    <w:rsid w:val="00CC5BDF"/>
    <w:rsid w:val="00CC5E5A"/>
    <w:rsid w:val="00CC6CF0"/>
    <w:rsid w:val="00CC6FA9"/>
    <w:rsid w:val="00CC7902"/>
    <w:rsid w:val="00CC7B2B"/>
    <w:rsid w:val="00CD0771"/>
    <w:rsid w:val="00CD10C7"/>
    <w:rsid w:val="00CD1936"/>
    <w:rsid w:val="00CD199E"/>
    <w:rsid w:val="00CD3684"/>
    <w:rsid w:val="00CD40F9"/>
    <w:rsid w:val="00CD5ED9"/>
    <w:rsid w:val="00CD6054"/>
    <w:rsid w:val="00CD61A0"/>
    <w:rsid w:val="00CD6B91"/>
    <w:rsid w:val="00CD7153"/>
    <w:rsid w:val="00CE027D"/>
    <w:rsid w:val="00CE038B"/>
    <w:rsid w:val="00CE086B"/>
    <w:rsid w:val="00CE0E99"/>
    <w:rsid w:val="00CE101D"/>
    <w:rsid w:val="00CE1706"/>
    <w:rsid w:val="00CE3747"/>
    <w:rsid w:val="00CE3B58"/>
    <w:rsid w:val="00CE3C1D"/>
    <w:rsid w:val="00CE3FB9"/>
    <w:rsid w:val="00CE42E9"/>
    <w:rsid w:val="00CE494A"/>
    <w:rsid w:val="00CE5122"/>
    <w:rsid w:val="00CE5829"/>
    <w:rsid w:val="00CE5F8B"/>
    <w:rsid w:val="00CE631E"/>
    <w:rsid w:val="00CE6A79"/>
    <w:rsid w:val="00CE6CD8"/>
    <w:rsid w:val="00CE7413"/>
    <w:rsid w:val="00CE754B"/>
    <w:rsid w:val="00CF03B0"/>
    <w:rsid w:val="00CF077E"/>
    <w:rsid w:val="00CF0CAE"/>
    <w:rsid w:val="00CF240E"/>
    <w:rsid w:val="00CF2423"/>
    <w:rsid w:val="00CF27BD"/>
    <w:rsid w:val="00CF2B57"/>
    <w:rsid w:val="00CF2C22"/>
    <w:rsid w:val="00CF394F"/>
    <w:rsid w:val="00CF4CFF"/>
    <w:rsid w:val="00CF5AA7"/>
    <w:rsid w:val="00CF5D62"/>
    <w:rsid w:val="00CF6511"/>
    <w:rsid w:val="00CF65FF"/>
    <w:rsid w:val="00CF77E1"/>
    <w:rsid w:val="00CF7864"/>
    <w:rsid w:val="00D00A90"/>
    <w:rsid w:val="00D015EC"/>
    <w:rsid w:val="00D018B8"/>
    <w:rsid w:val="00D01AD5"/>
    <w:rsid w:val="00D02EE3"/>
    <w:rsid w:val="00D03E2C"/>
    <w:rsid w:val="00D04A52"/>
    <w:rsid w:val="00D0534C"/>
    <w:rsid w:val="00D05A6C"/>
    <w:rsid w:val="00D05A7A"/>
    <w:rsid w:val="00D070E0"/>
    <w:rsid w:val="00D07415"/>
    <w:rsid w:val="00D078C6"/>
    <w:rsid w:val="00D07C28"/>
    <w:rsid w:val="00D07D78"/>
    <w:rsid w:val="00D1113F"/>
    <w:rsid w:val="00D114C7"/>
    <w:rsid w:val="00D11C68"/>
    <w:rsid w:val="00D12231"/>
    <w:rsid w:val="00D1260B"/>
    <w:rsid w:val="00D127C6"/>
    <w:rsid w:val="00D128D2"/>
    <w:rsid w:val="00D12DA9"/>
    <w:rsid w:val="00D12E46"/>
    <w:rsid w:val="00D13A4E"/>
    <w:rsid w:val="00D13BC2"/>
    <w:rsid w:val="00D14F3F"/>
    <w:rsid w:val="00D15C2E"/>
    <w:rsid w:val="00D16F56"/>
    <w:rsid w:val="00D17312"/>
    <w:rsid w:val="00D17B3F"/>
    <w:rsid w:val="00D17ED1"/>
    <w:rsid w:val="00D20113"/>
    <w:rsid w:val="00D21007"/>
    <w:rsid w:val="00D215C6"/>
    <w:rsid w:val="00D21F69"/>
    <w:rsid w:val="00D2223F"/>
    <w:rsid w:val="00D22CBE"/>
    <w:rsid w:val="00D2342F"/>
    <w:rsid w:val="00D23453"/>
    <w:rsid w:val="00D236E6"/>
    <w:rsid w:val="00D23D94"/>
    <w:rsid w:val="00D248A5"/>
    <w:rsid w:val="00D263A9"/>
    <w:rsid w:val="00D2692E"/>
    <w:rsid w:val="00D30509"/>
    <w:rsid w:val="00D30B81"/>
    <w:rsid w:val="00D30DC7"/>
    <w:rsid w:val="00D3201A"/>
    <w:rsid w:val="00D32921"/>
    <w:rsid w:val="00D32C0D"/>
    <w:rsid w:val="00D338DB"/>
    <w:rsid w:val="00D339C2"/>
    <w:rsid w:val="00D34B2E"/>
    <w:rsid w:val="00D35C5C"/>
    <w:rsid w:val="00D35D13"/>
    <w:rsid w:val="00D37BA8"/>
    <w:rsid w:val="00D40024"/>
    <w:rsid w:val="00D415BE"/>
    <w:rsid w:val="00D41922"/>
    <w:rsid w:val="00D421B7"/>
    <w:rsid w:val="00D42659"/>
    <w:rsid w:val="00D4372B"/>
    <w:rsid w:val="00D439F7"/>
    <w:rsid w:val="00D44225"/>
    <w:rsid w:val="00D4426C"/>
    <w:rsid w:val="00D444CD"/>
    <w:rsid w:val="00D44899"/>
    <w:rsid w:val="00D448D8"/>
    <w:rsid w:val="00D44EE5"/>
    <w:rsid w:val="00D451BF"/>
    <w:rsid w:val="00D45CD9"/>
    <w:rsid w:val="00D45F1D"/>
    <w:rsid w:val="00D461D6"/>
    <w:rsid w:val="00D47E92"/>
    <w:rsid w:val="00D50849"/>
    <w:rsid w:val="00D51078"/>
    <w:rsid w:val="00D51E9C"/>
    <w:rsid w:val="00D52595"/>
    <w:rsid w:val="00D52878"/>
    <w:rsid w:val="00D5297B"/>
    <w:rsid w:val="00D52CBD"/>
    <w:rsid w:val="00D54ECF"/>
    <w:rsid w:val="00D5553A"/>
    <w:rsid w:val="00D55680"/>
    <w:rsid w:val="00D577FC"/>
    <w:rsid w:val="00D57A2F"/>
    <w:rsid w:val="00D602A3"/>
    <w:rsid w:val="00D60452"/>
    <w:rsid w:val="00D608A8"/>
    <w:rsid w:val="00D60E85"/>
    <w:rsid w:val="00D625DE"/>
    <w:rsid w:val="00D62BA3"/>
    <w:rsid w:val="00D63311"/>
    <w:rsid w:val="00D635B1"/>
    <w:rsid w:val="00D64446"/>
    <w:rsid w:val="00D64DEF"/>
    <w:rsid w:val="00D6668B"/>
    <w:rsid w:val="00D67969"/>
    <w:rsid w:val="00D67F79"/>
    <w:rsid w:val="00D70081"/>
    <w:rsid w:val="00D70543"/>
    <w:rsid w:val="00D72466"/>
    <w:rsid w:val="00D735E6"/>
    <w:rsid w:val="00D73808"/>
    <w:rsid w:val="00D73D5F"/>
    <w:rsid w:val="00D73E1F"/>
    <w:rsid w:val="00D73FF7"/>
    <w:rsid w:val="00D74146"/>
    <w:rsid w:val="00D74B54"/>
    <w:rsid w:val="00D75787"/>
    <w:rsid w:val="00D75852"/>
    <w:rsid w:val="00D7613F"/>
    <w:rsid w:val="00D809C9"/>
    <w:rsid w:val="00D82755"/>
    <w:rsid w:val="00D82977"/>
    <w:rsid w:val="00D82CAB"/>
    <w:rsid w:val="00D831C4"/>
    <w:rsid w:val="00D841F3"/>
    <w:rsid w:val="00D84C6B"/>
    <w:rsid w:val="00D852FB"/>
    <w:rsid w:val="00D861E7"/>
    <w:rsid w:val="00D862D4"/>
    <w:rsid w:val="00D869F6"/>
    <w:rsid w:val="00D86FF9"/>
    <w:rsid w:val="00D87698"/>
    <w:rsid w:val="00D876FD"/>
    <w:rsid w:val="00D90D96"/>
    <w:rsid w:val="00D90FF9"/>
    <w:rsid w:val="00D928F6"/>
    <w:rsid w:val="00D93C16"/>
    <w:rsid w:val="00D93EC1"/>
    <w:rsid w:val="00D93EDA"/>
    <w:rsid w:val="00D94034"/>
    <w:rsid w:val="00D9419F"/>
    <w:rsid w:val="00D945A3"/>
    <w:rsid w:val="00D94869"/>
    <w:rsid w:val="00D94DC2"/>
    <w:rsid w:val="00D94F93"/>
    <w:rsid w:val="00D95A2E"/>
    <w:rsid w:val="00DA0220"/>
    <w:rsid w:val="00DA06A4"/>
    <w:rsid w:val="00DA0C52"/>
    <w:rsid w:val="00DA1317"/>
    <w:rsid w:val="00DA145D"/>
    <w:rsid w:val="00DA3B40"/>
    <w:rsid w:val="00DA3D95"/>
    <w:rsid w:val="00DA417B"/>
    <w:rsid w:val="00DA4D53"/>
    <w:rsid w:val="00DA4E4B"/>
    <w:rsid w:val="00DA6748"/>
    <w:rsid w:val="00DA6E68"/>
    <w:rsid w:val="00DA72DC"/>
    <w:rsid w:val="00DA73FB"/>
    <w:rsid w:val="00DA7774"/>
    <w:rsid w:val="00DB0299"/>
    <w:rsid w:val="00DB0E80"/>
    <w:rsid w:val="00DB0FF8"/>
    <w:rsid w:val="00DB139D"/>
    <w:rsid w:val="00DB1D47"/>
    <w:rsid w:val="00DB2662"/>
    <w:rsid w:val="00DB2980"/>
    <w:rsid w:val="00DB3169"/>
    <w:rsid w:val="00DB3A12"/>
    <w:rsid w:val="00DB3A7D"/>
    <w:rsid w:val="00DB3EF7"/>
    <w:rsid w:val="00DB3FF9"/>
    <w:rsid w:val="00DB4328"/>
    <w:rsid w:val="00DB4DAF"/>
    <w:rsid w:val="00DB5133"/>
    <w:rsid w:val="00DB56CB"/>
    <w:rsid w:val="00DB57E0"/>
    <w:rsid w:val="00DB63CB"/>
    <w:rsid w:val="00DB66A2"/>
    <w:rsid w:val="00DB7332"/>
    <w:rsid w:val="00DC0C79"/>
    <w:rsid w:val="00DC0C9A"/>
    <w:rsid w:val="00DC145C"/>
    <w:rsid w:val="00DC15FB"/>
    <w:rsid w:val="00DC193C"/>
    <w:rsid w:val="00DC20B2"/>
    <w:rsid w:val="00DC2167"/>
    <w:rsid w:val="00DC2689"/>
    <w:rsid w:val="00DC26DB"/>
    <w:rsid w:val="00DC3481"/>
    <w:rsid w:val="00DC37B9"/>
    <w:rsid w:val="00DC44E6"/>
    <w:rsid w:val="00DC5B0A"/>
    <w:rsid w:val="00DC62DE"/>
    <w:rsid w:val="00DC63BB"/>
    <w:rsid w:val="00DC682D"/>
    <w:rsid w:val="00DD145E"/>
    <w:rsid w:val="00DD18FA"/>
    <w:rsid w:val="00DD226E"/>
    <w:rsid w:val="00DD2CFD"/>
    <w:rsid w:val="00DD347B"/>
    <w:rsid w:val="00DD34AE"/>
    <w:rsid w:val="00DD3AA8"/>
    <w:rsid w:val="00DD3C4D"/>
    <w:rsid w:val="00DD415D"/>
    <w:rsid w:val="00DD4403"/>
    <w:rsid w:val="00DD50F5"/>
    <w:rsid w:val="00DD5F58"/>
    <w:rsid w:val="00DD62AB"/>
    <w:rsid w:val="00DD6592"/>
    <w:rsid w:val="00DD6753"/>
    <w:rsid w:val="00DD6D6A"/>
    <w:rsid w:val="00DE0FD1"/>
    <w:rsid w:val="00DE144F"/>
    <w:rsid w:val="00DE15EE"/>
    <w:rsid w:val="00DE2190"/>
    <w:rsid w:val="00DE2EE5"/>
    <w:rsid w:val="00DE31BD"/>
    <w:rsid w:val="00DE50ED"/>
    <w:rsid w:val="00DE530E"/>
    <w:rsid w:val="00DE5587"/>
    <w:rsid w:val="00DE5FF8"/>
    <w:rsid w:val="00DE738A"/>
    <w:rsid w:val="00DE7ADA"/>
    <w:rsid w:val="00DE7CB3"/>
    <w:rsid w:val="00DF062B"/>
    <w:rsid w:val="00DF0A04"/>
    <w:rsid w:val="00DF1FA8"/>
    <w:rsid w:val="00DF250A"/>
    <w:rsid w:val="00DF2E85"/>
    <w:rsid w:val="00DF31D6"/>
    <w:rsid w:val="00DF3BAF"/>
    <w:rsid w:val="00DF441B"/>
    <w:rsid w:val="00DF4B2E"/>
    <w:rsid w:val="00DF4E51"/>
    <w:rsid w:val="00DF5895"/>
    <w:rsid w:val="00DF5B04"/>
    <w:rsid w:val="00DF7353"/>
    <w:rsid w:val="00E001F3"/>
    <w:rsid w:val="00E00404"/>
    <w:rsid w:val="00E0075C"/>
    <w:rsid w:val="00E0195A"/>
    <w:rsid w:val="00E01C5B"/>
    <w:rsid w:val="00E01DCC"/>
    <w:rsid w:val="00E02196"/>
    <w:rsid w:val="00E02938"/>
    <w:rsid w:val="00E03241"/>
    <w:rsid w:val="00E0333F"/>
    <w:rsid w:val="00E03F4C"/>
    <w:rsid w:val="00E04B88"/>
    <w:rsid w:val="00E04FEC"/>
    <w:rsid w:val="00E05ABF"/>
    <w:rsid w:val="00E07569"/>
    <w:rsid w:val="00E07A5E"/>
    <w:rsid w:val="00E1120C"/>
    <w:rsid w:val="00E11988"/>
    <w:rsid w:val="00E11B46"/>
    <w:rsid w:val="00E12B07"/>
    <w:rsid w:val="00E12BAD"/>
    <w:rsid w:val="00E145AE"/>
    <w:rsid w:val="00E147AF"/>
    <w:rsid w:val="00E15ACF"/>
    <w:rsid w:val="00E15E1F"/>
    <w:rsid w:val="00E16A3D"/>
    <w:rsid w:val="00E16E5B"/>
    <w:rsid w:val="00E174A4"/>
    <w:rsid w:val="00E17729"/>
    <w:rsid w:val="00E17AC6"/>
    <w:rsid w:val="00E20D63"/>
    <w:rsid w:val="00E22111"/>
    <w:rsid w:val="00E22E90"/>
    <w:rsid w:val="00E23D0A"/>
    <w:rsid w:val="00E24699"/>
    <w:rsid w:val="00E24EDB"/>
    <w:rsid w:val="00E2513B"/>
    <w:rsid w:val="00E25947"/>
    <w:rsid w:val="00E268A0"/>
    <w:rsid w:val="00E273BE"/>
    <w:rsid w:val="00E303EC"/>
    <w:rsid w:val="00E303F0"/>
    <w:rsid w:val="00E30552"/>
    <w:rsid w:val="00E3157B"/>
    <w:rsid w:val="00E31640"/>
    <w:rsid w:val="00E316A9"/>
    <w:rsid w:val="00E31E4C"/>
    <w:rsid w:val="00E32102"/>
    <w:rsid w:val="00E32E38"/>
    <w:rsid w:val="00E32EF0"/>
    <w:rsid w:val="00E34AC7"/>
    <w:rsid w:val="00E34C2D"/>
    <w:rsid w:val="00E35AAA"/>
    <w:rsid w:val="00E365D5"/>
    <w:rsid w:val="00E3695E"/>
    <w:rsid w:val="00E37BF0"/>
    <w:rsid w:val="00E37CB7"/>
    <w:rsid w:val="00E37FCA"/>
    <w:rsid w:val="00E416CD"/>
    <w:rsid w:val="00E41C30"/>
    <w:rsid w:val="00E41DDA"/>
    <w:rsid w:val="00E41FEB"/>
    <w:rsid w:val="00E42932"/>
    <w:rsid w:val="00E437EC"/>
    <w:rsid w:val="00E43996"/>
    <w:rsid w:val="00E44195"/>
    <w:rsid w:val="00E44E1F"/>
    <w:rsid w:val="00E451DD"/>
    <w:rsid w:val="00E45596"/>
    <w:rsid w:val="00E456C0"/>
    <w:rsid w:val="00E466F1"/>
    <w:rsid w:val="00E46C4D"/>
    <w:rsid w:val="00E47C60"/>
    <w:rsid w:val="00E50058"/>
    <w:rsid w:val="00E50B0A"/>
    <w:rsid w:val="00E50CE7"/>
    <w:rsid w:val="00E5172D"/>
    <w:rsid w:val="00E53A87"/>
    <w:rsid w:val="00E53BB5"/>
    <w:rsid w:val="00E54138"/>
    <w:rsid w:val="00E54C8B"/>
    <w:rsid w:val="00E55A92"/>
    <w:rsid w:val="00E56302"/>
    <w:rsid w:val="00E567C0"/>
    <w:rsid w:val="00E56C0C"/>
    <w:rsid w:val="00E5724D"/>
    <w:rsid w:val="00E57A70"/>
    <w:rsid w:val="00E57D10"/>
    <w:rsid w:val="00E600D1"/>
    <w:rsid w:val="00E6031C"/>
    <w:rsid w:val="00E605C2"/>
    <w:rsid w:val="00E614AA"/>
    <w:rsid w:val="00E61518"/>
    <w:rsid w:val="00E62896"/>
    <w:rsid w:val="00E63193"/>
    <w:rsid w:val="00E63497"/>
    <w:rsid w:val="00E64FE4"/>
    <w:rsid w:val="00E65C4E"/>
    <w:rsid w:val="00E66B07"/>
    <w:rsid w:val="00E706EA"/>
    <w:rsid w:val="00E73387"/>
    <w:rsid w:val="00E73E46"/>
    <w:rsid w:val="00E75B48"/>
    <w:rsid w:val="00E7614C"/>
    <w:rsid w:val="00E763C7"/>
    <w:rsid w:val="00E7696B"/>
    <w:rsid w:val="00E76A06"/>
    <w:rsid w:val="00E76C1F"/>
    <w:rsid w:val="00E76DE3"/>
    <w:rsid w:val="00E805CC"/>
    <w:rsid w:val="00E808B1"/>
    <w:rsid w:val="00E8254E"/>
    <w:rsid w:val="00E83228"/>
    <w:rsid w:val="00E83851"/>
    <w:rsid w:val="00E842E4"/>
    <w:rsid w:val="00E847D9"/>
    <w:rsid w:val="00E84817"/>
    <w:rsid w:val="00E85490"/>
    <w:rsid w:val="00E8593E"/>
    <w:rsid w:val="00E86198"/>
    <w:rsid w:val="00E86DDF"/>
    <w:rsid w:val="00E87144"/>
    <w:rsid w:val="00E9078B"/>
    <w:rsid w:val="00E9098B"/>
    <w:rsid w:val="00E91A19"/>
    <w:rsid w:val="00E91C4B"/>
    <w:rsid w:val="00E926E4"/>
    <w:rsid w:val="00E92AB2"/>
    <w:rsid w:val="00E93969"/>
    <w:rsid w:val="00E9406D"/>
    <w:rsid w:val="00E941B4"/>
    <w:rsid w:val="00E95626"/>
    <w:rsid w:val="00E95777"/>
    <w:rsid w:val="00E95F3C"/>
    <w:rsid w:val="00E96FD3"/>
    <w:rsid w:val="00E9745D"/>
    <w:rsid w:val="00E97C35"/>
    <w:rsid w:val="00EA0CDF"/>
    <w:rsid w:val="00EA152A"/>
    <w:rsid w:val="00EA49DA"/>
    <w:rsid w:val="00EA5A16"/>
    <w:rsid w:val="00EA66CF"/>
    <w:rsid w:val="00EA6926"/>
    <w:rsid w:val="00EA6F08"/>
    <w:rsid w:val="00EA6FE6"/>
    <w:rsid w:val="00EB1EA2"/>
    <w:rsid w:val="00EB2529"/>
    <w:rsid w:val="00EB25BF"/>
    <w:rsid w:val="00EB286F"/>
    <w:rsid w:val="00EB3585"/>
    <w:rsid w:val="00EB36A2"/>
    <w:rsid w:val="00EB3A7E"/>
    <w:rsid w:val="00EB3DC0"/>
    <w:rsid w:val="00EB3E2C"/>
    <w:rsid w:val="00EB41E6"/>
    <w:rsid w:val="00EB4530"/>
    <w:rsid w:val="00EB5E19"/>
    <w:rsid w:val="00EB5E5D"/>
    <w:rsid w:val="00EB6EC2"/>
    <w:rsid w:val="00EB7236"/>
    <w:rsid w:val="00EB7514"/>
    <w:rsid w:val="00EB79B0"/>
    <w:rsid w:val="00EC08AC"/>
    <w:rsid w:val="00EC16ED"/>
    <w:rsid w:val="00EC18D3"/>
    <w:rsid w:val="00EC1CE3"/>
    <w:rsid w:val="00EC2C67"/>
    <w:rsid w:val="00EC31C5"/>
    <w:rsid w:val="00EC336D"/>
    <w:rsid w:val="00EC34AA"/>
    <w:rsid w:val="00EC3FA9"/>
    <w:rsid w:val="00EC463C"/>
    <w:rsid w:val="00EC4E49"/>
    <w:rsid w:val="00EC517B"/>
    <w:rsid w:val="00EC5184"/>
    <w:rsid w:val="00EC6696"/>
    <w:rsid w:val="00EC6D74"/>
    <w:rsid w:val="00EC717A"/>
    <w:rsid w:val="00EC7951"/>
    <w:rsid w:val="00ED009B"/>
    <w:rsid w:val="00ED1BFB"/>
    <w:rsid w:val="00ED3AE9"/>
    <w:rsid w:val="00ED5161"/>
    <w:rsid w:val="00ED5EFC"/>
    <w:rsid w:val="00ED7859"/>
    <w:rsid w:val="00ED7C49"/>
    <w:rsid w:val="00ED7FE5"/>
    <w:rsid w:val="00EE1990"/>
    <w:rsid w:val="00EE36A7"/>
    <w:rsid w:val="00EE3CF1"/>
    <w:rsid w:val="00EE3EAD"/>
    <w:rsid w:val="00EE4BB9"/>
    <w:rsid w:val="00EE6230"/>
    <w:rsid w:val="00EE64D2"/>
    <w:rsid w:val="00EE73AA"/>
    <w:rsid w:val="00EE7B92"/>
    <w:rsid w:val="00EE7EC7"/>
    <w:rsid w:val="00EF09D2"/>
    <w:rsid w:val="00EF0C7C"/>
    <w:rsid w:val="00EF218D"/>
    <w:rsid w:val="00EF2630"/>
    <w:rsid w:val="00EF2799"/>
    <w:rsid w:val="00EF2A73"/>
    <w:rsid w:val="00EF3FF3"/>
    <w:rsid w:val="00EF403B"/>
    <w:rsid w:val="00EF4932"/>
    <w:rsid w:val="00EF4994"/>
    <w:rsid w:val="00EF4EFB"/>
    <w:rsid w:val="00EF4FD8"/>
    <w:rsid w:val="00EF527F"/>
    <w:rsid w:val="00EF5FA2"/>
    <w:rsid w:val="00EF64B7"/>
    <w:rsid w:val="00EF6C8F"/>
    <w:rsid w:val="00EF6FDD"/>
    <w:rsid w:val="00F003F0"/>
    <w:rsid w:val="00F00E94"/>
    <w:rsid w:val="00F013B0"/>
    <w:rsid w:val="00F01B25"/>
    <w:rsid w:val="00F023F0"/>
    <w:rsid w:val="00F02B10"/>
    <w:rsid w:val="00F0302C"/>
    <w:rsid w:val="00F03FC2"/>
    <w:rsid w:val="00F0415F"/>
    <w:rsid w:val="00F04318"/>
    <w:rsid w:val="00F0516C"/>
    <w:rsid w:val="00F05309"/>
    <w:rsid w:val="00F0534B"/>
    <w:rsid w:val="00F0545F"/>
    <w:rsid w:val="00F05961"/>
    <w:rsid w:val="00F06434"/>
    <w:rsid w:val="00F10526"/>
    <w:rsid w:val="00F105FC"/>
    <w:rsid w:val="00F10DAC"/>
    <w:rsid w:val="00F1188C"/>
    <w:rsid w:val="00F11947"/>
    <w:rsid w:val="00F12BF1"/>
    <w:rsid w:val="00F13E6E"/>
    <w:rsid w:val="00F13F19"/>
    <w:rsid w:val="00F14984"/>
    <w:rsid w:val="00F1560A"/>
    <w:rsid w:val="00F16EE1"/>
    <w:rsid w:val="00F1741D"/>
    <w:rsid w:val="00F1762D"/>
    <w:rsid w:val="00F205BD"/>
    <w:rsid w:val="00F21643"/>
    <w:rsid w:val="00F21876"/>
    <w:rsid w:val="00F226F2"/>
    <w:rsid w:val="00F23809"/>
    <w:rsid w:val="00F23E96"/>
    <w:rsid w:val="00F245E5"/>
    <w:rsid w:val="00F256FD"/>
    <w:rsid w:val="00F2598B"/>
    <w:rsid w:val="00F25AF5"/>
    <w:rsid w:val="00F26C73"/>
    <w:rsid w:val="00F27212"/>
    <w:rsid w:val="00F308BB"/>
    <w:rsid w:val="00F308CF"/>
    <w:rsid w:val="00F30A65"/>
    <w:rsid w:val="00F3162D"/>
    <w:rsid w:val="00F316E9"/>
    <w:rsid w:val="00F31BD9"/>
    <w:rsid w:val="00F325AB"/>
    <w:rsid w:val="00F32A76"/>
    <w:rsid w:val="00F32BE5"/>
    <w:rsid w:val="00F32D10"/>
    <w:rsid w:val="00F33046"/>
    <w:rsid w:val="00F33F6A"/>
    <w:rsid w:val="00F342DD"/>
    <w:rsid w:val="00F3519A"/>
    <w:rsid w:val="00F367B4"/>
    <w:rsid w:val="00F3743F"/>
    <w:rsid w:val="00F37C92"/>
    <w:rsid w:val="00F37F8A"/>
    <w:rsid w:val="00F40121"/>
    <w:rsid w:val="00F402EB"/>
    <w:rsid w:val="00F404BE"/>
    <w:rsid w:val="00F40B5C"/>
    <w:rsid w:val="00F42348"/>
    <w:rsid w:val="00F42870"/>
    <w:rsid w:val="00F42F6D"/>
    <w:rsid w:val="00F4413C"/>
    <w:rsid w:val="00F44142"/>
    <w:rsid w:val="00F46EA7"/>
    <w:rsid w:val="00F46EDB"/>
    <w:rsid w:val="00F46F9B"/>
    <w:rsid w:val="00F50CFB"/>
    <w:rsid w:val="00F514B2"/>
    <w:rsid w:val="00F51705"/>
    <w:rsid w:val="00F523C5"/>
    <w:rsid w:val="00F52585"/>
    <w:rsid w:val="00F52A14"/>
    <w:rsid w:val="00F52B59"/>
    <w:rsid w:val="00F533C6"/>
    <w:rsid w:val="00F53514"/>
    <w:rsid w:val="00F54267"/>
    <w:rsid w:val="00F54DEC"/>
    <w:rsid w:val="00F55355"/>
    <w:rsid w:val="00F555F2"/>
    <w:rsid w:val="00F56754"/>
    <w:rsid w:val="00F57181"/>
    <w:rsid w:val="00F5727D"/>
    <w:rsid w:val="00F5783C"/>
    <w:rsid w:val="00F57B71"/>
    <w:rsid w:val="00F57BD1"/>
    <w:rsid w:val="00F57D3F"/>
    <w:rsid w:val="00F57DE1"/>
    <w:rsid w:val="00F605BF"/>
    <w:rsid w:val="00F61690"/>
    <w:rsid w:val="00F63F4B"/>
    <w:rsid w:val="00F64C79"/>
    <w:rsid w:val="00F650A7"/>
    <w:rsid w:val="00F6577C"/>
    <w:rsid w:val="00F65962"/>
    <w:rsid w:val="00F66B67"/>
    <w:rsid w:val="00F67207"/>
    <w:rsid w:val="00F70659"/>
    <w:rsid w:val="00F70CBB"/>
    <w:rsid w:val="00F70E87"/>
    <w:rsid w:val="00F7137F"/>
    <w:rsid w:val="00F714D7"/>
    <w:rsid w:val="00F723FD"/>
    <w:rsid w:val="00F72791"/>
    <w:rsid w:val="00F7329A"/>
    <w:rsid w:val="00F7346F"/>
    <w:rsid w:val="00F7613D"/>
    <w:rsid w:val="00F763DA"/>
    <w:rsid w:val="00F7648C"/>
    <w:rsid w:val="00F76F7B"/>
    <w:rsid w:val="00F800FC"/>
    <w:rsid w:val="00F80239"/>
    <w:rsid w:val="00F80A9F"/>
    <w:rsid w:val="00F8110A"/>
    <w:rsid w:val="00F81CB2"/>
    <w:rsid w:val="00F8217B"/>
    <w:rsid w:val="00F82188"/>
    <w:rsid w:val="00F822C8"/>
    <w:rsid w:val="00F8279B"/>
    <w:rsid w:val="00F8282A"/>
    <w:rsid w:val="00F831A7"/>
    <w:rsid w:val="00F83798"/>
    <w:rsid w:val="00F83809"/>
    <w:rsid w:val="00F8428C"/>
    <w:rsid w:val="00F84A76"/>
    <w:rsid w:val="00F84D69"/>
    <w:rsid w:val="00F85B39"/>
    <w:rsid w:val="00F85E20"/>
    <w:rsid w:val="00F86109"/>
    <w:rsid w:val="00F86341"/>
    <w:rsid w:val="00F868AD"/>
    <w:rsid w:val="00F86ABB"/>
    <w:rsid w:val="00F86F72"/>
    <w:rsid w:val="00F877E9"/>
    <w:rsid w:val="00F878B4"/>
    <w:rsid w:val="00F87B3D"/>
    <w:rsid w:val="00F87EEF"/>
    <w:rsid w:val="00F87FD5"/>
    <w:rsid w:val="00F90317"/>
    <w:rsid w:val="00F90686"/>
    <w:rsid w:val="00F908DA"/>
    <w:rsid w:val="00F91500"/>
    <w:rsid w:val="00F91B77"/>
    <w:rsid w:val="00F91D05"/>
    <w:rsid w:val="00F929A2"/>
    <w:rsid w:val="00F93CD2"/>
    <w:rsid w:val="00F94804"/>
    <w:rsid w:val="00F94BA6"/>
    <w:rsid w:val="00F94EF1"/>
    <w:rsid w:val="00F95AFD"/>
    <w:rsid w:val="00F95BAF"/>
    <w:rsid w:val="00F9685F"/>
    <w:rsid w:val="00F976D0"/>
    <w:rsid w:val="00FA00AD"/>
    <w:rsid w:val="00FA00B4"/>
    <w:rsid w:val="00FA071A"/>
    <w:rsid w:val="00FA0FE8"/>
    <w:rsid w:val="00FA1D4D"/>
    <w:rsid w:val="00FA259A"/>
    <w:rsid w:val="00FA2CEB"/>
    <w:rsid w:val="00FA3434"/>
    <w:rsid w:val="00FA363F"/>
    <w:rsid w:val="00FA388E"/>
    <w:rsid w:val="00FA3F8E"/>
    <w:rsid w:val="00FA488F"/>
    <w:rsid w:val="00FA6F1D"/>
    <w:rsid w:val="00FB0BE6"/>
    <w:rsid w:val="00FB1B28"/>
    <w:rsid w:val="00FB1CFB"/>
    <w:rsid w:val="00FB20B1"/>
    <w:rsid w:val="00FB230D"/>
    <w:rsid w:val="00FB3CDD"/>
    <w:rsid w:val="00FB3D7E"/>
    <w:rsid w:val="00FB4194"/>
    <w:rsid w:val="00FB4401"/>
    <w:rsid w:val="00FB5F48"/>
    <w:rsid w:val="00FB67EB"/>
    <w:rsid w:val="00FB7030"/>
    <w:rsid w:val="00FB7669"/>
    <w:rsid w:val="00FC18C6"/>
    <w:rsid w:val="00FC19D8"/>
    <w:rsid w:val="00FC222B"/>
    <w:rsid w:val="00FC2B1D"/>
    <w:rsid w:val="00FC3A02"/>
    <w:rsid w:val="00FC3FAE"/>
    <w:rsid w:val="00FC54AA"/>
    <w:rsid w:val="00FC58E7"/>
    <w:rsid w:val="00FC63C9"/>
    <w:rsid w:val="00FC65F0"/>
    <w:rsid w:val="00FC6E11"/>
    <w:rsid w:val="00FD0446"/>
    <w:rsid w:val="00FD07DF"/>
    <w:rsid w:val="00FD1FF8"/>
    <w:rsid w:val="00FD20A5"/>
    <w:rsid w:val="00FD2E2F"/>
    <w:rsid w:val="00FD2F19"/>
    <w:rsid w:val="00FD36F5"/>
    <w:rsid w:val="00FD3F31"/>
    <w:rsid w:val="00FD5280"/>
    <w:rsid w:val="00FD70D0"/>
    <w:rsid w:val="00FE04D8"/>
    <w:rsid w:val="00FE0BF4"/>
    <w:rsid w:val="00FE13A1"/>
    <w:rsid w:val="00FE16DB"/>
    <w:rsid w:val="00FE1B25"/>
    <w:rsid w:val="00FE1CB2"/>
    <w:rsid w:val="00FE2316"/>
    <w:rsid w:val="00FE23FC"/>
    <w:rsid w:val="00FE2CFE"/>
    <w:rsid w:val="00FE48DF"/>
    <w:rsid w:val="00FE4F86"/>
    <w:rsid w:val="00FE55D8"/>
    <w:rsid w:val="00FE5B98"/>
    <w:rsid w:val="00FE63B4"/>
    <w:rsid w:val="00FE657F"/>
    <w:rsid w:val="00FE6DF6"/>
    <w:rsid w:val="00FE6E45"/>
    <w:rsid w:val="00FE6EA6"/>
    <w:rsid w:val="00FE6FCD"/>
    <w:rsid w:val="00FE7301"/>
    <w:rsid w:val="00FE780F"/>
    <w:rsid w:val="00FE7B6B"/>
    <w:rsid w:val="00FE7F0F"/>
    <w:rsid w:val="00FF0105"/>
    <w:rsid w:val="00FF0D14"/>
    <w:rsid w:val="00FF0E09"/>
    <w:rsid w:val="00FF19AD"/>
    <w:rsid w:val="00FF1E4B"/>
    <w:rsid w:val="00FF2306"/>
    <w:rsid w:val="00FF26EA"/>
    <w:rsid w:val="00FF3948"/>
    <w:rsid w:val="00FF4A58"/>
    <w:rsid w:val="00FF507B"/>
    <w:rsid w:val="00FF5D57"/>
    <w:rsid w:val="00FF654C"/>
    <w:rsid w:val="00FF67A0"/>
    <w:rsid w:val="00FF78BA"/>
    <w:rsid w:val="00FF7CD0"/>
    <w:rsid w:val="00FF7D55"/>
    <w:rsid w:val="018B799D"/>
    <w:rsid w:val="01BF168C"/>
    <w:rsid w:val="01F176F8"/>
    <w:rsid w:val="023D293E"/>
    <w:rsid w:val="024B50E5"/>
    <w:rsid w:val="02AD5F2E"/>
    <w:rsid w:val="031713E0"/>
    <w:rsid w:val="033B67DF"/>
    <w:rsid w:val="034C0AB2"/>
    <w:rsid w:val="0398212A"/>
    <w:rsid w:val="03A93C87"/>
    <w:rsid w:val="03D56844"/>
    <w:rsid w:val="04A15406"/>
    <w:rsid w:val="05237BC9"/>
    <w:rsid w:val="053712DA"/>
    <w:rsid w:val="05A131E3"/>
    <w:rsid w:val="072440CC"/>
    <w:rsid w:val="08BA6A96"/>
    <w:rsid w:val="09011907"/>
    <w:rsid w:val="09263E0B"/>
    <w:rsid w:val="092C3A18"/>
    <w:rsid w:val="09427E23"/>
    <w:rsid w:val="0A0C3321"/>
    <w:rsid w:val="0A342878"/>
    <w:rsid w:val="0A3A3B56"/>
    <w:rsid w:val="0A8A06EA"/>
    <w:rsid w:val="0AE0030A"/>
    <w:rsid w:val="0B0C3206"/>
    <w:rsid w:val="0B187AA4"/>
    <w:rsid w:val="0B3D75C6"/>
    <w:rsid w:val="0B5D7BAD"/>
    <w:rsid w:val="0BAB0918"/>
    <w:rsid w:val="0C686809"/>
    <w:rsid w:val="0C6A432F"/>
    <w:rsid w:val="0C803B53"/>
    <w:rsid w:val="0CCD48BE"/>
    <w:rsid w:val="0DC83A03"/>
    <w:rsid w:val="0E626CA5"/>
    <w:rsid w:val="0E7D2998"/>
    <w:rsid w:val="0F615EBD"/>
    <w:rsid w:val="0FDF5034"/>
    <w:rsid w:val="10D91A83"/>
    <w:rsid w:val="110C00AB"/>
    <w:rsid w:val="11586E4C"/>
    <w:rsid w:val="1182211B"/>
    <w:rsid w:val="12486EC1"/>
    <w:rsid w:val="128C2937"/>
    <w:rsid w:val="13BB0D75"/>
    <w:rsid w:val="143A4F2F"/>
    <w:rsid w:val="147E12BF"/>
    <w:rsid w:val="14F661FC"/>
    <w:rsid w:val="158E379C"/>
    <w:rsid w:val="15E03F84"/>
    <w:rsid w:val="15F01D49"/>
    <w:rsid w:val="16223ECC"/>
    <w:rsid w:val="16585B40"/>
    <w:rsid w:val="16674A26"/>
    <w:rsid w:val="16783AEC"/>
    <w:rsid w:val="169D3553"/>
    <w:rsid w:val="16E01DAD"/>
    <w:rsid w:val="16E23A76"/>
    <w:rsid w:val="175E2004"/>
    <w:rsid w:val="17740758"/>
    <w:rsid w:val="17EC4792"/>
    <w:rsid w:val="18F422F4"/>
    <w:rsid w:val="190A3122"/>
    <w:rsid w:val="19C239FC"/>
    <w:rsid w:val="1A9D7FC6"/>
    <w:rsid w:val="1AFE2080"/>
    <w:rsid w:val="1B132036"/>
    <w:rsid w:val="1B590CDC"/>
    <w:rsid w:val="1BCD6428"/>
    <w:rsid w:val="1C550B58"/>
    <w:rsid w:val="1C856F63"/>
    <w:rsid w:val="1CA16D63"/>
    <w:rsid w:val="1CDC3945"/>
    <w:rsid w:val="1CFC7225"/>
    <w:rsid w:val="1D4B23B4"/>
    <w:rsid w:val="1D525FA1"/>
    <w:rsid w:val="1E1D38F7"/>
    <w:rsid w:val="1EB678A8"/>
    <w:rsid w:val="1F004419"/>
    <w:rsid w:val="1FEA7809"/>
    <w:rsid w:val="1FF00B97"/>
    <w:rsid w:val="1FF8397B"/>
    <w:rsid w:val="20394E21"/>
    <w:rsid w:val="20FD17BE"/>
    <w:rsid w:val="2136082C"/>
    <w:rsid w:val="21D94BA3"/>
    <w:rsid w:val="22021D0F"/>
    <w:rsid w:val="22181A93"/>
    <w:rsid w:val="225E44DE"/>
    <w:rsid w:val="22CA1B74"/>
    <w:rsid w:val="22CF0F38"/>
    <w:rsid w:val="22E26EBD"/>
    <w:rsid w:val="2338088B"/>
    <w:rsid w:val="23BA3996"/>
    <w:rsid w:val="23C6233B"/>
    <w:rsid w:val="23F3510D"/>
    <w:rsid w:val="242F6132"/>
    <w:rsid w:val="244B0A92"/>
    <w:rsid w:val="24B46637"/>
    <w:rsid w:val="25E52C38"/>
    <w:rsid w:val="26061115"/>
    <w:rsid w:val="269F0C21"/>
    <w:rsid w:val="26A34BB6"/>
    <w:rsid w:val="26D07A3B"/>
    <w:rsid w:val="26E2506F"/>
    <w:rsid w:val="27400CA5"/>
    <w:rsid w:val="28137FF1"/>
    <w:rsid w:val="28441A80"/>
    <w:rsid w:val="2852748C"/>
    <w:rsid w:val="28F01E2E"/>
    <w:rsid w:val="292E43AE"/>
    <w:rsid w:val="2A1C2CB5"/>
    <w:rsid w:val="2A691C72"/>
    <w:rsid w:val="2AED4651"/>
    <w:rsid w:val="2B175861"/>
    <w:rsid w:val="2B3A7C2C"/>
    <w:rsid w:val="2B65628C"/>
    <w:rsid w:val="2B762E46"/>
    <w:rsid w:val="2BE5357A"/>
    <w:rsid w:val="2BF20C90"/>
    <w:rsid w:val="2BFD2672"/>
    <w:rsid w:val="2C3B75C3"/>
    <w:rsid w:val="2CC94C4A"/>
    <w:rsid w:val="2D7B4196"/>
    <w:rsid w:val="2DD20083"/>
    <w:rsid w:val="2DDF6C9C"/>
    <w:rsid w:val="2E821554"/>
    <w:rsid w:val="2E9372BE"/>
    <w:rsid w:val="2EB74ECC"/>
    <w:rsid w:val="2ED272DA"/>
    <w:rsid w:val="2EED2E72"/>
    <w:rsid w:val="2FB06D86"/>
    <w:rsid w:val="301F58CE"/>
    <w:rsid w:val="30FC17A4"/>
    <w:rsid w:val="31456F95"/>
    <w:rsid w:val="31903F88"/>
    <w:rsid w:val="320E382B"/>
    <w:rsid w:val="327318E0"/>
    <w:rsid w:val="32805DAB"/>
    <w:rsid w:val="32E76988"/>
    <w:rsid w:val="33331C26"/>
    <w:rsid w:val="33D62126"/>
    <w:rsid w:val="34022364"/>
    <w:rsid w:val="341449FD"/>
    <w:rsid w:val="348F6779"/>
    <w:rsid w:val="35645510"/>
    <w:rsid w:val="35C557C9"/>
    <w:rsid w:val="36484E32"/>
    <w:rsid w:val="36876931"/>
    <w:rsid w:val="369A34C0"/>
    <w:rsid w:val="37A078FC"/>
    <w:rsid w:val="37B4794E"/>
    <w:rsid w:val="384F06F9"/>
    <w:rsid w:val="385009BF"/>
    <w:rsid w:val="38517A00"/>
    <w:rsid w:val="38B603BB"/>
    <w:rsid w:val="39202096"/>
    <w:rsid w:val="392B113F"/>
    <w:rsid w:val="39C96503"/>
    <w:rsid w:val="3A086DB2"/>
    <w:rsid w:val="3A790FC7"/>
    <w:rsid w:val="3B6049CB"/>
    <w:rsid w:val="3BBF5B96"/>
    <w:rsid w:val="3C1611F9"/>
    <w:rsid w:val="3CAC611A"/>
    <w:rsid w:val="3D1700FF"/>
    <w:rsid w:val="3D98427C"/>
    <w:rsid w:val="3E110FA1"/>
    <w:rsid w:val="3EE76339"/>
    <w:rsid w:val="3F381EE7"/>
    <w:rsid w:val="3F514D57"/>
    <w:rsid w:val="3FCD2287"/>
    <w:rsid w:val="40896772"/>
    <w:rsid w:val="41264A9C"/>
    <w:rsid w:val="412F7DD0"/>
    <w:rsid w:val="418F7DB9"/>
    <w:rsid w:val="42E44134"/>
    <w:rsid w:val="4315253F"/>
    <w:rsid w:val="43B66B3C"/>
    <w:rsid w:val="440B5E1C"/>
    <w:rsid w:val="44627A06"/>
    <w:rsid w:val="44EC5EA2"/>
    <w:rsid w:val="45336204"/>
    <w:rsid w:val="45606145"/>
    <w:rsid w:val="45B918A8"/>
    <w:rsid w:val="45C94E39"/>
    <w:rsid w:val="45FB3C6E"/>
    <w:rsid w:val="462A6302"/>
    <w:rsid w:val="46311E19"/>
    <w:rsid w:val="46586F96"/>
    <w:rsid w:val="4694134B"/>
    <w:rsid w:val="46A07BAA"/>
    <w:rsid w:val="46DE2563"/>
    <w:rsid w:val="472E597E"/>
    <w:rsid w:val="48981C49"/>
    <w:rsid w:val="48CF1D87"/>
    <w:rsid w:val="48D10CB7"/>
    <w:rsid w:val="49025314"/>
    <w:rsid w:val="492335CC"/>
    <w:rsid w:val="499A72FA"/>
    <w:rsid w:val="49BC1967"/>
    <w:rsid w:val="49FA5FEB"/>
    <w:rsid w:val="4A6C6EE9"/>
    <w:rsid w:val="4A7D3209"/>
    <w:rsid w:val="4ADE4D7F"/>
    <w:rsid w:val="4B3977FE"/>
    <w:rsid w:val="4B845E86"/>
    <w:rsid w:val="4BCD39B7"/>
    <w:rsid w:val="4C095A4C"/>
    <w:rsid w:val="4D0469B2"/>
    <w:rsid w:val="4D0E24D9"/>
    <w:rsid w:val="4D2A439F"/>
    <w:rsid w:val="4D896004"/>
    <w:rsid w:val="4D9C64F9"/>
    <w:rsid w:val="4EA251D1"/>
    <w:rsid w:val="4EA34EA3"/>
    <w:rsid w:val="4F3A2701"/>
    <w:rsid w:val="4F637D7D"/>
    <w:rsid w:val="4F9B0C73"/>
    <w:rsid w:val="4FED287A"/>
    <w:rsid w:val="5003471D"/>
    <w:rsid w:val="50575F45"/>
    <w:rsid w:val="505E44D2"/>
    <w:rsid w:val="509C33D0"/>
    <w:rsid w:val="51331258"/>
    <w:rsid w:val="5216684F"/>
    <w:rsid w:val="524644C3"/>
    <w:rsid w:val="52EA30A1"/>
    <w:rsid w:val="531D563B"/>
    <w:rsid w:val="53247624"/>
    <w:rsid w:val="535E583D"/>
    <w:rsid w:val="5385786C"/>
    <w:rsid w:val="539B439B"/>
    <w:rsid w:val="53BA4321"/>
    <w:rsid w:val="53C63400"/>
    <w:rsid w:val="55006BAB"/>
    <w:rsid w:val="5638298D"/>
    <w:rsid w:val="56E51C5A"/>
    <w:rsid w:val="57727484"/>
    <w:rsid w:val="57A05B02"/>
    <w:rsid w:val="57BB2955"/>
    <w:rsid w:val="57DF4F53"/>
    <w:rsid w:val="580469B3"/>
    <w:rsid w:val="58112C98"/>
    <w:rsid w:val="58B419C9"/>
    <w:rsid w:val="597F7159"/>
    <w:rsid w:val="59927636"/>
    <w:rsid w:val="59D77E10"/>
    <w:rsid w:val="5A0905E8"/>
    <w:rsid w:val="5A144EA7"/>
    <w:rsid w:val="5A24512C"/>
    <w:rsid w:val="5A2E41BB"/>
    <w:rsid w:val="5A467E25"/>
    <w:rsid w:val="5A551748"/>
    <w:rsid w:val="5A821E11"/>
    <w:rsid w:val="5B1E422F"/>
    <w:rsid w:val="5B9E2C7A"/>
    <w:rsid w:val="5C4E28FD"/>
    <w:rsid w:val="5CAA3B19"/>
    <w:rsid w:val="5CCD46F7"/>
    <w:rsid w:val="5CD31049"/>
    <w:rsid w:val="5CF10275"/>
    <w:rsid w:val="5D02548B"/>
    <w:rsid w:val="5D3C099D"/>
    <w:rsid w:val="5DF90B74"/>
    <w:rsid w:val="5E174F66"/>
    <w:rsid w:val="5E7F3237"/>
    <w:rsid w:val="5E826883"/>
    <w:rsid w:val="5E916AC6"/>
    <w:rsid w:val="5EFD5F0A"/>
    <w:rsid w:val="5F46766D"/>
    <w:rsid w:val="5FA70607"/>
    <w:rsid w:val="5FB40CBE"/>
    <w:rsid w:val="5FD352F0"/>
    <w:rsid w:val="5FEB66AA"/>
    <w:rsid w:val="60516833"/>
    <w:rsid w:val="607C280A"/>
    <w:rsid w:val="607D37A6"/>
    <w:rsid w:val="60A2524E"/>
    <w:rsid w:val="626D5A4B"/>
    <w:rsid w:val="62B06376"/>
    <w:rsid w:val="62B678E0"/>
    <w:rsid w:val="62CB4D15"/>
    <w:rsid w:val="63DE27AE"/>
    <w:rsid w:val="64354398"/>
    <w:rsid w:val="645666EE"/>
    <w:rsid w:val="647F41DE"/>
    <w:rsid w:val="64EE6A20"/>
    <w:rsid w:val="654E3447"/>
    <w:rsid w:val="65773297"/>
    <w:rsid w:val="65A7504F"/>
    <w:rsid w:val="65AC068A"/>
    <w:rsid w:val="65E70226"/>
    <w:rsid w:val="65F10875"/>
    <w:rsid w:val="65F31E15"/>
    <w:rsid w:val="65F742AE"/>
    <w:rsid w:val="66101939"/>
    <w:rsid w:val="662841B4"/>
    <w:rsid w:val="66A604FA"/>
    <w:rsid w:val="679B2764"/>
    <w:rsid w:val="67C16230"/>
    <w:rsid w:val="67C577E1"/>
    <w:rsid w:val="67DF3FC4"/>
    <w:rsid w:val="685B6686"/>
    <w:rsid w:val="68BA3AD6"/>
    <w:rsid w:val="68F43DFF"/>
    <w:rsid w:val="68F760C0"/>
    <w:rsid w:val="690A7914"/>
    <w:rsid w:val="692A3D9F"/>
    <w:rsid w:val="69391416"/>
    <w:rsid w:val="69F820EF"/>
    <w:rsid w:val="69FD7706"/>
    <w:rsid w:val="6A3273AF"/>
    <w:rsid w:val="6A6407D1"/>
    <w:rsid w:val="6B3D24B0"/>
    <w:rsid w:val="6B4F3F91"/>
    <w:rsid w:val="6B5D66AE"/>
    <w:rsid w:val="6B9171E7"/>
    <w:rsid w:val="6CB50EE0"/>
    <w:rsid w:val="6D851EEC"/>
    <w:rsid w:val="6E1119D2"/>
    <w:rsid w:val="6E8A4FFC"/>
    <w:rsid w:val="6E96106F"/>
    <w:rsid w:val="6FBF6675"/>
    <w:rsid w:val="6FF91374"/>
    <w:rsid w:val="700403AA"/>
    <w:rsid w:val="704F058F"/>
    <w:rsid w:val="70EB650A"/>
    <w:rsid w:val="715B2E08"/>
    <w:rsid w:val="71784362"/>
    <w:rsid w:val="71924BD7"/>
    <w:rsid w:val="72914E8F"/>
    <w:rsid w:val="72F752BE"/>
    <w:rsid w:val="73351CBE"/>
    <w:rsid w:val="736411AB"/>
    <w:rsid w:val="737E3665"/>
    <w:rsid w:val="73AA012A"/>
    <w:rsid w:val="73BB0416"/>
    <w:rsid w:val="73C3551C"/>
    <w:rsid w:val="745716AC"/>
    <w:rsid w:val="74DC2A68"/>
    <w:rsid w:val="753B13CD"/>
    <w:rsid w:val="75CA3F95"/>
    <w:rsid w:val="75EA4FE2"/>
    <w:rsid w:val="768E0063"/>
    <w:rsid w:val="76CF2E97"/>
    <w:rsid w:val="76E23C52"/>
    <w:rsid w:val="772207AC"/>
    <w:rsid w:val="774150D6"/>
    <w:rsid w:val="77D00208"/>
    <w:rsid w:val="77D07BCA"/>
    <w:rsid w:val="783D07BC"/>
    <w:rsid w:val="78EE2C88"/>
    <w:rsid w:val="79334159"/>
    <w:rsid w:val="798B519A"/>
    <w:rsid w:val="7997722F"/>
    <w:rsid w:val="79E30FB3"/>
    <w:rsid w:val="7A0643B5"/>
    <w:rsid w:val="7A2B3E1B"/>
    <w:rsid w:val="7A4B2B05"/>
    <w:rsid w:val="7A770DF2"/>
    <w:rsid w:val="7A8157E9"/>
    <w:rsid w:val="7A85177D"/>
    <w:rsid w:val="7A892A0B"/>
    <w:rsid w:val="7A8D72DC"/>
    <w:rsid w:val="7B25086A"/>
    <w:rsid w:val="7B6F6B70"/>
    <w:rsid w:val="7B9A1258"/>
    <w:rsid w:val="7BD1454E"/>
    <w:rsid w:val="7C293B03"/>
    <w:rsid w:val="7C703214"/>
    <w:rsid w:val="7C71293A"/>
    <w:rsid w:val="7C9B7036"/>
    <w:rsid w:val="7CC3033B"/>
    <w:rsid w:val="7CE00EED"/>
    <w:rsid w:val="7CEF3C91"/>
    <w:rsid w:val="7D150954"/>
    <w:rsid w:val="7D891584"/>
    <w:rsid w:val="7DD56C80"/>
    <w:rsid w:val="7DE71E07"/>
    <w:rsid w:val="7E631E16"/>
    <w:rsid w:val="7ED76320"/>
    <w:rsid w:val="7F0E5AC7"/>
    <w:rsid w:val="7F121B01"/>
    <w:rsid w:val="7F3948E4"/>
    <w:rsid w:val="7FB421BD"/>
    <w:rsid w:val="7FF1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D9A7E2"/>
  <w15:docId w15:val="{AB0DF769-6710-4742-AF55-46D46DFF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line number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420"/>
      <w:jc w:val="both"/>
    </w:pPr>
    <w:rPr>
      <w:rFonts w:cstheme="minorBidi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/>
      <w:ind w:firstLineChars="0" w:firstLine="0"/>
      <w:outlineLvl w:val="0"/>
    </w:pPr>
    <w:rPr>
      <w:b/>
      <w:kern w:val="4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link w:val="a6"/>
    <w:qFormat/>
    <w:pPr>
      <w:spacing w:after="120"/>
    </w:pPr>
  </w:style>
  <w:style w:type="paragraph" w:styleId="a7">
    <w:name w:val="Balloon Text"/>
    <w:basedOn w:val="a"/>
    <w:link w:val="a8"/>
    <w:qFormat/>
    <w:pPr>
      <w:spacing w:line="240" w:lineRule="auto"/>
    </w:pPr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b">
    <w:name w:val="header"/>
    <w:basedOn w:val="a"/>
    <w:link w:val="ac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</w:rPr>
  </w:style>
  <w:style w:type="paragraph" w:styleId="ae">
    <w:name w:val="annotation subject"/>
    <w:basedOn w:val="a3"/>
    <w:next w:val="a3"/>
    <w:link w:val="af"/>
    <w:qFormat/>
    <w:rPr>
      <w:b/>
      <w:bCs/>
    </w:rPr>
  </w:style>
  <w:style w:type="table" w:styleId="af0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line number"/>
    <w:basedOn w:val="a0"/>
    <w:qFormat/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character" w:styleId="af4">
    <w:name w:val="annotation reference"/>
    <w:basedOn w:val="a0"/>
    <w:qFormat/>
    <w:rPr>
      <w:sz w:val="21"/>
      <w:szCs w:val="21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cs="Times New Roman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kern w:val="2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autoRedefine/>
    <w:qFormat/>
    <w:pPr>
      <w:adjustRightInd w:val="0"/>
      <w:snapToGrid w:val="0"/>
      <w:spacing w:line="240" w:lineRule="auto"/>
      <w:ind w:firstLineChars="0" w:firstLine="0"/>
    </w:pPr>
    <w:rPr>
      <w:rFonts w:cs="Times New Roman"/>
    </w:rPr>
  </w:style>
  <w:style w:type="character" w:customStyle="1" w:styleId="EndNoteBibliography0">
    <w:name w:val="EndNote Bibliography 字符"/>
    <w:basedOn w:val="a0"/>
    <w:link w:val="EndNoteBibliography"/>
    <w:autoRedefine/>
    <w:qFormat/>
    <w:rPr>
      <w:kern w:val="2"/>
      <w:sz w:val="24"/>
      <w:szCs w:val="24"/>
    </w:rPr>
  </w:style>
  <w:style w:type="paragraph" w:styleId="af5">
    <w:name w:val="List Paragraph"/>
    <w:basedOn w:val="a"/>
    <w:autoRedefine/>
    <w:uiPriority w:val="99"/>
    <w:unhideWhenUsed/>
    <w:qFormat/>
  </w:style>
  <w:style w:type="character" w:customStyle="1" w:styleId="a8">
    <w:name w:val="批注框文本 字符"/>
    <w:basedOn w:val="a0"/>
    <w:link w:val="a7"/>
    <w:qFormat/>
    <w:rPr>
      <w:rFonts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cstheme="minorBidi"/>
      <w:kern w:val="2"/>
      <w:sz w:val="24"/>
      <w:szCs w:val="24"/>
    </w:rPr>
  </w:style>
  <w:style w:type="character" w:customStyle="1" w:styleId="af">
    <w:name w:val="批注主题 字符"/>
    <w:basedOn w:val="a4"/>
    <w:link w:val="ae"/>
    <w:qFormat/>
    <w:rPr>
      <w:rFonts w:cstheme="minorBidi"/>
      <w:b/>
      <w:bCs/>
      <w:kern w:val="2"/>
      <w:sz w:val="24"/>
      <w:szCs w:val="24"/>
    </w:rPr>
  </w:style>
  <w:style w:type="character" w:customStyle="1" w:styleId="ac">
    <w:name w:val="页眉 字符"/>
    <w:basedOn w:val="a0"/>
    <w:link w:val="ab"/>
    <w:qFormat/>
    <w:rPr>
      <w:rFonts w:cstheme="minorBidi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cstheme="minorBidi"/>
      <w:kern w:val="2"/>
      <w:sz w:val="18"/>
      <w:szCs w:val="18"/>
    </w:rPr>
  </w:style>
  <w:style w:type="paragraph" w:customStyle="1" w:styleId="10">
    <w:name w:val="修订1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2">
    <w:name w:val="修订2"/>
    <w:hidden/>
    <w:uiPriority w:val="99"/>
    <w:unhideWhenUsed/>
    <w:qFormat/>
    <w:rPr>
      <w:rFonts w:cstheme="minorBidi"/>
      <w:kern w:val="2"/>
      <w:sz w:val="24"/>
      <w:szCs w:val="24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0">
    <w:name w:val="修订3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last-node">
    <w:name w:val="last-node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</w:rPr>
  </w:style>
  <w:style w:type="paragraph" w:customStyle="1" w:styleId="pf0">
    <w:name w:val="pf0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</w:rPr>
  </w:style>
  <w:style w:type="character" w:customStyle="1" w:styleId="cf01">
    <w:name w:val="cf01"/>
    <w:basedOn w:val="a0"/>
    <w:qFormat/>
    <w:rPr>
      <w:rFonts w:ascii="Microsoft YaHei UI" w:eastAsia="Microsoft YaHei UI" w:hAnsi="Microsoft YaHei UI" w:hint="eastAsia"/>
      <w:color w:val="060607"/>
      <w:sz w:val="24"/>
      <w:szCs w:val="24"/>
    </w:rPr>
  </w:style>
  <w:style w:type="character" w:customStyle="1" w:styleId="cf11">
    <w:name w:val="cf11"/>
    <w:basedOn w:val="a0"/>
    <w:qFormat/>
    <w:rPr>
      <w:rFonts w:ascii="Microsoft YaHei UI" w:eastAsia="Microsoft YaHei UI" w:hAnsi="Microsoft YaHei UI" w:hint="eastAsia"/>
      <w:color w:val="060607"/>
      <w:sz w:val="24"/>
      <w:szCs w:val="24"/>
      <w:vertAlign w:val="superscript"/>
    </w:rPr>
  </w:style>
  <w:style w:type="paragraph" w:customStyle="1" w:styleId="4">
    <w:name w:val="修订4"/>
    <w:hidden/>
    <w:uiPriority w:val="99"/>
    <w:unhideWhenUsed/>
    <w:qFormat/>
    <w:rPr>
      <w:rFonts w:cstheme="minorBidi"/>
      <w:kern w:val="2"/>
      <w:sz w:val="24"/>
      <w:szCs w:val="24"/>
    </w:rPr>
  </w:style>
  <w:style w:type="character" w:customStyle="1" w:styleId="a6">
    <w:name w:val="正文文本 字符"/>
    <w:basedOn w:val="a0"/>
    <w:link w:val="a5"/>
    <w:qFormat/>
    <w:rPr>
      <w:rFonts w:cstheme="minorBidi"/>
      <w:kern w:val="2"/>
      <w:sz w:val="24"/>
      <w:szCs w:val="24"/>
    </w:rPr>
  </w:style>
  <w:style w:type="character" w:customStyle="1" w:styleId="20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5">
    <w:name w:val="修订5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6">
    <w:name w:val="修订6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7">
    <w:name w:val="修订7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8">
    <w:name w:val="修订8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9">
    <w:name w:val="修订9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100">
    <w:name w:val="修订10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110">
    <w:name w:val="修订11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12">
    <w:name w:val="修订12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13">
    <w:name w:val="修订13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14">
    <w:name w:val="修订14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15">
    <w:name w:val="修订15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16">
    <w:name w:val="修订16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17">
    <w:name w:val="修订17"/>
    <w:hidden/>
    <w:uiPriority w:val="99"/>
    <w:unhideWhenUsed/>
    <w:qFormat/>
    <w:rPr>
      <w:rFonts w:cstheme="minorBidi"/>
      <w:kern w:val="2"/>
      <w:sz w:val="24"/>
      <w:szCs w:val="24"/>
    </w:rPr>
  </w:style>
  <w:style w:type="character" w:customStyle="1" w:styleId="40">
    <w:name w:val="未处理的提及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8">
    <w:name w:val="修订18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19">
    <w:name w:val="修订19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200">
    <w:name w:val="修订20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21">
    <w:name w:val="修订21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22">
    <w:name w:val="修订22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23">
    <w:name w:val="修订23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24">
    <w:name w:val="修订24"/>
    <w:hidden/>
    <w:uiPriority w:val="99"/>
    <w:unhideWhenUsed/>
    <w:qFormat/>
    <w:rPr>
      <w:rFonts w:cstheme="minorBidi"/>
      <w:kern w:val="2"/>
      <w:sz w:val="24"/>
      <w:szCs w:val="24"/>
    </w:rPr>
  </w:style>
  <w:style w:type="paragraph" w:customStyle="1" w:styleId="25">
    <w:name w:val="修订25"/>
    <w:hidden/>
    <w:uiPriority w:val="99"/>
    <w:unhideWhenUsed/>
    <w:qFormat/>
    <w:rPr>
      <w:rFonts w:cstheme="min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98DDE-4323-4873-A779-57CDC80FE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1761</Words>
  <Characters>10043</Characters>
  <Application>Microsoft Office Word</Application>
  <DocSecurity>0</DocSecurity>
  <Lines>83</Lines>
  <Paragraphs>23</Paragraphs>
  <ScaleCrop>false</ScaleCrop>
  <Company/>
  <LinksUpToDate>false</LinksUpToDate>
  <CharactersWithSpaces>11781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Petitechen</dc:creator>
  <cp:lastModifiedBy>C C</cp:lastModifiedBy>
  <cp:revision>27</cp:revision>
  <cp:lastPrinted>2026-07-30T12:00:00Z</cp:lastPrinted>
  <dcterms:created xsi:type="dcterms:W3CDTF">2026-06-26T11:19:00Z</dcterms:created>
  <dcterms:modified xsi:type="dcterms:W3CDTF">2026-07-31T08:26:00Z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CCEE9B3ADB3B458AAE302EAFEC0CA728_13</vt:lpwstr>
  </property>
  <property fmtid="{D5CDD505-2E9C-101B-9397-08002B2CF9AE}" pid="4" name="GrammarlyDocumentId">
    <vt:lpwstr>f8e45a2d2955f4ad3e47bfdd7bfc5cfd190edbffc34e84c74e6469d1c89cd725</vt:lpwstr>
  </property>
  <property fmtid="{D5CDD505-2E9C-101B-9397-08002B2CF9AE}" pid="5" name="KSOTemplateDocerSaveRecord">
    <vt:lpwstr>eyJoZGlkIjoiZWVmOGQ5NTYwMzJjYzc0YjRjYjU1MWRlNzc3NWM0MDEiLCJ1c2VySWQiOiI2NDg0MzA2MjkifQ==</vt:lpwstr>
  </property>
</Properties>
</file>