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Supplementary Text 1: Other Expectation</w:t>
      </w:r>
    </w:p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 3x2 repeated measurement ANOVA revealed a significant influence of the condition (F = 26.685, df = 2, p &lt; </w:t>
      </w:r>
      <w:r>
        <w:rPr>
          <w:rFonts w:cs="Times New Roman" w:ascii="Times New Roman" w:hAnsi="Times New Roman"/>
        </w:rPr>
        <w:t>0</w:t>
      </w:r>
      <w:r>
        <w:rPr>
          <w:rFonts w:cs="Times New Roman" w:ascii="Times New Roman" w:hAnsi="Times New Roman"/>
        </w:rPr>
        <w:t>.001), cue/</w:t>
      </w:r>
      <w:r>
        <w:rPr>
          <w:rFonts w:cs="Times New Roman" w:ascii="Times New Roman" w:hAnsi="Times New Roman"/>
        </w:rPr>
        <w:t>condition-onset</w:t>
      </w:r>
      <w:r>
        <w:rPr>
          <w:rFonts w:cs="Times New Roman" w:ascii="Times New Roman" w:hAnsi="Times New Roman"/>
        </w:rPr>
        <w:t xml:space="preserve"> (F = 14.936, df = 1, p &lt; </w:t>
      </w:r>
      <w:r>
        <w:rPr>
          <w:rFonts w:cs="Times New Roman" w:ascii="Times New Roman" w:hAnsi="Times New Roman"/>
        </w:rPr>
        <w:t>0</w:t>
      </w:r>
      <w:r>
        <w:rPr>
          <w:rFonts w:cs="Times New Roman" w:ascii="Times New Roman" w:hAnsi="Times New Roman"/>
        </w:rPr>
        <w:t xml:space="preserve">.001) and their interaction (F = 8.325, df =2, p &lt; </w:t>
      </w:r>
      <w:r>
        <w:rPr>
          <w:rFonts w:cs="Times New Roman" w:ascii="Times New Roman" w:hAnsi="Times New Roman"/>
        </w:rPr>
        <w:t>0</w:t>
      </w:r>
      <w:r>
        <w:rPr>
          <w:rFonts w:cs="Times New Roman" w:ascii="Times New Roman" w:hAnsi="Times New Roman"/>
        </w:rPr>
        <w:t>.001). Post-hoc t-tests of that interaction showed an increased cue-prominence in both U (t= 4.751, df = 19, p = 0.00014, p</w:t>
      </w:r>
      <w:r>
        <w:rPr>
          <w:rFonts w:cs="Times New Roman" w:ascii="Times New Roman" w:hAnsi="Times New Roman"/>
          <w:vertAlign w:val="subscript"/>
        </w:rPr>
        <w:t>Holm</w:t>
      </w:r>
      <w:r>
        <w:rPr>
          <w:rFonts w:cs="Times New Roman" w:ascii="Times New Roman" w:hAnsi="Times New Roman"/>
        </w:rPr>
        <w:t xml:space="preserve"> = 0.00042) and N (t= 3.434, df = 19, p = 0.003, p</w:t>
      </w:r>
      <w:r>
        <w:rPr>
          <w:rFonts w:cs="Times New Roman" w:ascii="Times New Roman" w:hAnsi="Times New Roman"/>
          <w:vertAlign w:val="subscript"/>
        </w:rPr>
        <w:t>Holm</w:t>
      </w:r>
      <w:r>
        <w:rPr>
          <w:rFonts w:cs="Times New Roman" w:ascii="Times New Roman" w:hAnsi="Times New Roman"/>
        </w:rPr>
        <w:t xml:space="preserve"> = 0.006) as compared to P.</w:t>
      </w:r>
    </w:p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Supplementary Text 2: SCR</w:t>
      </w:r>
    </w:p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13 subjects were included into the analysis after data-quality assessment in the observation phase. Only the factor cue/</w:t>
      </w:r>
      <w:r>
        <w:rPr>
          <w:rFonts w:cs="Times New Roman" w:ascii="Times New Roman" w:hAnsi="Times New Roman"/>
        </w:rPr>
        <w:t>condition-onset</w:t>
      </w:r>
      <w:r>
        <w:rPr>
          <w:rFonts w:cs="Times New Roman" w:ascii="Times New Roman" w:hAnsi="Times New Roman"/>
        </w:rPr>
        <w:t xml:space="preserve"> significantly influenced SCR (F = 17.309, df = 1, p = 0.001) but not condition (F = 1.438, df = 2, p = 0.257) or the interaction of condition and cue/</w:t>
      </w:r>
      <w:r>
        <w:rPr>
          <w:rFonts w:cs="Times New Roman" w:ascii="Times New Roman" w:hAnsi="Times New Roman"/>
        </w:rPr>
        <w:t>condition-onset</w:t>
      </w:r>
      <w:r>
        <w:rPr>
          <w:rFonts w:cs="Times New Roman" w:ascii="Times New Roman" w:hAnsi="Times New Roman"/>
        </w:rPr>
        <w:t xml:space="preserve"> (F = 0.631, df = 2, p = 0.541). A post-hoc test revealed an increased response to </w:t>
      </w:r>
      <w:r>
        <w:rPr>
          <w:rFonts w:cs="Times New Roman" w:ascii="Times New Roman" w:hAnsi="Times New Roman"/>
        </w:rPr>
        <w:t xml:space="preserve">condition-onsets </w:t>
      </w:r>
      <w:r>
        <w:rPr>
          <w:rFonts w:cs="Times New Roman" w:ascii="Times New Roman" w:hAnsi="Times New Roman"/>
        </w:rPr>
        <w:t xml:space="preserve">as compared to cues among all conditions (t = 4.16, df = 12, p = 0.001). Only a descriptive difference (P (mean ± SD) = 0.401 ± 0.948; U (mean ± SD) = 0.195 ± 0.794; N (mean ± SD) = 0.197 ± 0.934) among the responses to predictable pain as compared to both unpredictable (t = 0.896, df = 12, p = 0.388) and no pain (t = 0.067, df = 12, p = 0.516) was revealed. </w:t>
      </w:r>
    </w:p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 the expression phase 15 subjects were included after data-quality assessment. No significant effect or interaction-effect of condition or cue/</w:t>
      </w:r>
      <w:r>
        <w:rPr>
          <w:rFonts w:cs="Times New Roman" w:ascii="Times New Roman" w:hAnsi="Times New Roman"/>
        </w:rPr>
        <w:t>condition-onset</w:t>
      </w:r>
      <w:r>
        <w:rPr>
          <w:rFonts w:cs="Times New Roman" w:ascii="Times New Roman" w:hAnsi="Times New Roman"/>
        </w:rPr>
        <w:t xml:space="preserve"> SCR was found (condition: F = 2.285, df = 2, p = 0.120; cue/</w:t>
      </w:r>
      <w:r>
        <w:rPr>
          <w:rFonts w:cs="Times New Roman" w:ascii="Times New Roman" w:hAnsi="Times New Roman"/>
        </w:rPr>
        <w:t>condition-onset</w:t>
      </w:r>
      <w:r>
        <w:rPr>
          <w:rFonts w:cs="Times New Roman" w:ascii="Times New Roman" w:hAnsi="Times New Roman"/>
        </w:rPr>
        <w:t>: F = 3.891, df = 1, p = 0.069; conditionXcue/</w:t>
      </w:r>
      <w:r>
        <w:rPr>
          <w:rFonts w:cs="Times New Roman" w:ascii="Times New Roman" w:hAnsi="Times New Roman"/>
        </w:rPr>
        <w:t>condition-onset</w:t>
      </w:r>
      <w:r>
        <w:rPr>
          <w:rFonts w:cs="Times New Roman" w:ascii="Times New Roman" w:hAnsi="Times New Roman"/>
        </w:rPr>
        <w:t>: F = 20.083, df = 2, p = 0.921).</w:t>
      </w:r>
    </w:p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tbl>
      <w:tblPr>
        <w:tblW w:w="9923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noHBand="0" w:noVBand="1" w:firstColumn="1" w:lastRow="0" w:lastColumn="0" w:firstRow="1" w:val="04a0"/>
      </w:tblPr>
      <w:tblGrid>
        <w:gridCol w:w="2694"/>
        <w:gridCol w:w="1201"/>
        <w:gridCol w:w="1208"/>
        <w:gridCol w:w="1205"/>
        <w:gridCol w:w="1202"/>
        <w:gridCol w:w="1208"/>
        <w:gridCol w:w="1205"/>
      </w:tblGrid>
      <w:tr>
        <w:trPr>
          <w:tblHeader w:val="true"/>
          <w:trHeight w:val="266" w:hRule="atLeast"/>
        </w:trPr>
        <w:tc>
          <w:tcPr>
            <w:tcW w:w="9923" w:type="dxa"/>
            <w:gridSpan w:val="7"/>
            <w:tcBorders>
              <w:bottom w:val="single" w:sz="6" w:space="0" w:color="000000"/>
            </w:tcBorders>
            <w:vAlign w:val="center"/>
          </w:tcPr>
          <w:p>
            <w:pPr>
              <w:pStyle w:val="Normal"/>
              <w:pageBreakBefore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 xml:space="preserve">Table S1. Experiment 1: </w:t>
            </w:r>
            <w:r>
              <w:rPr>
                <w:rFonts w:cs="Times New Roman" w:ascii="Times New Roman" w:hAnsi="Times New Roman"/>
              </w:rPr>
              <w:t>repeated measurement ANOVA. Threat Expectation</w:t>
            </w:r>
          </w:p>
        </w:tc>
      </w:tr>
      <w:tr>
        <w:trPr>
          <w:tblHeader w:val="true"/>
          <w:trHeight w:val="19" w:hRule="atLeast"/>
        </w:trPr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Cases</w:t>
            </w:r>
          </w:p>
        </w:tc>
        <w:tc>
          <w:tcPr>
            <w:tcW w:w="120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Sum of Squares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df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Mean Square</w:t>
            </w:r>
          </w:p>
        </w:tc>
        <w:tc>
          <w:tcPr>
            <w:tcW w:w="120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F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p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η²</w:t>
            </w:r>
            <w:r>
              <w:rPr>
                <w:rFonts w:cs="Times New Roman" w:ascii="Times New Roman" w:hAnsi="Times New Roman"/>
                <w:b/>
                <w:bCs/>
                <w:vertAlign w:val="subscript"/>
              </w:rPr>
              <w:t>p</w:t>
            </w:r>
          </w:p>
        </w:tc>
      </w:tr>
      <w:tr>
        <w:trPr>
          <w:tblHeader w:val="true"/>
          <w:trHeight w:val="19" w:hRule="atLeast"/>
        </w:trPr>
        <w:tc>
          <w:tcPr>
            <w:tcW w:w="9923" w:type="dxa"/>
            <w:gridSpan w:val="7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Within Subjects Effects</w:t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 xml:space="preserve">Condition </w:t>
            </w:r>
            <w:r>
              <w:rPr>
                <w:rFonts w:cs="Times New Roman" w:ascii="Times New Roman" w:hAnsi="Times New Roman"/>
                <w:b/>
                <w:bCs/>
              </w:rPr>
              <w:t>(P,U,N)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</w:rPr>
              <w:t>6.99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205" w:type="dxa"/>
            <w:tcBorders/>
          </w:tcPr>
          <w:p>
            <w:pPr>
              <w:pStyle w:val="Normal"/>
              <w:tabs>
                <w:tab w:val="clear" w:pos="720"/>
                <w:tab w:val="left" w:pos="585" w:leader="none"/>
                <w:tab w:val="center" w:pos="906" w:leader="none"/>
              </w:tabs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</w:rPr>
              <w:t>3.495</w:t>
            </w:r>
          </w:p>
        </w:tc>
        <w:tc>
          <w:tcPr>
            <w:tcW w:w="1202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</w:rPr>
              <w:t>13.594</w:t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</w:rPr>
              <w:t>&lt; 0.001</w:t>
            </w:r>
          </w:p>
        </w:tc>
        <w:tc>
          <w:tcPr>
            <w:tcW w:w="1205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0.475</w:t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Residuals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7.713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</w:t>
            </w:r>
          </w:p>
        </w:tc>
        <w:tc>
          <w:tcPr>
            <w:tcW w:w="1205" w:type="dxa"/>
            <w:tcBorders/>
          </w:tcPr>
          <w:p>
            <w:pPr>
              <w:pStyle w:val="Normal"/>
              <w:tabs>
                <w:tab w:val="clear" w:pos="720"/>
                <w:tab w:val="left" w:pos="585" w:leader="none"/>
                <w:tab w:val="center" w:pos="906" w:leader="none"/>
              </w:tabs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0.257</w:t>
            </w:r>
          </w:p>
        </w:tc>
        <w:tc>
          <w:tcPr>
            <w:tcW w:w="1202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5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Cue/</w:t>
            </w:r>
            <w:r>
              <w:rPr>
                <w:rFonts w:cs="Times New Roman" w:ascii="Times New Roman" w:hAnsi="Times New Roman"/>
                <w:b/>
                <w:bCs/>
              </w:rPr>
              <w:t>Condition(mean)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22.248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205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22.248</w:t>
            </w:r>
          </w:p>
        </w:tc>
        <w:tc>
          <w:tcPr>
            <w:tcW w:w="1202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123.337</w:t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&lt; 0.001</w:t>
            </w:r>
          </w:p>
        </w:tc>
        <w:tc>
          <w:tcPr>
            <w:tcW w:w="1205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0.892</w:t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Residuals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2.706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</w:t>
            </w:r>
          </w:p>
        </w:tc>
        <w:tc>
          <w:tcPr>
            <w:tcW w:w="1205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0.18</w:t>
            </w:r>
          </w:p>
        </w:tc>
        <w:tc>
          <w:tcPr>
            <w:tcW w:w="1202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5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 xml:space="preserve">Condition X Cue/ </w:t>
            </w:r>
            <w:r>
              <w:rPr>
                <w:rFonts w:cs="Times New Roman" w:ascii="Times New Roman" w:hAnsi="Times New Roman"/>
                <w:b/>
                <w:bCs/>
              </w:rPr>
              <w:t>Condition(mean)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2.587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205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1.294</w:t>
            </w:r>
          </w:p>
        </w:tc>
        <w:tc>
          <w:tcPr>
            <w:tcW w:w="1202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12.397</w:t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&lt; 0.001</w:t>
            </w:r>
          </w:p>
        </w:tc>
        <w:tc>
          <w:tcPr>
            <w:tcW w:w="1205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0.452</w:t>
            </w:r>
          </w:p>
        </w:tc>
      </w:tr>
      <w:tr>
        <w:trPr>
          <w:trHeight w:val="19" w:hRule="atLeast"/>
        </w:trPr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Residuals</w:t>
            </w:r>
          </w:p>
        </w:tc>
        <w:tc>
          <w:tcPr>
            <w:tcW w:w="1201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3.131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0.104</w:t>
            </w:r>
          </w:p>
        </w:tc>
        <w:tc>
          <w:tcPr>
            <w:tcW w:w="120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13.594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0.475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Table S1 legend. </w:t>
      </w:r>
      <w:r>
        <w:rPr>
          <w:rFonts w:cs="Times New Roman" w:ascii="Times New Roman" w:hAnsi="Times New Roman"/>
        </w:rPr>
        <w:t>Table S1 reports the detailed results of the behavioral effect (threat expectation) rmANOVA (3x2: Condition: P, U, N; Timepoint: cue, mean(</w:t>
      </w:r>
      <w:r>
        <w:rPr>
          <w:rFonts w:cs="Times New Roman" w:ascii="Times New Roman" w:hAnsi="Times New Roman"/>
        </w:rPr>
        <w:t>condition</w:t>
      </w:r>
      <w:r>
        <w:rPr>
          <w:rFonts w:cs="Times New Roman" w:ascii="Times New Roman" w:hAnsi="Times New Roman"/>
        </w:rPr>
        <w:t>-on</w:t>
      </w:r>
      <w:r>
        <w:rPr>
          <w:rFonts w:cs="Times New Roman" w:ascii="Times New Roman" w:hAnsi="Times New Roman"/>
        </w:rPr>
        <w:t>se</w:t>
      </w:r>
      <w:r>
        <w:rPr>
          <w:rFonts w:cs="Times New Roman" w:ascii="Times New Roman" w:hAnsi="Times New Roman"/>
        </w:rPr>
        <w:t>t,</w:t>
      </w:r>
      <w:r>
        <w:rPr>
          <w:rFonts w:cs="Times New Roman" w:ascii="Times New Roman" w:hAnsi="Times New Roman"/>
        </w:rPr>
        <w:t>condition-offset</w:t>
      </w:r>
      <w:r>
        <w:rPr>
          <w:rFonts w:cs="Times New Roman" w:ascii="Times New Roman" w:hAnsi="Times New Roman"/>
        </w:rPr>
        <w:t>)) of Experiment 1. We report sum of squares, degrees of freedom, mean square, F-values, p and an estimation of the effect sizes (partial η²) for the main effects of condition and timepoint and the interaction effect.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tbl>
      <w:tblPr>
        <w:tblW w:w="9921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noHBand="0" w:noVBand="1" w:firstColumn="1" w:lastRow="0" w:lastColumn="0" w:firstRow="1" w:val="04a0"/>
      </w:tblPr>
      <w:tblGrid>
        <w:gridCol w:w="9921"/>
      </w:tblGrid>
      <w:tr>
        <w:trPr>
          <w:tblHeader w:val="true"/>
          <w:trHeight w:val="1545" w:hRule="atLeast"/>
        </w:trPr>
        <w:tc>
          <w:tcPr>
            <w:tcW w:w="9921" w:type="dxa"/>
            <w:tcBorders>
              <w:bottom w:val="single" w:sz="6" w:space="0" w:color="000000"/>
            </w:tcBorders>
            <w:vAlign w:val="center"/>
          </w:tcPr>
          <w:p>
            <w:pPr>
              <w:pStyle w:val="Normal"/>
              <w:pageBreakBefore/>
              <w:spacing w:lineRule="auto" w:line="360" w:before="0" w:after="160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cs="Times New Roman" w:ascii="Times New Roman" w:hAnsi="Times New Roman"/>
                <w:b/>
                <w:bCs/>
                <w:lang w:bidi="en-US"/>
              </w:rPr>
              <w:t>Table S2.</w:t>
            </w:r>
            <w:r>
              <w:rPr>
                <w:rFonts w:cs="Times New Roman" w:ascii="Times New Roman" w:hAnsi="Times New Roman"/>
                <w:lang w:bidi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</w:rPr>
              <w:t xml:space="preserve"> Experiment 1: </w:t>
            </w:r>
            <w:r>
              <w:rPr>
                <w:rFonts w:cs="Times New Roman" w:ascii="Times New Roman" w:hAnsi="Times New Roman"/>
                <w:lang w:bidi="en-US"/>
              </w:rPr>
              <w:t xml:space="preserve">Paired-sample t-tests. Learned cue-prominence after observation phase. </w:t>
            </w:r>
          </w:p>
          <w:tbl>
            <w:tblPr>
              <w:tblW w:w="9890" w:type="dxa"/>
              <w:jc w:val="start"/>
              <w:tblInd w:w="0" w:type="dxa"/>
              <w:tblLayout w:type="fixed"/>
              <w:tblCellMar>
                <w:top w:w="15" w:type="dxa"/>
                <w:start w:w="108" w:type="dxa"/>
                <w:bottom w:w="0" w:type="dxa"/>
                <w:end w:w="108" w:type="dxa"/>
              </w:tblCellMar>
              <w:tblLook w:noHBand="0" w:noVBand="1" w:firstColumn="1" w:lastRow="0" w:lastColumn="0" w:firstRow="1" w:val="04a0"/>
            </w:tblPr>
            <w:tblGrid>
              <w:gridCol w:w="2360"/>
              <w:gridCol w:w="2135"/>
              <w:gridCol w:w="796"/>
              <w:gridCol w:w="1251"/>
              <w:gridCol w:w="1095"/>
              <w:gridCol w:w="1126"/>
              <w:gridCol w:w="1127"/>
            </w:tblGrid>
            <w:tr>
              <w:trPr>
                <w:trHeight w:val="319" w:hRule="atLeast"/>
              </w:trPr>
              <w:tc>
                <w:tcPr>
                  <w:tcW w:w="2360" w:type="dxa"/>
                  <w:tcBorders>
                    <w:top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</w:rPr>
                    <w:t>Variable 1</w:t>
                  </w:r>
                </w:p>
              </w:tc>
              <w:tc>
                <w:tcPr>
                  <w:tcW w:w="2135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eastAsia="Calibri" w:cs="Times New Roman"/>
                      <w:b/>
                      <w:bCs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kern w:val="2"/>
                    </w:rPr>
                    <w:t>Variable 2</w:t>
                  </w:r>
                </w:p>
              </w:tc>
              <w:tc>
                <w:tcPr>
                  <w:tcW w:w="796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i/>
                      <w:i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i/>
                      <w:iCs/>
                    </w:rPr>
                    <w:t>df</w:t>
                  </w:r>
                </w:p>
              </w:tc>
              <w:tc>
                <w:tcPr>
                  <w:tcW w:w="1251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i/>
                      <w:i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i/>
                      <w:iCs/>
                      <w:kern w:val="2"/>
                    </w:rPr>
                    <w:t>T</w:t>
                  </w:r>
                </w:p>
              </w:tc>
              <w:tc>
                <w:tcPr>
                  <w:tcW w:w="1095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i/>
                      <w:i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i/>
                      <w:iCs/>
                      <w:kern w:val="2"/>
                    </w:rPr>
                    <w:t>p</w:t>
                  </w:r>
                </w:p>
              </w:tc>
              <w:tc>
                <w:tcPr>
                  <w:tcW w:w="1126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i/>
                      <w:iCs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  <w:i/>
                      <w:iCs/>
                    </w:rPr>
                    <w:t>p</w:t>
                  </w:r>
                  <w:r>
                    <w:rPr>
                      <w:rFonts w:cs="Times New Roman" w:ascii="Times New Roman" w:hAnsi="Times New Roman"/>
                      <w:b/>
                      <w:bCs/>
                      <w:i/>
                      <w:iCs/>
                      <w:vertAlign w:val="subscript"/>
                    </w:rPr>
                    <w:t>Holm</w:t>
                  </w:r>
                </w:p>
              </w:tc>
              <w:tc>
                <w:tcPr>
                  <w:tcW w:w="1127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b/>
                      <w:b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</w:rPr>
                    <w:t>Cohen’s d</w:t>
                  </w:r>
                </w:p>
              </w:tc>
            </w:tr>
            <w:tr>
              <w:trPr>
                <w:trHeight w:val="319" w:hRule="atLeast"/>
              </w:trPr>
              <w:tc>
                <w:tcPr>
                  <w:tcW w:w="236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P</w:t>
                  </w:r>
                </w:p>
              </w:tc>
              <w:tc>
                <w:tcPr>
                  <w:tcW w:w="2135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N</w:t>
                  </w:r>
                </w:p>
              </w:tc>
              <w:tc>
                <w:tcPr>
                  <w:tcW w:w="796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15</w:t>
                  </w:r>
                </w:p>
              </w:tc>
              <w:tc>
                <w:tcPr>
                  <w:tcW w:w="1251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4.653</w:t>
                  </w:r>
                </w:p>
              </w:tc>
              <w:tc>
                <w:tcPr>
                  <w:tcW w:w="1095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0.0003126</w:t>
                  </w:r>
                </w:p>
              </w:tc>
              <w:tc>
                <w:tcPr>
                  <w:tcW w:w="1126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0.0009378</w:t>
                  </w:r>
                </w:p>
              </w:tc>
              <w:tc>
                <w:tcPr>
                  <w:tcW w:w="11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1.163</w:t>
                  </w:r>
                </w:p>
              </w:tc>
            </w:tr>
            <w:tr>
              <w:trPr>
                <w:trHeight w:val="319" w:hRule="atLeast"/>
              </w:trPr>
              <w:tc>
                <w:tcPr>
                  <w:tcW w:w="236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eastAsia="Calibri" w:cs="Times New Roman"/>
                      <w:b/>
                      <w:bCs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U</w:t>
                  </w:r>
                </w:p>
              </w:tc>
              <w:tc>
                <w:tcPr>
                  <w:tcW w:w="2135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N</w:t>
                  </w:r>
                </w:p>
              </w:tc>
              <w:tc>
                <w:tcPr>
                  <w:tcW w:w="796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15</w:t>
                  </w:r>
                </w:p>
              </w:tc>
              <w:tc>
                <w:tcPr>
                  <w:tcW w:w="1251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</w:rPr>
                    <w:t>2.582</w:t>
                  </w:r>
                </w:p>
              </w:tc>
              <w:tc>
                <w:tcPr>
                  <w:tcW w:w="1095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</w:rPr>
                    <w:t>0.021</w:t>
                  </w:r>
                </w:p>
              </w:tc>
              <w:tc>
                <w:tcPr>
                  <w:tcW w:w="1126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0.021</w:t>
                  </w:r>
                </w:p>
              </w:tc>
              <w:tc>
                <w:tcPr>
                  <w:tcW w:w="11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0.645</w:t>
                  </w:r>
                </w:p>
              </w:tc>
            </w:tr>
            <w:tr>
              <w:trPr>
                <w:trHeight w:val="319" w:hRule="atLeast"/>
              </w:trPr>
              <w:tc>
                <w:tcPr>
                  <w:tcW w:w="236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P</w:t>
                  </w:r>
                </w:p>
              </w:tc>
              <w:tc>
                <w:tcPr>
                  <w:tcW w:w="2135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U</w:t>
                  </w:r>
                </w:p>
              </w:tc>
              <w:tc>
                <w:tcPr>
                  <w:tcW w:w="796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15</w:t>
                  </w:r>
                </w:p>
              </w:tc>
              <w:tc>
                <w:tcPr>
                  <w:tcW w:w="1251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</w:rPr>
                    <w:t>2.677</w:t>
                  </w:r>
                </w:p>
              </w:tc>
              <w:tc>
                <w:tcPr>
                  <w:tcW w:w="1095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</w:rPr>
                    <w:t>0.017</w:t>
                  </w:r>
                </w:p>
              </w:tc>
              <w:tc>
                <w:tcPr>
                  <w:tcW w:w="1126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0.034</w:t>
                  </w:r>
                </w:p>
              </w:tc>
              <w:tc>
                <w:tcPr>
                  <w:tcW w:w="11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0.669</w:t>
                  </w:r>
                </w:p>
              </w:tc>
            </w:tr>
          </w:tbl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Table S2 legend. </w:t>
      </w:r>
      <w:r>
        <w:rPr>
          <w:rFonts w:cs="Times New Roman" w:ascii="Times New Roman" w:hAnsi="Times New Roman"/>
        </w:rPr>
        <w:t>Table S2 reports the posthoc paired-sample t-tests conducted to analyze the significant interaction effect of the rmANOVA in Experiment 1. Note that the cue-prominence is here calculated as cue – mean(</w:t>
      </w:r>
      <w:r>
        <w:rPr>
          <w:rFonts w:cs="Times New Roman" w:ascii="Times New Roman" w:hAnsi="Times New Roman"/>
        </w:rPr>
        <w:t>condition</w:t>
      </w:r>
      <w:r>
        <w:rPr>
          <w:rFonts w:cs="Times New Roman" w:ascii="Times New Roman" w:hAnsi="Times New Roman"/>
        </w:rPr>
        <w:t xml:space="preserve">-onset, </w:t>
      </w:r>
      <w:r>
        <w:rPr>
          <w:rFonts w:cs="Times New Roman" w:ascii="Times New Roman" w:hAnsi="Times New Roman"/>
        </w:rPr>
        <w:t>condition-offset</w:t>
      </w:r>
      <w:r>
        <w:rPr>
          <w:rFonts w:cs="Times New Roman" w:ascii="Times New Roman" w:hAnsi="Times New Roman"/>
        </w:rPr>
        <w:t>). We compare the learned cue-prominence between all three conditions. Degrees of freedom, T, p, p corrected for multiple comparisons (Bonferroni-Holm) and an estimation of effect size (Cohen’s d) are reported.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tbl>
      <w:tblPr>
        <w:tblW w:w="7230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noHBand="0" w:noVBand="1" w:firstColumn="1" w:lastRow="0" w:lastColumn="0" w:firstRow="1" w:val="04a0"/>
      </w:tblPr>
      <w:tblGrid>
        <w:gridCol w:w="7230"/>
      </w:tblGrid>
      <w:tr>
        <w:trPr>
          <w:tblHeader w:val="true"/>
          <w:trHeight w:val="1828" w:hRule="atLeast"/>
        </w:trPr>
        <w:tc>
          <w:tcPr>
            <w:tcW w:w="7230" w:type="dxa"/>
            <w:tcBorders>
              <w:bottom w:val="single" w:sz="6" w:space="0" w:color="000000"/>
            </w:tcBorders>
            <w:vAlign w:val="center"/>
          </w:tcPr>
          <w:p>
            <w:pPr>
              <w:pStyle w:val="Normal"/>
              <w:pageBreakBefore/>
              <w:spacing w:lineRule="auto" w:line="360" w:before="0" w:after="160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cs="Times New Roman" w:ascii="Times New Roman" w:hAnsi="Times New Roman"/>
                <w:b/>
                <w:lang w:bidi="en-US"/>
              </w:rPr>
              <w:t>Table S3.</w:t>
            </w:r>
            <w:r>
              <w:rPr>
                <w:rFonts w:cs="Times New Roman" w:ascii="Times New Roman" w:hAnsi="Times New Roman"/>
                <w:lang w:bidi="en-US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bCs/>
                <w:lang w:bidi="en-US"/>
              </w:rPr>
              <w:t xml:space="preserve">Experiment 1: </w:t>
            </w:r>
            <w:r>
              <w:rPr>
                <w:rFonts w:cs="Times New Roman" w:ascii="Times New Roman" w:hAnsi="Times New Roman"/>
                <w:lang w:bidi="en-US"/>
              </w:rPr>
              <w:t xml:space="preserve">Behavioral outcome measures </w:t>
            </w:r>
          </w:p>
          <w:tbl>
            <w:tblPr>
              <w:tblW w:w="7221" w:type="dxa"/>
              <w:jc w:val="start"/>
              <w:tblInd w:w="0" w:type="dxa"/>
              <w:tblLayout w:type="fixed"/>
              <w:tblCellMar>
                <w:top w:w="15" w:type="dxa"/>
                <w:start w:w="108" w:type="dxa"/>
                <w:bottom w:w="0" w:type="dxa"/>
                <w:end w:w="108" w:type="dxa"/>
              </w:tblCellMar>
              <w:tblLook w:noHBand="0" w:noVBand="1" w:firstColumn="1" w:lastRow="0" w:lastColumn="0" w:firstRow="1" w:val="04a0"/>
            </w:tblPr>
            <w:tblGrid>
              <w:gridCol w:w="5090"/>
              <w:gridCol w:w="2104"/>
              <w:gridCol w:w="27"/>
            </w:tblGrid>
            <w:tr>
              <w:trPr>
                <w:trHeight w:val="243" w:hRule="atLeast"/>
              </w:trPr>
              <w:tc>
                <w:tcPr>
                  <w:tcW w:w="5090" w:type="dxa"/>
                  <w:tcBorders>
                    <w:top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cs="Times New Roman" w:ascii="Times New Roman" w:hAnsi="Times New Roman"/>
                      <w:b/>
                    </w:rPr>
                    <w:t>Variable</w:t>
                  </w:r>
                </w:p>
              </w:tc>
              <w:tc>
                <w:tcPr>
                  <w:tcW w:w="2104" w:type="dxa"/>
                  <w:tcBorders>
                    <w:top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kern w:val="2"/>
                    </w:rPr>
                    <w:t>Descriptives</w:t>
                  </w:r>
                </w:p>
              </w:tc>
              <w:tc>
                <w:tcPr>
                  <w:tcW w:w="27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</w:r>
                </w:p>
              </w:tc>
            </w:tr>
            <w:tr>
              <w:trPr>
                <w:trHeight w:val="59" w:hRule="atLeast"/>
              </w:trPr>
              <w:tc>
                <w:tcPr>
                  <w:tcW w:w="509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P (mean ± SD)</w:t>
                  </w:r>
                </w:p>
              </w:tc>
              <w:tc>
                <w:tcPr>
                  <w:tcW w:w="2104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133.5</w:t>
                  </w:r>
                  <w:r>
                    <w:rPr>
                      <w:rFonts w:cs="Times New Roman" w:ascii="Times New Roman" w:hAnsi="Times New Roman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± 44.1</w:t>
                  </w:r>
                </w:p>
              </w:tc>
              <w:tc>
                <w:tcPr>
                  <w:tcW w:w="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</w:r>
                </w:p>
              </w:tc>
            </w:tr>
            <w:tr>
              <w:trPr>
                <w:trHeight w:val="20" w:hRule="atLeast"/>
              </w:trPr>
              <w:tc>
                <w:tcPr>
                  <w:tcW w:w="509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U (mean ± SD)</w:t>
                  </w:r>
                </w:p>
              </w:tc>
              <w:tc>
                <w:tcPr>
                  <w:tcW w:w="2104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</w:rPr>
                    <w:t xml:space="preserve">101.7 </w:t>
                  </w: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± 52.2</w:t>
                  </w:r>
                </w:p>
              </w:tc>
              <w:tc>
                <w:tcPr>
                  <w:tcW w:w="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</w:r>
                </w:p>
              </w:tc>
            </w:tr>
            <w:tr>
              <w:trPr>
                <w:trHeight w:val="20" w:hRule="atLeast"/>
              </w:trPr>
              <w:tc>
                <w:tcPr>
                  <w:tcW w:w="509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N (mean ± SD)</w:t>
                  </w:r>
                </w:p>
              </w:tc>
              <w:tc>
                <w:tcPr>
                  <w:tcW w:w="2104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 xml:space="preserve">53.6 </w:t>
                  </w: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± 55.8</w:t>
                  </w:r>
                </w:p>
              </w:tc>
              <w:tc>
                <w:tcPr>
                  <w:tcW w:w="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</w:tbl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Table S3 legend. </w:t>
      </w:r>
      <w:r>
        <w:rPr>
          <w:rFonts w:cs="Times New Roman" w:ascii="Times New Roman" w:hAnsi="Times New Roman"/>
        </w:rPr>
        <w:t>Table S3 reports the descriptive results of Experiment 1. We report the calculated cue-prominence for each condition (P, U, N). Note that the cue-prominence is here calculated as cue – mean(</w:t>
      </w:r>
      <w:r>
        <w:rPr>
          <w:rFonts w:cs="Times New Roman" w:ascii="Times New Roman" w:hAnsi="Times New Roman"/>
        </w:rPr>
        <w:t>condition</w:t>
      </w:r>
      <w:r>
        <w:rPr>
          <w:rFonts w:cs="Times New Roman" w:ascii="Times New Roman" w:hAnsi="Times New Roman"/>
        </w:rPr>
        <w:t xml:space="preserve">-onset, </w:t>
      </w:r>
      <w:r>
        <w:rPr>
          <w:rFonts w:cs="Times New Roman" w:ascii="Times New Roman" w:hAnsi="Times New Roman"/>
        </w:rPr>
        <w:t xml:space="preserve">condition-offset </w:t>
      </w:r>
      <w:r>
        <w:rPr>
          <w:rFonts w:cs="Times New Roman" w:ascii="Times New Roman" w:hAnsi="Times New Roman"/>
        </w:rPr>
        <w:t>t).</w:t>
      </w:r>
    </w:p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tbl>
      <w:tblPr>
        <w:tblW w:w="9923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noHBand="0" w:noVBand="1" w:firstColumn="1" w:lastRow="0" w:lastColumn="0" w:firstRow="1" w:val="04a0"/>
      </w:tblPr>
      <w:tblGrid>
        <w:gridCol w:w="2694"/>
        <w:gridCol w:w="1201"/>
        <w:gridCol w:w="1208"/>
        <w:gridCol w:w="1205"/>
        <w:gridCol w:w="1202"/>
        <w:gridCol w:w="1208"/>
        <w:gridCol w:w="1205"/>
      </w:tblGrid>
      <w:tr>
        <w:trPr>
          <w:tblHeader w:val="true"/>
          <w:trHeight w:val="266" w:hRule="atLeast"/>
        </w:trPr>
        <w:tc>
          <w:tcPr>
            <w:tcW w:w="9923" w:type="dxa"/>
            <w:gridSpan w:val="7"/>
            <w:tcBorders>
              <w:bottom w:val="single" w:sz="6" w:space="0" w:color="000000"/>
            </w:tcBorders>
            <w:vAlign w:val="center"/>
          </w:tcPr>
          <w:p>
            <w:pPr>
              <w:pStyle w:val="Normal"/>
              <w:pageBreakBefore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 xml:space="preserve">Table S4. Experiment 2: </w:t>
            </w:r>
            <w:r>
              <w:rPr>
                <w:rFonts w:cs="Times New Roman" w:ascii="Times New Roman" w:hAnsi="Times New Roman"/>
              </w:rPr>
              <w:t>repeated measurement ANOVA. Threat Expectation</w:t>
            </w:r>
          </w:p>
        </w:tc>
      </w:tr>
      <w:tr>
        <w:trPr>
          <w:tblHeader w:val="true"/>
          <w:trHeight w:val="19" w:hRule="atLeast"/>
        </w:trPr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Cases</w:t>
            </w:r>
          </w:p>
        </w:tc>
        <w:tc>
          <w:tcPr>
            <w:tcW w:w="120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Sum of Squares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df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Mean Square</w:t>
            </w:r>
          </w:p>
        </w:tc>
        <w:tc>
          <w:tcPr>
            <w:tcW w:w="120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F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p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η²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vertAlign w:val="subscript"/>
              </w:rPr>
              <w:t>p</w:t>
            </w:r>
          </w:p>
        </w:tc>
      </w:tr>
      <w:tr>
        <w:trPr>
          <w:tblHeader w:val="true"/>
          <w:trHeight w:val="19" w:hRule="atLeast"/>
        </w:trPr>
        <w:tc>
          <w:tcPr>
            <w:tcW w:w="9923" w:type="dxa"/>
            <w:gridSpan w:val="7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Within Subjects Effects</w:t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Condition</w:t>
            </w:r>
            <w:r>
              <w:rPr>
                <w:rFonts w:cs="Times New Roman" w:ascii="Times New Roman" w:hAnsi="Times New Roman"/>
                <w:b/>
                <w:bCs/>
              </w:rPr>
              <w:t>(P,U,N)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</w:rPr>
              <w:t>8.988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585" w:leader="none"/>
                <w:tab w:val="center" w:pos="906" w:leader="none"/>
              </w:tabs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  <w:color w:val="000000"/>
              </w:rPr>
              <w:t>4.494</w:t>
            </w:r>
          </w:p>
        </w:tc>
        <w:tc>
          <w:tcPr>
            <w:tcW w:w="1202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  <w:color w:val="000000"/>
              </w:rPr>
              <w:t>24.917</w:t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</w:rPr>
              <w:t>&lt;.001</w:t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0.531</w:t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Residuals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7.936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</w:t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585" w:leader="none"/>
                <w:tab w:val="center" w:pos="906" w:leader="none"/>
              </w:tabs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0.18</w:t>
            </w:r>
          </w:p>
        </w:tc>
        <w:tc>
          <w:tcPr>
            <w:tcW w:w="1202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Cue/</w:t>
            </w:r>
            <w:r>
              <w:rPr>
                <w:rFonts w:cs="Times New Roman" w:ascii="Times New Roman" w:hAnsi="Times New Roman"/>
                <w:b/>
                <w:bCs/>
              </w:rPr>
              <w:t>Condition(mean)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9.257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9.257</w:t>
            </w:r>
          </w:p>
        </w:tc>
        <w:tc>
          <w:tcPr>
            <w:tcW w:w="1202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52.736</w:t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&lt; .001</w:t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0.706</w:t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Residuals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3.862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</w:t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0.176</w:t>
            </w:r>
          </w:p>
        </w:tc>
        <w:tc>
          <w:tcPr>
            <w:tcW w:w="1202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" w:hRule="atLeast"/>
        </w:trPr>
        <w:tc>
          <w:tcPr>
            <w:tcW w:w="2694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Condition X Cue/</w:t>
            </w:r>
            <w:r>
              <w:rPr>
                <w:rFonts w:cs="Times New Roman" w:ascii="Times New Roman" w:hAnsi="Times New Roman"/>
                <w:b/>
                <w:bCs/>
              </w:rPr>
              <w:t>Condition(mean)</w:t>
            </w:r>
          </w:p>
        </w:tc>
        <w:tc>
          <w:tcPr>
            <w:tcW w:w="1201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1.938</w:t>
            </w:r>
          </w:p>
        </w:tc>
        <w:tc>
          <w:tcPr>
            <w:tcW w:w="1208" w:type="dxa"/>
            <w:tcBorders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0.969</w:t>
            </w:r>
          </w:p>
        </w:tc>
        <w:tc>
          <w:tcPr>
            <w:tcW w:w="1202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13.835</w:t>
            </w:r>
          </w:p>
        </w:tc>
        <w:tc>
          <w:tcPr>
            <w:tcW w:w="1208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&lt; .001</w:t>
            </w:r>
          </w:p>
        </w:tc>
        <w:tc>
          <w:tcPr>
            <w:tcW w:w="1205" w:type="dxa"/>
            <w:tcBorders/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0.386</w:t>
            </w:r>
          </w:p>
        </w:tc>
      </w:tr>
      <w:tr>
        <w:trPr>
          <w:trHeight w:val="19" w:hRule="atLeast"/>
        </w:trPr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Residuals</w:t>
            </w:r>
          </w:p>
        </w:tc>
        <w:tc>
          <w:tcPr>
            <w:tcW w:w="1201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3.082</w:t>
            </w:r>
          </w:p>
        </w:tc>
        <w:tc>
          <w:tcPr>
            <w:tcW w:w="1208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0.07</w:t>
            </w:r>
          </w:p>
        </w:tc>
        <w:tc>
          <w:tcPr>
            <w:tcW w:w="120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Table S4 legend. </w:t>
      </w:r>
      <w:r>
        <w:rPr>
          <w:rFonts w:cs="Times New Roman" w:ascii="Times New Roman" w:hAnsi="Times New Roman"/>
        </w:rPr>
        <w:t>Table S4 reports the detailed results of the behavioral effect (threat expectation) rmANOVA (3x2: Condition: P, U, N; Timepoint: cue, mean(</w:t>
      </w:r>
      <w:r>
        <w:rPr>
          <w:rFonts w:cs="Times New Roman" w:ascii="Times New Roman" w:hAnsi="Times New Roman"/>
        </w:rPr>
        <w:t>condition</w:t>
      </w:r>
      <w:r>
        <w:rPr>
          <w:rFonts w:cs="Times New Roman" w:ascii="Times New Roman" w:hAnsi="Times New Roman"/>
        </w:rPr>
        <w:t xml:space="preserve">-onset, </w:t>
      </w:r>
      <w:r>
        <w:rPr>
          <w:rFonts w:cs="Times New Roman" w:ascii="Times New Roman" w:hAnsi="Times New Roman"/>
        </w:rPr>
        <w:t>condition-offset</w:t>
      </w:r>
      <w:r>
        <w:rPr>
          <w:rFonts w:cs="Times New Roman" w:ascii="Times New Roman" w:hAnsi="Times New Roman"/>
        </w:rPr>
        <w:t>)</w:t>
      </w:r>
      <w:r>
        <w:rPr>
          <w:rFonts w:cs="Times New Roman" w:ascii="Times New Roman" w:hAnsi="Times New Roman"/>
        </w:rPr>
        <w:t>)</w:t>
      </w:r>
      <w:r>
        <w:rPr>
          <w:rFonts w:cs="Times New Roman" w:ascii="Times New Roman" w:hAnsi="Times New Roman"/>
        </w:rPr>
        <w:t xml:space="preserve"> of Experiment 2. We report sum of squares, degrees of freedom, mean square, F-values, </w:t>
      </w:r>
      <w:r>
        <w:rPr>
          <w:rFonts w:cs="Times New Roman" w:ascii="Times New Roman" w:hAnsi="Times New Roman"/>
          <w:i/>
          <w:iCs/>
        </w:rPr>
        <w:t>p</w:t>
      </w:r>
      <w:r>
        <w:rPr>
          <w:rFonts w:cs="Times New Roman" w:ascii="Times New Roman" w:hAnsi="Times New Roman"/>
        </w:rPr>
        <w:t xml:space="preserve"> and an estimation of the effect sizes (</w:t>
      </w:r>
      <w:r>
        <w:rPr>
          <w:rFonts w:cs="Times New Roman" w:ascii="Times New Roman" w:hAnsi="Times New Roman"/>
          <w:i/>
          <w:iCs/>
        </w:rPr>
        <w:t>partial η²)</w:t>
      </w:r>
      <w:r>
        <w:rPr>
          <w:rFonts w:cs="Times New Roman" w:ascii="Times New Roman" w:hAnsi="Times New Roman"/>
        </w:rPr>
        <w:t xml:space="preserve"> for the main effects of condition and timepoint and the interaction effect.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tbl>
      <w:tblPr>
        <w:tblW w:w="9921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noHBand="0" w:noVBand="1" w:firstColumn="1" w:lastRow="0" w:lastColumn="0" w:firstRow="1" w:val="04a0"/>
      </w:tblPr>
      <w:tblGrid>
        <w:gridCol w:w="9921"/>
      </w:tblGrid>
      <w:tr>
        <w:trPr>
          <w:tblHeader w:val="true"/>
          <w:trHeight w:val="1545" w:hRule="atLeast"/>
        </w:trPr>
        <w:tc>
          <w:tcPr>
            <w:tcW w:w="9921" w:type="dxa"/>
            <w:tcBorders>
              <w:bottom w:val="single" w:sz="6" w:space="0" w:color="000000"/>
            </w:tcBorders>
            <w:vAlign w:val="center"/>
          </w:tcPr>
          <w:p>
            <w:pPr>
              <w:pStyle w:val="Normal"/>
              <w:pageBreakBefore/>
              <w:spacing w:lineRule="auto" w:line="360" w:before="0" w:after="160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cs="Times New Roman" w:ascii="Times New Roman" w:hAnsi="Times New Roman"/>
                <w:b/>
                <w:bCs/>
                <w:lang w:bidi="en-US"/>
              </w:rPr>
              <w:t>Table S5.</w:t>
            </w:r>
            <w:r>
              <w:rPr>
                <w:rFonts w:cs="Times New Roman" w:ascii="Times New Roman" w:hAnsi="Times New Roman"/>
                <w:lang w:bidi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</w:rPr>
              <w:t xml:space="preserve"> Experiment 2: </w:t>
            </w:r>
            <w:r>
              <w:rPr>
                <w:rFonts w:cs="Times New Roman" w:ascii="Times New Roman" w:hAnsi="Times New Roman"/>
                <w:lang w:bidi="en-US"/>
              </w:rPr>
              <w:t xml:space="preserve">Paired-sample t-tests. Learned cue-prominence after observation phase. </w:t>
            </w:r>
          </w:p>
          <w:tbl>
            <w:tblPr>
              <w:tblW w:w="9890" w:type="dxa"/>
              <w:jc w:val="start"/>
              <w:tblInd w:w="0" w:type="dxa"/>
              <w:tblLayout w:type="fixed"/>
              <w:tblCellMar>
                <w:top w:w="15" w:type="dxa"/>
                <w:start w:w="108" w:type="dxa"/>
                <w:bottom w:w="0" w:type="dxa"/>
                <w:end w:w="108" w:type="dxa"/>
              </w:tblCellMar>
              <w:tblLook w:noHBand="0" w:noVBand="1" w:firstColumn="1" w:lastRow="0" w:lastColumn="0" w:firstRow="1" w:val="04a0"/>
            </w:tblPr>
            <w:tblGrid>
              <w:gridCol w:w="2360"/>
              <w:gridCol w:w="2135"/>
              <w:gridCol w:w="796"/>
              <w:gridCol w:w="1251"/>
              <w:gridCol w:w="1095"/>
              <w:gridCol w:w="1126"/>
              <w:gridCol w:w="1127"/>
            </w:tblGrid>
            <w:tr>
              <w:trPr>
                <w:trHeight w:val="319" w:hRule="atLeast"/>
              </w:trPr>
              <w:tc>
                <w:tcPr>
                  <w:tcW w:w="2360" w:type="dxa"/>
                  <w:tcBorders>
                    <w:top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</w:rPr>
                    <w:t>Variable 1</w:t>
                  </w:r>
                </w:p>
              </w:tc>
              <w:tc>
                <w:tcPr>
                  <w:tcW w:w="2135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eastAsia="Calibri" w:cs="Times New Roman"/>
                      <w:b/>
                      <w:bCs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kern w:val="2"/>
                    </w:rPr>
                    <w:t>Variable 2</w:t>
                  </w:r>
                </w:p>
              </w:tc>
              <w:tc>
                <w:tcPr>
                  <w:tcW w:w="796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i/>
                      <w:i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i/>
                      <w:iCs/>
                    </w:rPr>
                    <w:t>df</w:t>
                  </w:r>
                </w:p>
              </w:tc>
              <w:tc>
                <w:tcPr>
                  <w:tcW w:w="1251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i/>
                      <w:i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i/>
                      <w:iCs/>
                      <w:kern w:val="2"/>
                    </w:rPr>
                    <w:t>T</w:t>
                  </w:r>
                </w:p>
              </w:tc>
              <w:tc>
                <w:tcPr>
                  <w:tcW w:w="1095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i/>
                      <w:i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i/>
                      <w:iCs/>
                      <w:kern w:val="2"/>
                    </w:rPr>
                    <w:t>p</w:t>
                  </w:r>
                </w:p>
              </w:tc>
              <w:tc>
                <w:tcPr>
                  <w:tcW w:w="1126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i/>
                      <w:iCs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  <w:i/>
                      <w:iCs/>
                    </w:rPr>
                    <w:t>p</w:t>
                  </w:r>
                  <w:r>
                    <w:rPr>
                      <w:rFonts w:cs="Times New Roman" w:ascii="Times New Roman" w:hAnsi="Times New Roman"/>
                      <w:b/>
                      <w:bCs/>
                      <w:i/>
                      <w:iCs/>
                      <w:vertAlign w:val="subscript"/>
                    </w:rPr>
                    <w:t>Holm</w:t>
                  </w:r>
                </w:p>
              </w:tc>
              <w:tc>
                <w:tcPr>
                  <w:tcW w:w="1127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b/>
                      <w:b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</w:rPr>
                    <w:t>Cohen’s d</w:t>
                  </w:r>
                </w:p>
              </w:tc>
            </w:tr>
            <w:tr>
              <w:trPr>
                <w:trHeight w:val="319" w:hRule="atLeast"/>
              </w:trPr>
              <w:tc>
                <w:tcPr>
                  <w:tcW w:w="236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P</w:t>
                  </w:r>
                </w:p>
              </w:tc>
              <w:tc>
                <w:tcPr>
                  <w:tcW w:w="2135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N</w:t>
                  </w:r>
                </w:p>
              </w:tc>
              <w:tc>
                <w:tcPr>
                  <w:tcW w:w="796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22</w:t>
                  </w:r>
                </w:p>
              </w:tc>
              <w:tc>
                <w:tcPr>
                  <w:tcW w:w="1251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</w:rPr>
                    <w:t>4.497</w:t>
                  </w:r>
                </w:p>
              </w:tc>
              <w:tc>
                <w:tcPr>
                  <w:tcW w:w="1095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0.0001793</w:t>
                  </w:r>
                </w:p>
              </w:tc>
              <w:tc>
                <w:tcPr>
                  <w:tcW w:w="1126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0.0005379</w:t>
                  </w:r>
                </w:p>
              </w:tc>
              <w:tc>
                <w:tcPr>
                  <w:tcW w:w="11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0.352</w:t>
                  </w:r>
                </w:p>
              </w:tc>
            </w:tr>
            <w:tr>
              <w:trPr>
                <w:trHeight w:val="319" w:hRule="atLeast"/>
              </w:trPr>
              <w:tc>
                <w:tcPr>
                  <w:tcW w:w="236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eastAsia="Calibri" w:cs="Times New Roman"/>
                      <w:b/>
                      <w:bCs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U</w:t>
                  </w:r>
                </w:p>
              </w:tc>
              <w:tc>
                <w:tcPr>
                  <w:tcW w:w="2135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N</w:t>
                  </w:r>
                </w:p>
              </w:tc>
              <w:tc>
                <w:tcPr>
                  <w:tcW w:w="796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22</w:t>
                  </w:r>
                </w:p>
              </w:tc>
              <w:tc>
                <w:tcPr>
                  <w:tcW w:w="1251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</w:rPr>
                    <w:t>3.671</w:t>
                  </w:r>
                </w:p>
              </w:tc>
              <w:tc>
                <w:tcPr>
                  <w:tcW w:w="1095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</w:rPr>
                    <w:t>0.001</w:t>
                  </w:r>
                </w:p>
              </w:tc>
              <w:tc>
                <w:tcPr>
                  <w:tcW w:w="1126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0.002</w:t>
                  </w:r>
                </w:p>
              </w:tc>
              <w:tc>
                <w:tcPr>
                  <w:tcW w:w="11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0.288</w:t>
                  </w:r>
                </w:p>
              </w:tc>
            </w:tr>
            <w:tr>
              <w:trPr>
                <w:trHeight w:val="319" w:hRule="atLeast"/>
              </w:trPr>
              <w:tc>
                <w:tcPr>
                  <w:tcW w:w="236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P</w:t>
                  </w:r>
                </w:p>
              </w:tc>
              <w:tc>
                <w:tcPr>
                  <w:tcW w:w="2135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U</w:t>
                  </w:r>
                </w:p>
              </w:tc>
              <w:tc>
                <w:tcPr>
                  <w:tcW w:w="796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22</w:t>
                  </w:r>
                </w:p>
              </w:tc>
              <w:tc>
                <w:tcPr>
                  <w:tcW w:w="1251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</w:rPr>
                    <w:t>1.631</w:t>
                  </w:r>
                </w:p>
              </w:tc>
              <w:tc>
                <w:tcPr>
                  <w:tcW w:w="1095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</w:rPr>
                    <w:t>0.117</w:t>
                  </w:r>
                </w:p>
              </w:tc>
              <w:tc>
                <w:tcPr>
                  <w:tcW w:w="1126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0.117</w:t>
                  </w:r>
                </w:p>
              </w:tc>
              <w:tc>
                <w:tcPr>
                  <w:tcW w:w="11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0.185</w:t>
                  </w:r>
                </w:p>
              </w:tc>
            </w:tr>
          </w:tbl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Table S5 legend. </w:t>
      </w:r>
      <w:r>
        <w:rPr>
          <w:rFonts w:cs="Times New Roman" w:ascii="Times New Roman" w:hAnsi="Times New Roman"/>
        </w:rPr>
        <w:t xml:space="preserve">Table S5 reports the posthoc paired-sample t-tests conducted to analyze the significant interaction effect of the rmANOVA in Experiment 2. Note that the cue-prominence is here calculated as cue – </w:t>
      </w:r>
      <w:r>
        <w:rPr>
          <w:rFonts w:cs="Times New Roman" w:ascii="Times New Roman" w:hAnsi="Times New Roman"/>
          <w:i w:val="false"/>
          <w:iCs w:val="false"/>
        </w:rPr>
        <w:t>mean</w:t>
      </w:r>
      <w:r>
        <w:rPr>
          <w:rFonts w:cs="Times New Roman" w:ascii="Times New Roman" w:hAnsi="Times New Roman"/>
        </w:rPr>
        <w:t>(</w:t>
      </w:r>
      <w:r>
        <w:rPr>
          <w:rFonts w:cs="Times New Roman" w:ascii="Times New Roman" w:hAnsi="Times New Roman"/>
        </w:rPr>
        <w:t>condition</w:t>
      </w:r>
      <w:r>
        <w:rPr>
          <w:rFonts w:cs="Times New Roman" w:ascii="Times New Roman" w:hAnsi="Times New Roman"/>
        </w:rPr>
        <w:t xml:space="preserve">-onset, </w:t>
      </w:r>
      <w:r>
        <w:rPr>
          <w:rFonts w:cs="Times New Roman" w:ascii="Times New Roman" w:hAnsi="Times New Roman"/>
        </w:rPr>
        <w:t>condition-offset</w:t>
      </w:r>
      <w:r>
        <w:rPr>
          <w:rFonts w:cs="Times New Roman" w:ascii="Times New Roman" w:hAnsi="Times New Roman"/>
        </w:rPr>
        <w:t xml:space="preserve">). We compare the learned cue-prominence between all three conditions. Degrees of freedom, </w:t>
      </w:r>
      <w:r>
        <w:rPr>
          <w:rFonts w:cs="Times New Roman" w:ascii="Times New Roman" w:hAnsi="Times New Roman"/>
          <w:i/>
          <w:iCs/>
        </w:rPr>
        <w:t>T, p, p</w:t>
      </w:r>
      <w:r>
        <w:rPr>
          <w:rFonts w:cs="Times New Roman" w:ascii="Times New Roman" w:hAnsi="Times New Roman"/>
        </w:rPr>
        <w:t xml:space="preserve"> corrected for multiple comparisons (Bonferroni-Holm) and an estimation of effect size (</w:t>
      </w:r>
      <w:r>
        <w:rPr>
          <w:rFonts w:cs="Times New Roman" w:ascii="Times New Roman" w:hAnsi="Times New Roman"/>
          <w:i w:val="false"/>
          <w:iCs w:val="false"/>
        </w:rPr>
        <w:t>Cohen’s d</w:t>
      </w:r>
      <w:r>
        <w:rPr>
          <w:rFonts w:cs="Times New Roman" w:ascii="Times New Roman" w:hAnsi="Times New Roman"/>
        </w:rPr>
        <w:t>) are reported.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tbl>
      <w:tblPr>
        <w:tblW w:w="7230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noHBand="0" w:noVBand="1" w:firstColumn="1" w:lastRow="0" w:lastColumn="0" w:firstRow="1" w:val="04a0"/>
      </w:tblPr>
      <w:tblGrid>
        <w:gridCol w:w="7230"/>
      </w:tblGrid>
      <w:tr>
        <w:trPr>
          <w:tblHeader w:val="true"/>
          <w:trHeight w:val="1828" w:hRule="atLeast"/>
        </w:trPr>
        <w:tc>
          <w:tcPr>
            <w:tcW w:w="7230" w:type="dxa"/>
            <w:tcBorders>
              <w:bottom w:val="single" w:sz="6" w:space="0" w:color="000000"/>
            </w:tcBorders>
            <w:vAlign w:val="center"/>
          </w:tcPr>
          <w:p>
            <w:pPr>
              <w:pStyle w:val="Normal"/>
              <w:pageBreakBefore/>
              <w:spacing w:lineRule="auto" w:line="360" w:before="0" w:after="160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cs="Times New Roman" w:ascii="Times New Roman" w:hAnsi="Times New Roman"/>
                <w:b/>
                <w:lang w:bidi="en-US"/>
              </w:rPr>
              <w:t>Table S6.</w:t>
            </w:r>
            <w:r>
              <w:rPr>
                <w:rFonts w:cs="Times New Roman" w:ascii="Times New Roman" w:hAnsi="Times New Roman"/>
                <w:lang w:bidi="en-US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bCs/>
                <w:lang w:bidi="en-US"/>
              </w:rPr>
              <w:t xml:space="preserve">Experiment 2: </w:t>
            </w:r>
            <w:r>
              <w:rPr>
                <w:rFonts w:cs="Times New Roman" w:ascii="Times New Roman" w:hAnsi="Times New Roman"/>
                <w:lang w:bidi="en-US"/>
              </w:rPr>
              <w:t xml:space="preserve">Behavioral outcome measures </w:t>
            </w:r>
          </w:p>
          <w:tbl>
            <w:tblPr>
              <w:tblW w:w="7221" w:type="dxa"/>
              <w:jc w:val="start"/>
              <w:tblInd w:w="0" w:type="dxa"/>
              <w:tblLayout w:type="fixed"/>
              <w:tblCellMar>
                <w:top w:w="15" w:type="dxa"/>
                <w:start w:w="108" w:type="dxa"/>
                <w:bottom w:w="0" w:type="dxa"/>
                <w:end w:w="108" w:type="dxa"/>
              </w:tblCellMar>
              <w:tblLook w:noHBand="0" w:noVBand="1" w:firstColumn="1" w:lastRow="0" w:lastColumn="0" w:firstRow="1" w:val="04a0"/>
            </w:tblPr>
            <w:tblGrid>
              <w:gridCol w:w="5090"/>
              <w:gridCol w:w="2104"/>
              <w:gridCol w:w="27"/>
            </w:tblGrid>
            <w:tr>
              <w:trPr>
                <w:trHeight w:val="243" w:hRule="atLeast"/>
              </w:trPr>
              <w:tc>
                <w:tcPr>
                  <w:tcW w:w="5090" w:type="dxa"/>
                  <w:tcBorders>
                    <w:top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cs="Times New Roman" w:ascii="Times New Roman" w:hAnsi="Times New Roman"/>
                      <w:b/>
                    </w:rPr>
                    <w:t>Variable</w:t>
                  </w:r>
                </w:p>
              </w:tc>
              <w:tc>
                <w:tcPr>
                  <w:tcW w:w="2104" w:type="dxa"/>
                  <w:tcBorders>
                    <w:top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kern w:val="2"/>
                    </w:rPr>
                    <w:t>Descriptives</w:t>
                  </w:r>
                </w:p>
              </w:tc>
              <w:tc>
                <w:tcPr>
                  <w:tcW w:w="27" w:type="dxa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</w:r>
                </w:p>
              </w:tc>
            </w:tr>
            <w:tr>
              <w:trPr>
                <w:trHeight w:val="59" w:hRule="atLeast"/>
              </w:trPr>
              <w:tc>
                <w:tcPr>
                  <w:tcW w:w="509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P (mean ± SD)</w:t>
                  </w:r>
                </w:p>
              </w:tc>
              <w:tc>
                <w:tcPr>
                  <w:tcW w:w="2104" w:type="dxa"/>
                  <w:tcBorders/>
                  <w:tcMar>
                    <w:top w:w="0" w:type="dxa"/>
                    <w:start w:w="0" w:type="dxa"/>
                    <w:end w:w="0" w:type="dxa"/>
                  </w:tcMar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75.5</w:t>
                  </w:r>
                  <w:r>
                    <w:rPr>
                      <w:rFonts w:cs="Times New Roman" w:ascii="Times New Roman" w:hAnsi="Times New Roman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± 50.5</w:t>
                  </w:r>
                </w:p>
              </w:tc>
              <w:tc>
                <w:tcPr>
                  <w:tcW w:w="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</w:r>
                </w:p>
              </w:tc>
            </w:tr>
            <w:tr>
              <w:trPr>
                <w:trHeight w:val="20" w:hRule="atLeast"/>
              </w:trPr>
              <w:tc>
                <w:tcPr>
                  <w:tcW w:w="509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U (mean ± SD)</w:t>
                  </w:r>
                </w:p>
              </w:tc>
              <w:tc>
                <w:tcPr>
                  <w:tcW w:w="2104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cs="Times New Roman" w:ascii="Times New Roman" w:hAnsi="Times New Roman"/>
                    </w:rPr>
                    <w:t xml:space="preserve">70.5 </w:t>
                  </w: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± 52.1</w:t>
                  </w:r>
                </w:p>
              </w:tc>
              <w:tc>
                <w:tcPr>
                  <w:tcW w:w="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</w:r>
                </w:p>
              </w:tc>
            </w:tr>
            <w:tr>
              <w:trPr>
                <w:trHeight w:val="20" w:hRule="atLeast"/>
              </w:trPr>
              <w:tc>
                <w:tcPr>
                  <w:tcW w:w="5090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eastAsia="Calibri" w:cs="Times New Roman"/>
                      <w:kern w:val="2"/>
                    </w:rPr>
                  </w:pP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Cue-Prominence N (mean ± SD)</w:t>
                  </w:r>
                </w:p>
              </w:tc>
              <w:tc>
                <w:tcPr>
                  <w:tcW w:w="2104" w:type="dxa"/>
                  <w:tcBorders/>
                  <w:vAlign w:val="center"/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 xml:space="preserve">19.4 </w:t>
                  </w:r>
                  <w:r>
                    <w:rPr>
                      <w:rFonts w:eastAsia="Calibri" w:cs="Times New Roman" w:ascii="Times New Roman" w:hAnsi="Times New Roman"/>
                      <w:kern w:val="2"/>
                    </w:rPr>
                    <w:t>± 32.5</w:t>
                  </w:r>
                </w:p>
              </w:tc>
              <w:tc>
                <w:tcPr>
                  <w:tcW w:w="27" w:type="dxa"/>
                  <w:tcBorders/>
                  <w:tcMar>
                    <w:top w:w="0" w:type="dxa"/>
                    <w:start w:w="0" w:type="dxa"/>
                    <w:end w:w="0" w:type="dxa"/>
                  </w:tcMar>
                </w:tcPr>
                <w:p>
                  <w:pPr>
                    <w:pStyle w:val="Normal"/>
                    <w:spacing w:lineRule="auto" w:line="360" w:before="0" w:after="1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</w:tbl>
          <w:p>
            <w:pPr>
              <w:pStyle w:val="Normal"/>
              <w:spacing w:lineRule="auto" w:line="360"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Table S6 legend. </w:t>
      </w:r>
      <w:r>
        <w:rPr>
          <w:rFonts w:cs="Times New Roman" w:ascii="Times New Roman" w:hAnsi="Times New Roman"/>
        </w:rPr>
        <w:t>Table S6 reports the descriptive results of Experiment 2. We report the calculated cue-prominence for each condition (P, U, N). Note that the cue-prominence is here calculated as cue – mean(</w:t>
      </w:r>
      <w:r>
        <w:rPr>
          <w:rFonts w:cs="Times New Roman" w:ascii="Times New Roman" w:hAnsi="Times New Roman"/>
        </w:rPr>
        <w:t>condition</w:t>
      </w:r>
      <w:r>
        <w:rPr>
          <w:rFonts w:cs="Times New Roman" w:ascii="Times New Roman" w:hAnsi="Times New Roman"/>
        </w:rPr>
        <w:t xml:space="preserve">-onset, </w:t>
      </w:r>
      <w:r>
        <w:rPr>
          <w:rFonts w:cs="Times New Roman" w:ascii="Times New Roman" w:hAnsi="Times New Roman"/>
        </w:rPr>
        <w:t>condition-offset</w:t>
      </w:r>
      <w:r>
        <w:rPr>
          <w:rFonts w:cs="Times New Roman" w:ascii="Times New Roman" w:hAnsi="Times New Roman"/>
        </w:rPr>
        <w:t>).</w:t>
      </w:r>
    </w:p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roman"/>
    <w:pitch w:val="variable"/>
  </w:font>
  <w:font w:name="Aptos Display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U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37093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37093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37093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37093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37093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37093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37093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37093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37093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link w:val="Heading1"/>
    <w:uiPriority w:val="9"/>
    <w:qFormat/>
    <w:rsid w:val="0037093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berschrift2Zchn" w:customStyle="1">
    <w:name w:val="Überschrift 2 Zchn"/>
    <w:basedOn w:val="DefaultParagraphFont"/>
    <w:link w:val="Heading2"/>
    <w:uiPriority w:val="9"/>
    <w:semiHidden/>
    <w:qFormat/>
    <w:rsid w:val="0037093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berschrift3Zchn" w:customStyle="1">
    <w:name w:val="Überschrift 3 Zchn"/>
    <w:basedOn w:val="DefaultParagraphFont"/>
    <w:link w:val="Heading3"/>
    <w:uiPriority w:val="9"/>
    <w:semiHidden/>
    <w:qFormat/>
    <w:rsid w:val="0037093a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berschrift4Zchn" w:customStyle="1">
    <w:name w:val="Überschrift 4 Zchn"/>
    <w:basedOn w:val="DefaultParagraphFont"/>
    <w:link w:val="Heading4"/>
    <w:uiPriority w:val="9"/>
    <w:semiHidden/>
    <w:qFormat/>
    <w:rsid w:val="0037093a"/>
    <w:rPr>
      <w:rFonts w:eastAsia="" w:cs="" w:cstheme="majorBidi" w:eastAsiaTheme="majorEastAsia"/>
      <w:i/>
      <w:iCs/>
      <w:color w:themeColor="accent1" w:themeShade="bf" w:val="0F4761"/>
    </w:rPr>
  </w:style>
  <w:style w:type="character" w:styleId="berschrift5Zchn" w:customStyle="1">
    <w:name w:val="Überschrift 5 Zchn"/>
    <w:basedOn w:val="DefaultParagraphFont"/>
    <w:link w:val="Heading5"/>
    <w:uiPriority w:val="9"/>
    <w:semiHidden/>
    <w:qFormat/>
    <w:rsid w:val="0037093a"/>
    <w:rPr>
      <w:rFonts w:eastAsia="" w:cs="" w:cstheme="majorBidi" w:eastAsiaTheme="majorEastAsia"/>
      <w:color w:themeColor="accent1" w:themeShade="bf" w:val="0F4761"/>
    </w:rPr>
  </w:style>
  <w:style w:type="character" w:styleId="berschrift6Zchn" w:customStyle="1">
    <w:name w:val="Überschrift 6 Zchn"/>
    <w:basedOn w:val="DefaultParagraphFont"/>
    <w:link w:val="Heading6"/>
    <w:uiPriority w:val="9"/>
    <w:semiHidden/>
    <w:qFormat/>
    <w:rsid w:val="0037093a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link w:val="Heading7"/>
    <w:uiPriority w:val="9"/>
    <w:semiHidden/>
    <w:qFormat/>
    <w:rsid w:val="0037093a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link w:val="Heading8"/>
    <w:uiPriority w:val="9"/>
    <w:semiHidden/>
    <w:qFormat/>
    <w:rsid w:val="0037093a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link w:val="Heading9"/>
    <w:uiPriority w:val="9"/>
    <w:semiHidden/>
    <w:qFormat/>
    <w:rsid w:val="0037093a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link w:val="Title"/>
    <w:uiPriority w:val="10"/>
    <w:qFormat/>
    <w:rsid w:val="0037093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link w:val="Subtitle"/>
    <w:uiPriority w:val="11"/>
    <w:qFormat/>
    <w:rsid w:val="0037093a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37093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7093a"/>
    <w:rPr>
      <w:i/>
      <w:iCs/>
      <w:color w:themeColor="accent1" w:themeShade="bf" w:val="0F476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37093a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37093a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TitelZchn"/>
    <w:uiPriority w:val="10"/>
    <w:qFormat/>
    <w:rsid w:val="0037093a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37093a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37093a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37093a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370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555BCD05173D49A9D557B0DB0406B6" ma:contentTypeVersion="12" ma:contentTypeDescription="Ein neues Dokument erstellen." ma:contentTypeScope="" ma:versionID="76ff47885c398159a1365eb9fd496765">
  <xsd:schema xmlns:xsd="http://www.w3.org/2001/XMLSchema" xmlns:xs="http://www.w3.org/2001/XMLSchema" xmlns:p="http://schemas.microsoft.com/office/2006/metadata/properties" xmlns:ns3="f56fe23c-09f9-48fa-8d00-7013c7a5dc44" targetNamespace="http://schemas.microsoft.com/office/2006/metadata/properties" ma:root="true" ma:fieldsID="3ab251b59abcb3e52d0398f7b39582f7" ns3:_="">
    <xsd:import namespace="f56fe23c-09f9-48fa-8d00-7013c7a5dc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fe23c-09f9-48fa-8d00-7013c7a5d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6fe23c-09f9-48fa-8d00-7013c7a5dc44" xsi:nil="true"/>
  </documentManagement>
</p:properties>
</file>

<file path=customXml/itemProps1.xml><?xml version="1.0" encoding="utf-8"?>
<ds:datastoreItem xmlns:ds="http://schemas.openxmlformats.org/officeDocument/2006/customXml" ds:itemID="{BAAE62E4-5C39-4785-9EE1-BAA8A61BC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fe23c-09f9-48fa-8d00-7013c7a5dc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C1B266-399F-4882-B221-5C2F2DBA7D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FF955-B3A4-4A04-87B9-0EACD8359220}">
  <ds:schemaRefs>
    <ds:schemaRef ds:uri="http://schemas.microsoft.com/office/2006/metadata/properties"/>
    <ds:schemaRef ds:uri="http://schemas.microsoft.com/office/infopath/2007/PartnerControls"/>
    <ds:schemaRef ds:uri="f56fe23c-09f9-48fa-8d00-7013c7a5dc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LibreOffice/26.2.3.2$Linux_X86_64 LibreOffice_project/70e089b17412e4cb7773e41413306b17a2328c34</Application>
  <AppVersion>15.0000</AppVersion>
  <Pages>7</Pages>
  <Words>900</Words>
  <Characters>4755</Characters>
  <CharactersWithSpaces>5487</CharactersWithSpaces>
  <Paragraphs>173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2026-01-22T20:50:00Z</dcterms:created>
  <dc:creator>Simon Knobloch</dc:creator>
  <dc:description/>
  <dc:language>en-US</dc:language>
  <cp:lastModifiedBy/>
  <dcterms:modified xsi:type="dcterms:W3CDTF">2026-09-03T17:51:50Z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0x010100F3555BCD05173D49A9D557B0DB0406B6</vt:lpwstr>
  </property>
</Properties>
</file>