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AB2FD1" w14:textId="7DBF7ACE" w:rsidR="00D41ECB" w:rsidRPr="00FB446F" w:rsidRDefault="00D41ECB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b/>
          <w:bCs/>
          <w:iCs/>
          <w:sz w:val="24"/>
          <w:szCs w:val="24"/>
        </w:rPr>
      </w:pPr>
      <w:r w:rsidRPr="00FB446F">
        <w:rPr>
          <w:rFonts w:ascii="Arial" w:hAnsi="Arial" w:cs="Arial" w:hint="eastAsia"/>
          <w:b/>
          <w:bCs/>
          <w:iCs/>
          <w:sz w:val="24"/>
          <w:szCs w:val="24"/>
        </w:rPr>
        <w:t>Supplemental methods</w:t>
      </w:r>
    </w:p>
    <w:p w14:paraId="256FA0DC" w14:textId="77777777" w:rsidR="00D41ECB" w:rsidRPr="00FB446F" w:rsidRDefault="00D41ECB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b/>
          <w:bCs/>
          <w:iCs/>
          <w:sz w:val="24"/>
          <w:szCs w:val="24"/>
        </w:rPr>
      </w:pPr>
    </w:p>
    <w:p w14:paraId="398AF416" w14:textId="734D39EA" w:rsidR="005F35DD" w:rsidRPr="00FB446F" w:rsidRDefault="00BC62DE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b/>
          <w:bCs/>
          <w:iCs/>
          <w:sz w:val="24"/>
          <w:szCs w:val="24"/>
        </w:rPr>
      </w:pPr>
      <w:r w:rsidRPr="00FB446F">
        <w:rPr>
          <w:rFonts w:ascii="Arial" w:hAnsi="Arial" w:cs="Arial" w:hint="eastAsia"/>
          <w:b/>
          <w:bCs/>
          <w:iCs/>
          <w:sz w:val="24"/>
          <w:szCs w:val="24"/>
        </w:rPr>
        <w:t xml:space="preserve">1. </w:t>
      </w:r>
      <w:r w:rsidR="005F35DD" w:rsidRPr="00FB446F">
        <w:rPr>
          <w:rFonts w:ascii="Arial" w:hAnsi="Arial" w:cs="Arial" w:hint="eastAsia"/>
          <w:b/>
          <w:bCs/>
          <w:iCs/>
          <w:sz w:val="24"/>
          <w:szCs w:val="24"/>
        </w:rPr>
        <w:t>Preparation of animal models</w:t>
      </w:r>
      <w:r w:rsidR="00714691" w:rsidRPr="00FB446F">
        <w:rPr>
          <w:rFonts w:ascii="Arial" w:hAnsi="Arial" w:cs="Arial"/>
          <w:b/>
          <w:bCs/>
          <w:iCs/>
          <w:sz w:val="24"/>
          <w:szCs w:val="24"/>
        </w:rPr>
        <w:t xml:space="preserve"> of disease</w:t>
      </w:r>
    </w:p>
    <w:p w14:paraId="2A4D98B4" w14:textId="4ED37FB4" w:rsidR="005F35DD" w:rsidRPr="00FB446F" w:rsidRDefault="00BC62DE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b/>
          <w:bCs/>
          <w:iCs/>
          <w:szCs w:val="20"/>
        </w:rPr>
      </w:pPr>
      <w:r w:rsidRPr="00FB446F">
        <w:rPr>
          <w:rFonts w:ascii="Arial" w:hAnsi="Arial" w:cs="Arial" w:hint="eastAsia"/>
          <w:b/>
          <w:bCs/>
          <w:iCs/>
          <w:sz w:val="22"/>
        </w:rPr>
        <w:t>1</w:t>
      </w:r>
      <w:r w:rsidR="005F35DD" w:rsidRPr="00FB446F">
        <w:rPr>
          <w:rFonts w:ascii="Arial" w:hAnsi="Arial" w:cs="Arial"/>
          <w:b/>
          <w:bCs/>
          <w:iCs/>
          <w:sz w:val="22"/>
        </w:rPr>
        <w:t>.</w:t>
      </w:r>
      <w:r w:rsidRPr="00FB446F">
        <w:rPr>
          <w:rFonts w:ascii="Arial" w:hAnsi="Arial" w:cs="Arial" w:hint="eastAsia"/>
          <w:b/>
          <w:bCs/>
          <w:iCs/>
          <w:sz w:val="22"/>
        </w:rPr>
        <w:t>1</w:t>
      </w:r>
      <w:r w:rsidR="005F35DD" w:rsidRPr="00FB446F">
        <w:rPr>
          <w:rFonts w:ascii="Arial" w:hAnsi="Arial" w:cs="Arial"/>
          <w:b/>
          <w:bCs/>
          <w:iCs/>
          <w:sz w:val="22"/>
        </w:rPr>
        <w:t>. Depression induction by chronic immobilization stress</w:t>
      </w:r>
    </w:p>
    <w:p w14:paraId="7DE7F858" w14:textId="43D6C421" w:rsidR="005F35DD" w:rsidRPr="00FB446F" w:rsidRDefault="00FB446F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szCs w:val="20"/>
        </w:rPr>
      </w:pPr>
      <w:bookmarkStart w:id="0" w:name="_Hlk182987102"/>
      <w:r w:rsidRPr="00FB446F">
        <w:rPr>
          <w:rFonts w:ascii="Arial" w:hAnsi="Arial" w:cs="Arial"/>
          <w:szCs w:val="20"/>
        </w:rPr>
        <w:t>Seven-week-old male C57BL/6 mice were individually housed for 7 days before the experiment for acclimatization. For chronic immobilization stress-induced depression, mice were individually forced into a restrainer for 2 h every day for 15 days as previously described</w:t>
      </w:r>
      <w:bookmarkEnd w:id="0"/>
      <w:r w:rsidRPr="00FB446F">
        <w:rPr>
          <w:rFonts w:ascii="Arial" w:hAnsi="Arial" w:cs="Arial" w:hint="eastAsia"/>
          <w:szCs w:val="20"/>
        </w:rPr>
        <w:t xml:space="preserve"> </w:t>
      </w:r>
      <w:r w:rsidR="005F35DD" w:rsidRPr="00FB446F">
        <w:rPr>
          <w:rFonts w:ascii="Arial" w:hAnsi="Arial" w:cs="Arial"/>
          <w:szCs w:val="20"/>
        </w:rPr>
        <w:fldChar w:fldCharType="begin">
          <w:fldData xml:space="preserve">PEVuZE5vdGU+PENpdGU+PEF1dGhvcj5Tb248L0F1dGhvcj48WWVhcj4yMDE4PC9ZZWFyPjxSZWNO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=
</w:fldData>
        </w:fldChar>
      </w:r>
      <w:r w:rsidRPr="00FB446F">
        <w:rPr>
          <w:rFonts w:ascii="Arial" w:hAnsi="Arial" w:cs="Arial"/>
          <w:szCs w:val="20"/>
        </w:rPr>
        <w:instrText xml:space="preserve"> ADDIN EN.CITE </w:instrText>
      </w:r>
      <w:r w:rsidRPr="00FB446F">
        <w:rPr>
          <w:rFonts w:ascii="Arial" w:hAnsi="Arial" w:cs="Arial"/>
          <w:szCs w:val="20"/>
        </w:rPr>
        <w:fldChar w:fldCharType="begin">
          <w:fldData xml:space="preserve">PEVuZE5vdGU+PENpdGU+PEF1dGhvcj5Tb248L0F1dGhvcj48WWVhcj4yMDE4PC9ZZWFyPjxSZWNO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=
</w:fldData>
        </w:fldChar>
      </w:r>
      <w:r w:rsidRPr="00FB446F">
        <w:rPr>
          <w:rFonts w:ascii="Arial" w:hAnsi="Arial" w:cs="Arial"/>
          <w:szCs w:val="20"/>
        </w:rPr>
        <w:instrText xml:space="preserve"> ADDIN EN.CITE.DATA </w:instrText>
      </w:r>
      <w:r w:rsidRPr="00FB446F">
        <w:rPr>
          <w:rFonts w:ascii="Arial" w:hAnsi="Arial" w:cs="Arial"/>
          <w:szCs w:val="20"/>
        </w:rPr>
      </w:r>
      <w:r w:rsidRPr="00FB446F">
        <w:rPr>
          <w:rFonts w:ascii="Arial" w:hAnsi="Arial" w:cs="Arial"/>
          <w:szCs w:val="20"/>
        </w:rPr>
        <w:fldChar w:fldCharType="end"/>
      </w:r>
      <w:r w:rsidR="005F35DD" w:rsidRPr="00FB446F">
        <w:rPr>
          <w:rFonts w:ascii="Arial" w:hAnsi="Arial" w:cs="Arial"/>
          <w:szCs w:val="20"/>
        </w:rPr>
        <w:fldChar w:fldCharType="separate"/>
      </w:r>
      <w:r w:rsidR="00D41ECB" w:rsidRPr="00FB446F">
        <w:rPr>
          <w:rFonts w:ascii="Arial" w:hAnsi="Arial" w:cs="Arial"/>
          <w:noProof/>
          <w:szCs w:val="20"/>
        </w:rPr>
        <w:t>(Son et al., 2018)</w:t>
      </w:r>
      <w:r w:rsidR="005F35DD" w:rsidRPr="00FB446F">
        <w:rPr>
          <w:rFonts w:ascii="Arial" w:hAnsi="Arial" w:cs="Arial"/>
          <w:szCs w:val="20"/>
        </w:rPr>
        <w:fldChar w:fldCharType="end"/>
      </w:r>
      <w:r w:rsidR="005F35DD" w:rsidRPr="00FB446F">
        <w:rPr>
          <w:rFonts w:ascii="Arial" w:hAnsi="Arial" w:cs="Arial"/>
          <w:szCs w:val="20"/>
        </w:rPr>
        <w:t xml:space="preserve">. </w:t>
      </w:r>
    </w:p>
    <w:p w14:paraId="472F48B2" w14:textId="72B44667" w:rsidR="005F35DD" w:rsidRPr="00FB446F" w:rsidRDefault="00BC62DE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b/>
          <w:bCs/>
          <w:iCs/>
          <w:sz w:val="18"/>
          <w:szCs w:val="18"/>
        </w:rPr>
      </w:pPr>
      <w:r w:rsidRPr="00FB446F">
        <w:rPr>
          <w:rFonts w:ascii="Arial" w:hAnsi="Arial" w:cs="Arial" w:hint="eastAsia"/>
          <w:b/>
          <w:bCs/>
          <w:iCs/>
          <w:sz w:val="22"/>
        </w:rPr>
        <w:t>1.2</w:t>
      </w:r>
      <w:r w:rsidR="005F35DD" w:rsidRPr="00FB446F">
        <w:rPr>
          <w:rFonts w:ascii="Arial" w:hAnsi="Arial" w:cs="Arial"/>
          <w:b/>
          <w:bCs/>
          <w:iCs/>
          <w:sz w:val="22"/>
        </w:rPr>
        <w:t>. Seizure induction by kainic acid injection</w:t>
      </w:r>
    </w:p>
    <w:p w14:paraId="7C04B0E6" w14:textId="04207652" w:rsidR="005F35DD" w:rsidRPr="00FB446F" w:rsidRDefault="00FB446F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szCs w:val="20"/>
        </w:rPr>
      </w:pPr>
      <w:r w:rsidRPr="00FB446F">
        <w:rPr>
          <w:rFonts w:ascii="Arial" w:hAnsi="Arial" w:cs="Arial"/>
          <w:szCs w:val="20"/>
        </w:rPr>
        <w:t>Four-week-old male ICR mice were fed 1×, 3×, or 5× Y- or 3× YQ-supplemented diets for 1 week. Kainic acid (KA; ab120100, Abcam, Cambridge, UK) was administered via intraperitoneal (</w:t>
      </w:r>
      <w:proofErr w:type="spellStart"/>
      <w:r w:rsidRPr="00FB446F">
        <w:rPr>
          <w:rFonts w:ascii="Arial" w:hAnsi="Arial" w:cs="Arial"/>
          <w:szCs w:val="20"/>
        </w:rPr>
        <w:t>i.p.</w:t>
      </w:r>
      <w:proofErr w:type="spellEnd"/>
      <w:r w:rsidRPr="00FB446F">
        <w:rPr>
          <w:rFonts w:ascii="Arial" w:hAnsi="Arial" w:cs="Arial"/>
          <w:szCs w:val="20"/>
        </w:rPr>
        <w:t>) injection into 5-week-old mice (30±3 g) at a dose of 39 mg/kg body weight. For YQ injection, YQ solution was injected (</w:t>
      </w:r>
      <w:proofErr w:type="spellStart"/>
      <w:r w:rsidRPr="00FB446F">
        <w:rPr>
          <w:rFonts w:ascii="Arial" w:hAnsi="Arial" w:cs="Arial"/>
          <w:szCs w:val="20"/>
        </w:rPr>
        <w:t>i.p.</w:t>
      </w:r>
      <w:proofErr w:type="spellEnd"/>
      <w:r w:rsidRPr="00FB446F">
        <w:rPr>
          <w:rFonts w:ascii="Arial" w:hAnsi="Arial" w:cs="Arial"/>
          <w:szCs w:val="20"/>
        </w:rPr>
        <w:t xml:space="preserve">, 100 mg/kg, 3 mg YQ/200 </w:t>
      </w:r>
      <w:proofErr w:type="spellStart"/>
      <w:r w:rsidRPr="00FB446F">
        <w:rPr>
          <w:rFonts w:ascii="Arial" w:hAnsi="Arial" w:cs="Arial"/>
          <w:szCs w:val="20"/>
        </w:rPr>
        <w:t>μl</w:t>
      </w:r>
      <w:proofErr w:type="spellEnd"/>
      <w:r w:rsidRPr="00FB446F">
        <w:rPr>
          <w:rFonts w:ascii="Arial" w:hAnsi="Arial" w:cs="Arial"/>
          <w:szCs w:val="20"/>
        </w:rPr>
        <w:t xml:space="preserve"> water/30 g body weight) three times (24 and 1 h before and 24 h after KA injection) into normal diet-fed 5-week-old mice. Seizure levels were assessed according to a previous study</w:t>
      </w:r>
      <w:r w:rsidRPr="00FB446F">
        <w:rPr>
          <w:rFonts w:ascii="Arial" w:hAnsi="Arial" w:cs="Arial" w:hint="eastAsia"/>
          <w:szCs w:val="20"/>
        </w:rPr>
        <w:t xml:space="preserve"> </w:t>
      </w:r>
      <w:r w:rsidR="005F35DD" w:rsidRPr="00FB446F">
        <w:rPr>
          <w:rFonts w:ascii="Arial" w:hAnsi="Arial" w:cs="Arial"/>
          <w:szCs w:val="20"/>
        </w:rPr>
        <w:fldChar w:fldCharType="begin"/>
      </w:r>
      <w:r w:rsidR="005F35DD" w:rsidRPr="00FB446F">
        <w:rPr>
          <w:rFonts w:ascii="Arial" w:hAnsi="Arial" w:cs="Arial"/>
          <w:szCs w:val="20"/>
        </w:rPr>
        <w:instrText xml:space="preserve"> ADDIN EN.CITE &lt;EndNote&gt;&lt;Cite&gt;&lt;Author&gt;Morrison&lt;/Author&gt;&lt;Year&gt;1996&lt;/Year&gt;&lt;RecNum&gt;87&lt;/RecNum&gt;&lt;DisplayText&gt;(Morrison et al., 1996)&lt;/DisplayText&gt;&lt;record&gt;&lt;rec-number&gt;87&lt;/rec-number&gt;&lt;foreign-keys&gt;&lt;key app="EN" db-id="ffaptv52mvz9a5e55xgxzf2yxvwffaaxwdat" timestamp="1694965800"&gt;87&lt;/key&gt;&lt;/foreign-keys&gt;&lt;ref-type name="Journal Article"&gt;17&lt;/ref-type&gt;&lt;contributors&gt;&lt;authors&gt;&lt;author&gt;Morrison, R. S.&lt;/author&gt;&lt;author&gt;Wenzel, H. J.&lt;/author&gt;&lt;author&gt;Kinoshita, Y.&lt;/author&gt;&lt;author&gt;Robbins, C. A.&lt;/author&gt;&lt;author&gt;Donehower, L. A.&lt;/author&gt;&lt;author&gt;Schwartzkroin, P. A.&lt;/author&gt;&lt;/authors&gt;&lt;/contributors&gt;&lt;auth-address&gt;Department of Neurological Surgery, University of Washington School of Medicine, Seattle 98195-6470, USA.&lt;/auth-address&gt;&lt;titles&gt;&lt;title&gt;Loss of the p53 tumor suppressor gene protects neurons from kainate-induced cell death&lt;/title&gt;&lt;secondary-title&gt;J Neurosci&lt;/secondary-title&gt;&lt;/titles&gt;&lt;pages&gt;1337-45&lt;/pages&gt;&lt;volume&gt;16&lt;/volume&gt;&lt;number&gt;4&lt;/number&gt;&lt;edition&gt;1996/02/15&lt;/edition&gt;&lt;keywords&gt;&lt;keyword&gt;Animals&lt;/keyword&gt;&lt;keyword&gt;Cell Death/*drug effects&lt;/keyword&gt;&lt;keyword&gt;Genes, p53/*genetics&lt;/keyword&gt;&lt;keyword&gt;Hippocampus/*drug effects&lt;/keyword&gt;&lt;keyword&gt;Histocytochemistry&lt;/keyword&gt;&lt;keyword&gt;Kainic Acid/*pharmacology&lt;/keyword&gt;&lt;keyword&gt;Mice&lt;/keyword&gt;&lt;keyword&gt;Mice, Inbred Strains&lt;/keyword&gt;&lt;/keywords&gt;&lt;dates&gt;&lt;year&gt;1996&lt;/year&gt;&lt;pub-dates&gt;&lt;date&gt;Feb 15&lt;/date&gt;&lt;/pub-dates&gt;&lt;/dates&gt;&lt;isbn&gt;0270-6474 (Print)&amp;#xD;1529-2401 (Electronic)&amp;#xD;0270-6474 (Linking)&lt;/isbn&gt;&lt;accession-num&gt;8778285&lt;/accession-num&gt;&lt;urls&gt;&lt;related-urls&gt;&lt;url&gt;https://www.ncbi.nlm.nih.gov/pubmed/8778285&lt;/url&gt;&lt;/related-urls&gt;&lt;/urls&gt;&lt;custom2&gt;PMC6578556&lt;/custom2&gt;&lt;electronic-resource-num&gt;10.1523/JNEUROSCI.16-04-01337.1996&lt;/electronic-resource-num&gt;&lt;/record&gt;&lt;/Cite&gt;&lt;/EndNote&gt;</w:instrText>
      </w:r>
      <w:r w:rsidR="005F35DD" w:rsidRPr="00FB446F">
        <w:rPr>
          <w:rFonts w:ascii="Arial" w:hAnsi="Arial" w:cs="Arial"/>
          <w:szCs w:val="20"/>
        </w:rPr>
        <w:fldChar w:fldCharType="separate"/>
      </w:r>
      <w:r w:rsidR="005F35DD" w:rsidRPr="00FB446F">
        <w:rPr>
          <w:rFonts w:ascii="Arial" w:hAnsi="Arial" w:cs="Arial"/>
          <w:noProof/>
          <w:szCs w:val="20"/>
        </w:rPr>
        <w:t>(Morrison et al., 1996)</w:t>
      </w:r>
      <w:r w:rsidR="005F35DD" w:rsidRPr="00FB446F">
        <w:rPr>
          <w:rFonts w:ascii="Arial" w:hAnsi="Arial" w:cs="Arial"/>
          <w:szCs w:val="20"/>
        </w:rPr>
        <w:fldChar w:fldCharType="end"/>
      </w:r>
      <w:r w:rsidR="005F35DD" w:rsidRPr="00FB446F">
        <w:rPr>
          <w:rFonts w:ascii="Arial" w:hAnsi="Arial" w:cs="Arial"/>
          <w:szCs w:val="20"/>
        </w:rPr>
        <w:t xml:space="preserve"> </w:t>
      </w:r>
      <w:r w:rsidRPr="00FB446F">
        <w:rPr>
          <w:rFonts w:ascii="Arial" w:hAnsi="Arial" w:cs="Arial"/>
          <w:szCs w:val="20"/>
        </w:rPr>
        <w:t>and were recorded for 2 h. Mice were sacrificed 2 days after KA injection.</w:t>
      </w:r>
    </w:p>
    <w:p w14:paraId="5B035865" w14:textId="2F0A6C20" w:rsidR="005F35DD" w:rsidRPr="00FB446F" w:rsidRDefault="00BC62DE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b/>
          <w:bCs/>
          <w:iCs/>
          <w:sz w:val="22"/>
        </w:rPr>
      </w:pPr>
      <w:r w:rsidRPr="00FB446F">
        <w:rPr>
          <w:rFonts w:ascii="Arial" w:hAnsi="Arial" w:cs="Arial" w:hint="eastAsia"/>
          <w:b/>
          <w:bCs/>
          <w:iCs/>
          <w:sz w:val="22"/>
        </w:rPr>
        <w:t>1.3</w:t>
      </w:r>
      <w:r w:rsidR="005F35DD" w:rsidRPr="00FB446F">
        <w:rPr>
          <w:rFonts w:ascii="Arial" w:hAnsi="Arial" w:cs="Arial"/>
          <w:b/>
          <w:bCs/>
          <w:iCs/>
          <w:sz w:val="22"/>
        </w:rPr>
        <w:t>. Acute liver injury and hyperammonemia</w:t>
      </w:r>
    </w:p>
    <w:p w14:paraId="378D923B" w14:textId="40D05E1A" w:rsidR="00F30108" w:rsidRPr="00FB446F" w:rsidRDefault="00FB446F" w:rsidP="00D41ECB">
      <w:pPr>
        <w:wordWrap/>
        <w:spacing w:line="240" w:lineRule="auto"/>
        <w:rPr>
          <w:rFonts w:ascii="Arial" w:hAnsi="Arial" w:cs="Arial"/>
          <w:szCs w:val="20"/>
        </w:rPr>
      </w:pPr>
      <w:r w:rsidRPr="00FB446F">
        <w:rPr>
          <w:rFonts w:ascii="Arial" w:hAnsi="Arial" w:cs="Arial"/>
          <w:szCs w:val="20"/>
        </w:rPr>
        <w:t xml:space="preserve">Thirteen-week-old male C57BL/6 mice were habituated for 1 week, after which acute liver failure was induced by a single </w:t>
      </w:r>
      <w:proofErr w:type="spellStart"/>
      <w:r w:rsidRPr="00FB446F">
        <w:rPr>
          <w:rFonts w:ascii="Arial" w:hAnsi="Arial" w:cs="Arial"/>
          <w:szCs w:val="20"/>
        </w:rPr>
        <w:t>i.p.</w:t>
      </w:r>
      <w:proofErr w:type="spellEnd"/>
      <w:r w:rsidRPr="00FB446F">
        <w:rPr>
          <w:rFonts w:ascii="Arial" w:hAnsi="Arial" w:cs="Arial"/>
          <w:szCs w:val="20"/>
        </w:rPr>
        <w:t xml:space="preserve"> injection of azoxymethane (AOM; A5486, Merck, Rahway, NJ, USA; 100 mg/kg) or saline as a control. The mice injected with AOM were orally administered carboxymethyl cellulose (CMC; Sigma-Aldrich) vehicle, Y (100 mg/kg), or YQ (200 mg/kg) once a day for 4 days prior to AOM injection. After 12 h, mice were injected with 5% glucose in 200 µl saline to reduce hypoglycemia and dehydration. Bile duct ligation (BDL) was conducted as described in previous studies under sterile conditions</w:t>
      </w:r>
      <w:r w:rsidR="005F35DD" w:rsidRPr="00FB446F">
        <w:rPr>
          <w:rFonts w:ascii="Arial" w:hAnsi="Arial" w:cs="Arial"/>
          <w:szCs w:val="20"/>
        </w:rPr>
        <w:t xml:space="preserve"> </w:t>
      </w:r>
      <w:r w:rsidR="005F35DD" w:rsidRPr="00FB446F">
        <w:rPr>
          <w:rFonts w:ascii="Arial" w:hAnsi="Arial" w:cs="Arial"/>
          <w:szCs w:val="20"/>
        </w:rPr>
        <w:fldChar w:fldCharType="begin">
          <w:fldData xml:space="preserve">PEVuZE5vdGU+PENpdGU+PEF1dGhvcj5DaG88L0F1dGhvcj48WWVhcj4yMDIwPC9ZZWFyPjxSZWNO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</w:fldData>
        </w:fldChar>
      </w:r>
      <w:r w:rsidR="005F35DD" w:rsidRPr="00FB446F">
        <w:rPr>
          <w:rFonts w:ascii="Arial" w:hAnsi="Arial" w:cs="Arial"/>
          <w:szCs w:val="20"/>
        </w:rPr>
        <w:instrText xml:space="preserve"> ADDIN EN.CITE </w:instrText>
      </w:r>
      <w:r w:rsidR="005F35DD" w:rsidRPr="00FB446F">
        <w:rPr>
          <w:rFonts w:ascii="Arial" w:hAnsi="Arial" w:cs="Arial"/>
          <w:szCs w:val="20"/>
        </w:rPr>
        <w:fldChar w:fldCharType="begin">
          <w:fldData xml:space="preserve">PEVuZE5vdGU+PENpdGU+PEF1dGhvcj5DaG88L0F1dGhvcj48WWVhcj4yMDIwPC9ZZWFyPjxSZWNO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</w:fldData>
        </w:fldChar>
      </w:r>
      <w:r w:rsidR="005F35DD" w:rsidRPr="00FB446F">
        <w:rPr>
          <w:rFonts w:ascii="Arial" w:hAnsi="Arial" w:cs="Arial"/>
          <w:szCs w:val="20"/>
        </w:rPr>
        <w:instrText xml:space="preserve"> ADDIN EN.CITE.DATA </w:instrText>
      </w:r>
      <w:r w:rsidR="005F35DD" w:rsidRPr="00FB446F">
        <w:rPr>
          <w:rFonts w:ascii="Arial" w:hAnsi="Arial" w:cs="Arial"/>
          <w:szCs w:val="20"/>
        </w:rPr>
      </w:r>
      <w:r w:rsidR="005F35DD" w:rsidRPr="00FB446F">
        <w:rPr>
          <w:rFonts w:ascii="Arial" w:hAnsi="Arial" w:cs="Arial"/>
          <w:szCs w:val="20"/>
        </w:rPr>
        <w:fldChar w:fldCharType="end"/>
      </w:r>
      <w:r w:rsidR="005F35DD" w:rsidRPr="00FB446F">
        <w:rPr>
          <w:rFonts w:ascii="Arial" w:hAnsi="Arial" w:cs="Arial"/>
          <w:szCs w:val="20"/>
        </w:rPr>
      </w:r>
      <w:r w:rsidR="005F35DD" w:rsidRPr="00FB446F">
        <w:rPr>
          <w:rFonts w:ascii="Arial" w:hAnsi="Arial" w:cs="Arial"/>
          <w:szCs w:val="20"/>
        </w:rPr>
        <w:fldChar w:fldCharType="separate"/>
      </w:r>
      <w:r w:rsidR="005F35DD" w:rsidRPr="00FB446F">
        <w:rPr>
          <w:rFonts w:ascii="Arial" w:hAnsi="Arial" w:cs="Arial"/>
          <w:noProof/>
          <w:szCs w:val="20"/>
        </w:rPr>
        <w:t>(Cho et al., 2020; Claeys et al., 2022)</w:t>
      </w:r>
      <w:r w:rsidR="005F35DD" w:rsidRPr="00FB446F">
        <w:rPr>
          <w:rFonts w:ascii="Arial" w:hAnsi="Arial" w:cs="Arial"/>
          <w:szCs w:val="20"/>
        </w:rPr>
        <w:fldChar w:fldCharType="end"/>
      </w:r>
      <w:r w:rsidR="005F35DD" w:rsidRPr="00FB446F">
        <w:rPr>
          <w:rFonts w:ascii="Arial" w:hAnsi="Arial" w:cs="Arial"/>
          <w:szCs w:val="20"/>
        </w:rPr>
        <w:t xml:space="preserve">. </w:t>
      </w:r>
      <w:r w:rsidRPr="00FB446F">
        <w:rPr>
          <w:rFonts w:ascii="Arial" w:hAnsi="Arial" w:cs="Arial"/>
          <w:szCs w:val="20"/>
        </w:rPr>
        <w:t>BDL mice were orally administered CMC vehicle, Y (100 mg/kg), or YQ (200 mg/kg). After 14 days, BDL mice were sacrificed.</w:t>
      </w:r>
    </w:p>
    <w:p w14:paraId="70108E45" w14:textId="77777777" w:rsidR="00D41ECB" w:rsidRPr="00FB446F" w:rsidRDefault="00D41ECB" w:rsidP="00D41ECB">
      <w:pPr>
        <w:wordWrap/>
        <w:spacing w:line="240" w:lineRule="auto"/>
        <w:rPr>
          <w:rFonts w:ascii="Arial" w:hAnsi="Arial" w:cs="Arial"/>
          <w:szCs w:val="20"/>
        </w:rPr>
      </w:pPr>
    </w:p>
    <w:p w14:paraId="59C49981" w14:textId="0A39E435" w:rsidR="005F35DD" w:rsidRPr="00FB446F" w:rsidRDefault="00BC62DE" w:rsidP="00D41ECB">
      <w:pPr>
        <w:wordWrap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FB446F">
        <w:rPr>
          <w:rFonts w:ascii="Arial" w:hAnsi="Arial" w:cs="Arial" w:hint="eastAsia"/>
          <w:b/>
          <w:bCs/>
          <w:sz w:val="24"/>
          <w:szCs w:val="24"/>
        </w:rPr>
        <w:t>2. Biochemical and molecular approaches</w:t>
      </w:r>
    </w:p>
    <w:p w14:paraId="3C45494D" w14:textId="18BDB256" w:rsidR="005F35DD" w:rsidRPr="00FB446F" w:rsidRDefault="005F35DD" w:rsidP="00D41ECB">
      <w:pPr>
        <w:pStyle w:val="a6"/>
        <w:widowControl/>
        <w:tabs>
          <w:tab w:val="left" w:pos="567"/>
        </w:tabs>
        <w:wordWrap/>
        <w:autoSpaceDE/>
        <w:autoSpaceDN/>
        <w:spacing w:afterLines="80" w:after="192" w:line="240" w:lineRule="auto"/>
        <w:ind w:left="0"/>
        <w:jc w:val="left"/>
        <w:rPr>
          <w:rFonts w:ascii="Arial" w:hAnsi="Arial"/>
          <w:b/>
          <w:sz w:val="22"/>
        </w:rPr>
      </w:pPr>
      <w:r w:rsidRPr="00FB446F">
        <w:rPr>
          <w:rFonts w:ascii="Arial" w:hAnsi="Arial" w:cs="Arial" w:hint="eastAsia"/>
          <w:b/>
          <w:bCs/>
          <w:iCs/>
          <w:sz w:val="22"/>
        </w:rPr>
        <w:t>2.</w:t>
      </w:r>
      <w:r w:rsidR="00BC62DE" w:rsidRPr="00FB446F">
        <w:rPr>
          <w:rFonts w:ascii="Arial" w:hAnsi="Arial" w:cs="Arial" w:hint="eastAsia"/>
          <w:b/>
          <w:bCs/>
          <w:iCs/>
          <w:sz w:val="22"/>
        </w:rPr>
        <w:t>1</w:t>
      </w:r>
      <w:r w:rsidRPr="00FB446F">
        <w:rPr>
          <w:rFonts w:ascii="Arial" w:hAnsi="Arial" w:cs="Arial" w:hint="eastAsia"/>
          <w:b/>
          <w:bCs/>
          <w:iCs/>
          <w:sz w:val="22"/>
        </w:rPr>
        <w:t xml:space="preserve">. </w:t>
      </w:r>
      <w:r w:rsidR="00FB446F" w:rsidRPr="00FB446F">
        <w:rPr>
          <w:rFonts w:ascii="Arial" w:hAnsi="Arial" w:cs="Arial"/>
          <w:b/>
          <w:bCs/>
          <w:iCs/>
          <w:sz w:val="22"/>
        </w:rPr>
        <w:t>Measuremen</w:t>
      </w:r>
      <w:r w:rsidR="00FB446F" w:rsidRPr="00FB446F">
        <w:rPr>
          <w:rFonts w:ascii="Arial" w:hAnsi="Arial" w:cs="Arial" w:hint="eastAsia"/>
          <w:b/>
          <w:bCs/>
          <w:iCs/>
          <w:sz w:val="22"/>
        </w:rPr>
        <w:t>t</w:t>
      </w:r>
      <w:r w:rsidR="00FB446F" w:rsidRPr="00FB446F">
        <w:rPr>
          <w:rFonts w:ascii="Arial" w:hAnsi="Arial" w:cs="Arial"/>
          <w:b/>
          <w:bCs/>
          <w:iCs/>
          <w:sz w:val="22"/>
        </w:rPr>
        <w:t xml:space="preserve">s of ammonia, </w:t>
      </w:r>
      <w:r w:rsidR="00FB446F" w:rsidRPr="00FB446F">
        <w:rPr>
          <w:rFonts w:ascii="Arial" w:hAnsi="Arial" w:cs="Arial"/>
          <w:b/>
          <w:bCs/>
          <w:sz w:val="22"/>
        </w:rPr>
        <w:t>alanine aminotransferase</w:t>
      </w:r>
      <w:r w:rsidR="00FB446F" w:rsidRPr="00FB446F">
        <w:rPr>
          <w:rFonts w:ascii="Arial" w:hAnsi="Arial" w:cs="Arial"/>
          <w:b/>
          <w:bCs/>
          <w:iCs/>
          <w:sz w:val="22"/>
        </w:rPr>
        <w:t>, alkaline phosphatase, corticosterone, and reactive oxygen species/reactive nitrogen species</w:t>
      </w:r>
    </w:p>
    <w:p w14:paraId="4919F387" w14:textId="03CC562C" w:rsidR="005F35DD" w:rsidRPr="00FB446F" w:rsidRDefault="00FB446F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szCs w:val="20"/>
        </w:rPr>
      </w:pPr>
      <w:r w:rsidRPr="00FB446F">
        <w:rPr>
          <w:rFonts w:ascii="Arial" w:hAnsi="Arial" w:cs="Arial"/>
          <w:szCs w:val="20"/>
        </w:rPr>
        <w:t>Plasma alanine aminotransferase and alkaline phosphatase levels were measured using commercial assay kits from IVD Lab (</w:t>
      </w:r>
      <w:proofErr w:type="spellStart"/>
      <w:r w:rsidRPr="00FB446F">
        <w:rPr>
          <w:rFonts w:ascii="Arial" w:hAnsi="Arial" w:cs="Arial"/>
          <w:szCs w:val="20"/>
        </w:rPr>
        <w:t>Uiwang</w:t>
      </w:r>
      <w:proofErr w:type="spellEnd"/>
      <w:r w:rsidRPr="00FB446F">
        <w:rPr>
          <w:rFonts w:ascii="Arial" w:hAnsi="Arial" w:cs="Arial"/>
          <w:szCs w:val="20"/>
        </w:rPr>
        <w:t xml:space="preserve">, Rep. of Korea). </w:t>
      </w:r>
      <w:r w:rsidRPr="00FB446F">
        <w:rPr>
          <w:rFonts w:ascii="Arial" w:hAnsi="Arial" w:cs="Arial"/>
          <w:iCs/>
          <w:szCs w:val="20"/>
        </w:rPr>
        <w:t>Corticosterone</w:t>
      </w:r>
      <w:r w:rsidRPr="00FB446F">
        <w:rPr>
          <w:rFonts w:ascii="Arial" w:hAnsi="Arial" w:cs="Arial"/>
          <w:szCs w:val="20"/>
        </w:rPr>
        <w:t xml:space="preserve"> (CORT) and reactive oxygen species (ROS)/reactive nitrogen species (RNS) were quantified using a Corticosterone ELISA Kit (501320, Cayman Chemicals, Ann Arbor, MI, USA) and an </w:t>
      </w:r>
      <w:proofErr w:type="spellStart"/>
      <w:r w:rsidRPr="00FB446F">
        <w:rPr>
          <w:rFonts w:ascii="Arial" w:hAnsi="Arial" w:cs="Arial"/>
          <w:szCs w:val="20"/>
        </w:rPr>
        <w:t>OxiSelect</w:t>
      </w:r>
      <w:proofErr w:type="spellEnd"/>
      <w:r w:rsidRPr="00FB446F">
        <w:rPr>
          <w:rFonts w:ascii="Arial" w:hAnsi="Arial" w:cs="Arial"/>
          <w:szCs w:val="20"/>
        </w:rPr>
        <w:sym w:font="Symbol" w:char="F0D4"/>
      </w:r>
      <w:r w:rsidRPr="00FB446F">
        <w:rPr>
          <w:rFonts w:ascii="Arial" w:hAnsi="Arial" w:cs="Arial"/>
          <w:szCs w:val="20"/>
        </w:rPr>
        <w:t xml:space="preserve"> In Vitro ROS/RNS Assay Kit (STA-347, Cell Biolabs, San Diego, CA, USA) according to protocols provided by the manufacturers. CORT and ROS/RNS were measured in plasma and brain tissues, respectively.</w:t>
      </w:r>
    </w:p>
    <w:p w14:paraId="03A052BF" w14:textId="7F585E43" w:rsidR="005F35DD" w:rsidRPr="00FB446F" w:rsidRDefault="005F35DD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b/>
          <w:bCs/>
          <w:iCs/>
          <w:sz w:val="22"/>
        </w:rPr>
      </w:pPr>
      <w:r w:rsidRPr="00FB446F">
        <w:rPr>
          <w:rFonts w:ascii="Arial" w:hAnsi="Arial" w:cs="Arial" w:hint="eastAsia"/>
          <w:b/>
          <w:bCs/>
          <w:iCs/>
          <w:sz w:val="22"/>
        </w:rPr>
        <w:t>2.</w:t>
      </w:r>
      <w:r w:rsidR="00BC62DE" w:rsidRPr="00FB446F">
        <w:rPr>
          <w:rFonts w:ascii="Arial" w:hAnsi="Arial" w:cs="Arial" w:hint="eastAsia"/>
          <w:b/>
          <w:bCs/>
          <w:iCs/>
          <w:sz w:val="22"/>
        </w:rPr>
        <w:t>2</w:t>
      </w:r>
      <w:r w:rsidRPr="00FB446F">
        <w:rPr>
          <w:rFonts w:ascii="Arial" w:hAnsi="Arial" w:cs="Arial" w:hint="eastAsia"/>
          <w:b/>
          <w:bCs/>
          <w:iCs/>
          <w:sz w:val="22"/>
        </w:rPr>
        <w:t xml:space="preserve">. </w:t>
      </w:r>
      <w:r w:rsidRPr="00FB446F">
        <w:rPr>
          <w:rFonts w:ascii="Arial" w:hAnsi="Arial" w:cs="Arial"/>
          <w:b/>
          <w:bCs/>
          <w:iCs/>
          <w:sz w:val="22"/>
        </w:rPr>
        <w:t>G</w:t>
      </w:r>
      <w:r w:rsidR="00FB446F" w:rsidRPr="00FB446F">
        <w:rPr>
          <w:rFonts w:ascii="Arial" w:hAnsi="Arial" w:cs="Arial" w:hint="eastAsia"/>
          <w:b/>
          <w:bCs/>
          <w:iCs/>
          <w:sz w:val="22"/>
        </w:rPr>
        <w:t>lutamine synthetase</w:t>
      </w:r>
      <w:r w:rsidRPr="00FB446F">
        <w:rPr>
          <w:rFonts w:ascii="Arial" w:hAnsi="Arial" w:cs="Arial"/>
          <w:b/>
          <w:bCs/>
          <w:iCs/>
          <w:sz w:val="22"/>
        </w:rPr>
        <w:t xml:space="preserve"> activity assay</w:t>
      </w:r>
    </w:p>
    <w:p w14:paraId="38930E8D" w14:textId="63334A41" w:rsidR="005F35DD" w:rsidRPr="00FB446F" w:rsidRDefault="00FB446F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szCs w:val="20"/>
        </w:rPr>
      </w:pPr>
      <w:r w:rsidRPr="00FB446F">
        <w:rPr>
          <w:rFonts w:ascii="Arial" w:hAnsi="Arial" w:cs="Arial"/>
          <w:szCs w:val="20"/>
        </w:rPr>
        <w:t>Glutamine synthetase (</w:t>
      </w:r>
      <w:r w:rsidRPr="00FB446F">
        <w:rPr>
          <w:rFonts w:ascii="Arial" w:hAnsi="Arial" w:cs="Arial" w:hint="eastAsia"/>
          <w:szCs w:val="20"/>
        </w:rPr>
        <w:t>GS</w:t>
      </w:r>
      <w:r w:rsidRPr="00FB446F">
        <w:rPr>
          <w:rFonts w:ascii="Arial" w:hAnsi="Arial" w:cs="Arial"/>
          <w:szCs w:val="20"/>
        </w:rPr>
        <w:t>)</w:t>
      </w:r>
      <w:r w:rsidRPr="00FB446F">
        <w:rPr>
          <w:rFonts w:ascii="Arial" w:hAnsi="Arial" w:cs="Arial" w:hint="eastAsia"/>
          <w:szCs w:val="20"/>
        </w:rPr>
        <w:t xml:space="preserve"> activity was measured as described in </w:t>
      </w:r>
      <w:r w:rsidRPr="00FB446F">
        <w:rPr>
          <w:rFonts w:ascii="Arial" w:hAnsi="Arial" w:cs="Arial"/>
          <w:szCs w:val="20"/>
        </w:rPr>
        <w:t xml:space="preserve">a </w:t>
      </w:r>
      <w:r w:rsidRPr="00FB446F">
        <w:rPr>
          <w:rFonts w:ascii="Arial" w:hAnsi="Arial" w:cs="Arial" w:hint="eastAsia"/>
          <w:szCs w:val="20"/>
        </w:rPr>
        <w:t>previous study</w:t>
      </w:r>
      <w:r w:rsidRPr="00FB446F">
        <w:rPr>
          <w:rFonts w:ascii="Arial" w:hAnsi="Arial" w:cs="Arial"/>
          <w:szCs w:val="20"/>
        </w:rPr>
        <w:t xml:space="preserve"> </w:t>
      </w:r>
      <w:r w:rsidRPr="00FB446F">
        <w:rPr>
          <w:rFonts w:ascii="Arial" w:hAnsi="Arial" w:cs="Arial"/>
          <w:szCs w:val="20"/>
        </w:rPr>
        <w:fldChar w:fldCharType="begin"/>
      </w:r>
      <w:r w:rsidRPr="00FB446F">
        <w:rPr>
          <w:rFonts w:ascii="Arial" w:hAnsi="Arial" w:cs="Arial"/>
          <w:szCs w:val="20"/>
        </w:rPr>
        <w:instrText xml:space="preserve"> ADDIN EN.CITE &lt;EndNote&gt;&lt;Cite&gt;&lt;Author&gt;Peng&lt;/Author&gt;&lt;Year&gt;2016&lt;/Year&gt;&lt;RecNum&gt;104&lt;/RecNum&gt;&lt;DisplayText&gt;(Peng et al., 2016)&lt;/DisplayText&gt;&lt;record&gt;&lt;rec-number&gt;104&lt;/rec-number&gt;&lt;foreign-keys&gt;&lt;key app="EN" db-id="9s9ddzd9nwvdw8eppzf59xpxdredswx2022z" timestamp="1714632458"&gt;104&lt;/key&gt;&lt;/foreign-keys&gt;&lt;ref-type name="Journal Article"&gt;17&lt;/ref-type&gt;&lt;contributors&gt;&lt;authors&gt;&lt;author&gt;Peng, I. C.&lt;/author&gt;&lt;author&gt;Bott, A. J.&lt;/author&gt;&lt;author&gt;Zong, W. X.&lt;/author&gt;&lt;/authors&gt;&lt;/contributors&gt;&lt;auth-address&gt;Department of Life Sciences, National Cheng Kung University, Tainan, Taiwan.&amp;#xD;Department of Chemical Biology, Ernest Mario School of Pharmacy, Rutgers University, Piscataway, USA.&amp;#xD;Rutgers Cancer Institute of New Jersey, New Brunswick, USA.&lt;/auth-address&gt;&lt;titles&gt;&lt;title&gt;Spectrophotometric Determination of Glutamine Synthetase Activity in Cultured Cells&lt;/title&gt;&lt;secondary-title&gt;Bio Protoc&lt;/secondary-title&gt;&lt;/titles&gt;&lt;periodical&gt;&lt;full-title&gt;Bio Protoc&lt;/full-title&gt;&lt;/periodical&gt;&lt;volume&gt;6&lt;/volume&gt;&lt;number&gt;19&lt;/number&gt;&lt;edition&gt;2016/10/05&lt;/edition&gt;&lt;dates&gt;&lt;year&gt;2016&lt;/year&gt;&lt;pub-dates&gt;&lt;date&gt;Oct 5&lt;/date&gt;&lt;/pub-dates&gt;&lt;/dates&gt;&lt;isbn&gt;2331-8325 (Print)&amp;#xD;2331-8325 (Electronic)&amp;#xD;2331-8325 (Linking)&lt;/isbn&gt;&lt;accession-num&gt;31380466&lt;/accession-num&gt;&lt;urls&gt;&lt;related-urls&gt;&lt;url&gt;https://www.ncbi.nlm.nih.gov/pubmed/31380466&lt;/url&gt;&lt;/related-urls&gt;&lt;/urls&gt;&lt;custom2&gt;PMC6677253&lt;/custom2&gt;&lt;electronic-resource-num&gt;10.21769/BioProtoc.1959&lt;/electronic-resource-num&gt;&lt;/record&gt;&lt;/Cite&gt;&lt;/EndNote&gt;</w:instrText>
      </w:r>
      <w:r w:rsidRPr="00FB446F">
        <w:rPr>
          <w:rFonts w:ascii="Arial" w:hAnsi="Arial" w:cs="Arial"/>
          <w:szCs w:val="20"/>
        </w:rPr>
        <w:fldChar w:fldCharType="separate"/>
      </w:r>
      <w:r w:rsidRPr="00FB446F">
        <w:rPr>
          <w:rFonts w:ascii="Arial" w:hAnsi="Arial" w:cs="Arial"/>
          <w:noProof/>
          <w:szCs w:val="20"/>
        </w:rPr>
        <w:t>(Peng et al., 2016)</w:t>
      </w:r>
      <w:r w:rsidRPr="00FB446F">
        <w:rPr>
          <w:rFonts w:ascii="Arial" w:hAnsi="Arial" w:cs="Arial"/>
          <w:szCs w:val="20"/>
        </w:rPr>
        <w:fldChar w:fldCharType="end"/>
      </w:r>
      <w:r w:rsidRPr="00FB446F">
        <w:rPr>
          <w:rFonts w:ascii="Arial" w:hAnsi="Arial" w:cs="Arial"/>
          <w:szCs w:val="20"/>
        </w:rPr>
        <w:t>.</w:t>
      </w:r>
      <w:r w:rsidRPr="00FB446F">
        <w:rPr>
          <w:rFonts w:ascii="Arial" w:hAnsi="Arial" w:cs="Arial" w:hint="eastAsia"/>
          <w:szCs w:val="20"/>
        </w:rPr>
        <w:t xml:space="preserve"> </w:t>
      </w:r>
      <w:r w:rsidRPr="00FB446F">
        <w:rPr>
          <w:rFonts w:ascii="Arial" w:hAnsi="Arial" w:cs="Arial"/>
          <w:szCs w:val="20"/>
        </w:rPr>
        <w:t xml:space="preserve">The lysate or recombinant </w:t>
      </w:r>
      <w:r w:rsidRPr="00FB446F">
        <w:rPr>
          <w:rFonts w:ascii="Arial" w:hAnsi="Arial" w:cs="Arial" w:hint="eastAsia"/>
          <w:szCs w:val="20"/>
        </w:rPr>
        <w:t xml:space="preserve">human </w:t>
      </w:r>
      <w:r w:rsidRPr="00FB446F">
        <w:rPr>
          <w:rFonts w:ascii="Arial" w:hAnsi="Arial" w:cs="Arial"/>
          <w:szCs w:val="20"/>
        </w:rPr>
        <w:t xml:space="preserve">GS </w:t>
      </w:r>
      <w:r w:rsidRPr="00FB446F">
        <w:rPr>
          <w:rFonts w:ascii="Arial" w:hAnsi="Arial" w:cs="Arial" w:hint="eastAsia"/>
          <w:szCs w:val="20"/>
        </w:rPr>
        <w:t>(</w:t>
      </w:r>
      <w:proofErr w:type="spellStart"/>
      <w:r w:rsidRPr="00FB446F">
        <w:rPr>
          <w:rFonts w:ascii="Arial" w:hAnsi="Arial" w:cs="Arial" w:hint="eastAsia"/>
          <w:szCs w:val="20"/>
        </w:rPr>
        <w:t>rhGS</w:t>
      </w:r>
      <w:proofErr w:type="spellEnd"/>
      <w:r w:rsidRPr="00FB446F">
        <w:rPr>
          <w:rFonts w:ascii="Arial" w:hAnsi="Arial" w:cs="Arial"/>
          <w:szCs w:val="20"/>
        </w:rPr>
        <w:t>;</w:t>
      </w:r>
      <w:r w:rsidRPr="00FB446F">
        <w:rPr>
          <w:rFonts w:ascii="Arial" w:hAnsi="Arial" w:cs="Arial" w:hint="eastAsia"/>
          <w:szCs w:val="20"/>
        </w:rPr>
        <w:t xml:space="preserve"> </w:t>
      </w:r>
      <w:r w:rsidRPr="00FB446F">
        <w:rPr>
          <w:rFonts w:ascii="Arial" w:hAnsi="Arial" w:cs="Arial"/>
          <w:szCs w:val="20"/>
        </w:rPr>
        <w:t>NBP2-52619, Novus Biologicals, Centennial, CO, USA</w:t>
      </w:r>
      <w:r w:rsidRPr="00FB446F">
        <w:rPr>
          <w:rFonts w:ascii="Arial" w:hAnsi="Arial" w:cs="Arial" w:hint="eastAsia"/>
          <w:szCs w:val="20"/>
        </w:rPr>
        <w:t xml:space="preserve">) </w:t>
      </w:r>
      <w:r w:rsidRPr="00FB446F">
        <w:rPr>
          <w:rFonts w:ascii="Arial" w:hAnsi="Arial" w:cs="Arial"/>
          <w:szCs w:val="20"/>
        </w:rPr>
        <w:t>diluted in GS lysis buffer (50 mM imidazole, pH 6.8) was mixed with GS assay buffer (50 mM imidazole-HCl, pH 6.8, 50 mM L-glutamine, 25 mM hydroxylamine, 25 mM sodium arsenate, 2 mM MnCl</w:t>
      </w:r>
      <w:r w:rsidRPr="00FB446F">
        <w:rPr>
          <w:rFonts w:ascii="Arial" w:hAnsi="Arial" w:cs="Arial"/>
          <w:szCs w:val="20"/>
          <w:vertAlign w:val="subscript"/>
        </w:rPr>
        <w:t>2</w:t>
      </w:r>
      <w:r w:rsidRPr="00FB446F">
        <w:rPr>
          <w:rFonts w:ascii="Arial" w:hAnsi="Arial" w:cs="Arial"/>
          <w:szCs w:val="20"/>
        </w:rPr>
        <w:t>, and 0.16 mM ADP) and incubated for 1 h at 37 °C. After adding the stop solution (90 mM FeCl</w:t>
      </w:r>
      <w:r w:rsidRPr="00FB446F">
        <w:rPr>
          <w:rFonts w:ascii="Arial" w:hAnsi="Arial" w:cs="Arial"/>
          <w:szCs w:val="20"/>
          <w:vertAlign w:val="subscript"/>
        </w:rPr>
        <w:t>3</w:t>
      </w:r>
      <w:r w:rsidRPr="00FB446F">
        <w:rPr>
          <w:rFonts w:ascii="Arial" w:hAnsi="Arial" w:cs="Arial"/>
          <w:szCs w:val="20"/>
        </w:rPr>
        <w:t xml:space="preserve">, 1.8 N HCl, and 1.45% trichloroacetic acid), </w:t>
      </w:r>
      <w:r w:rsidRPr="00FB446F">
        <w:rPr>
          <w:rFonts w:ascii="Arial" w:hAnsi="Arial" w:cs="Arial" w:hint="eastAsia"/>
          <w:szCs w:val="20"/>
        </w:rPr>
        <w:t xml:space="preserve">the absorbance was measured at 560 nm </w:t>
      </w:r>
      <w:r w:rsidRPr="00FB446F">
        <w:rPr>
          <w:rFonts w:ascii="Arial" w:hAnsi="Arial" w:cs="Arial"/>
          <w:szCs w:val="20"/>
        </w:rPr>
        <w:t>using</w:t>
      </w:r>
      <w:r w:rsidRPr="00FB446F">
        <w:rPr>
          <w:rFonts w:ascii="Arial" w:hAnsi="Arial" w:cs="Arial" w:hint="eastAsia"/>
          <w:szCs w:val="20"/>
        </w:rPr>
        <w:t xml:space="preserve"> a </w:t>
      </w:r>
      <w:proofErr w:type="spellStart"/>
      <w:r w:rsidRPr="00FB446F">
        <w:rPr>
          <w:rFonts w:ascii="Arial" w:hAnsi="Arial" w:cs="Arial" w:hint="eastAsia"/>
          <w:szCs w:val="20"/>
        </w:rPr>
        <w:t>VersaMax</w:t>
      </w:r>
      <w:proofErr w:type="spellEnd"/>
      <w:r w:rsidRPr="00FB446F">
        <w:rPr>
          <w:rFonts w:ascii="Arial" w:hAnsi="Arial" w:cs="Arial" w:hint="eastAsia"/>
          <w:szCs w:val="20"/>
        </w:rPr>
        <w:t xml:space="preserve"> microplate reader (Molecular Devices, San Jose, CA, USA). GS activity was </w:t>
      </w:r>
      <w:r w:rsidRPr="00FB446F">
        <w:rPr>
          <w:rFonts w:ascii="Arial" w:hAnsi="Arial" w:cs="Arial"/>
          <w:szCs w:val="20"/>
        </w:rPr>
        <w:t>calculated</w:t>
      </w:r>
      <w:r w:rsidRPr="00FB446F">
        <w:rPr>
          <w:rFonts w:ascii="Arial" w:hAnsi="Arial" w:cs="Arial" w:hint="eastAsia"/>
          <w:szCs w:val="20"/>
        </w:rPr>
        <w:t xml:space="preserve"> as the amount of </w:t>
      </w:r>
      <w:r w:rsidRPr="00FB446F">
        <w:rPr>
          <w:rFonts w:ascii="Arial" w:hAnsi="Arial" w:cs="Arial"/>
          <w:szCs w:val="20"/>
        </w:rPr>
        <w:t>γ</w:t>
      </w:r>
      <w:r w:rsidRPr="00FB446F">
        <w:rPr>
          <w:rFonts w:ascii="Arial" w:hAnsi="Arial" w:cs="Arial" w:hint="eastAsia"/>
          <w:szCs w:val="20"/>
        </w:rPr>
        <w:t>-</w:t>
      </w:r>
      <w:proofErr w:type="spellStart"/>
      <w:r w:rsidRPr="00FB446F">
        <w:rPr>
          <w:rFonts w:ascii="Arial" w:hAnsi="Arial" w:cs="Arial" w:hint="eastAsia"/>
          <w:szCs w:val="20"/>
        </w:rPr>
        <w:t>glutamylhyd</w:t>
      </w:r>
      <w:r w:rsidRPr="00FB446F">
        <w:rPr>
          <w:rFonts w:ascii="Arial" w:hAnsi="Arial" w:cs="Arial"/>
          <w:szCs w:val="20"/>
        </w:rPr>
        <w:t>r</w:t>
      </w:r>
      <w:r w:rsidRPr="00FB446F">
        <w:rPr>
          <w:rFonts w:ascii="Arial" w:hAnsi="Arial" w:cs="Arial" w:hint="eastAsia"/>
          <w:szCs w:val="20"/>
        </w:rPr>
        <w:t>oxamate</w:t>
      </w:r>
      <w:proofErr w:type="spellEnd"/>
      <w:r w:rsidRPr="00FB446F">
        <w:rPr>
          <w:rFonts w:ascii="Arial" w:hAnsi="Arial" w:cs="Arial" w:hint="eastAsia"/>
          <w:szCs w:val="20"/>
        </w:rPr>
        <w:t xml:space="preserve"> produced per minute by</w:t>
      </w:r>
      <w:r w:rsidRPr="00FB446F">
        <w:rPr>
          <w:rFonts w:ascii="Arial" w:hAnsi="Arial" w:cs="Arial"/>
          <w:szCs w:val="20"/>
        </w:rPr>
        <w:t xml:space="preserve"> the amount of</w:t>
      </w:r>
      <w:r w:rsidRPr="00FB446F">
        <w:rPr>
          <w:rFonts w:ascii="Arial" w:hAnsi="Arial" w:cs="Arial" w:hint="eastAsia"/>
          <w:szCs w:val="20"/>
        </w:rPr>
        <w:t xml:space="preserve"> lysate or </w:t>
      </w:r>
      <w:proofErr w:type="spellStart"/>
      <w:r w:rsidRPr="00FB446F">
        <w:rPr>
          <w:rFonts w:ascii="Arial" w:hAnsi="Arial" w:cs="Arial"/>
          <w:szCs w:val="20"/>
        </w:rPr>
        <w:t>rhGS</w:t>
      </w:r>
      <w:proofErr w:type="spellEnd"/>
      <w:r w:rsidRPr="00FB446F">
        <w:rPr>
          <w:rFonts w:ascii="Arial" w:hAnsi="Arial" w:cs="Arial"/>
          <w:szCs w:val="20"/>
        </w:rPr>
        <w:t xml:space="preserve"> in </w:t>
      </w:r>
      <w:r w:rsidRPr="00FB446F">
        <w:rPr>
          <w:rFonts w:ascii="Arial" w:hAnsi="Arial" w:cs="Arial" w:hint="eastAsia"/>
          <w:szCs w:val="20"/>
        </w:rPr>
        <w:t>the reaction.</w:t>
      </w:r>
      <w:r w:rsidRPr="00FB446F">
        <w:rPr>
          <w:rFonts w:ascii="Arial" w:hAnsi="Arial" w:cs="Arial"/>
          <w:szCs w:val="20"/>
        </w:rPr>
        <w:t xml:space="preserve"> All chemicals were purchased from Sigma-Aldrich, and information regarding the chemicals was included in a previous study</w:t>
      </w:r>
      <w:r w:rsidRPr="00FB446F">
        <w:rPr>
          <w:rFonts w:ascii="Arial" w:hAnsi="Arial" w:cs="Arial"/>
          <w:szCs w:val="20"/>
        </w:rPr>
        <w:t xml:space="preserve"> </w:t>
      </w:r>
      <w:r w:rsidR="004640F4" w:rsidRPr="00FB446F">
        <w:rPr>
          <w:rFonts w:ascii="Arial" w:hAnsi="Arial" w:cs="Arial"/>
          <w:szCs w:val="20"/>
        </w:rPr>
        <w:t>(Peng et al. 2016).</w:t>
      </w:r>
    </w:p>
    <w:p w14:paraId="5A39C21F" w14:textId="23E40C01" w:rsidR="005F35DD" w:rsidRPr="00FB446F" w:rsidRDefault="005F35DD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/>
          <w:b/>
          <w:bCs/>
          <w:iCs/>
          <w:sz w:val="22"/>
        </w:rPr>
      </w:pPr>
      <w:r w:rsidRPr="00FB446F">
        <w:rPr>
          <w:rFonts w:ascii="Arial" w:hAnsi="Arial" w:cs="Arial" w:hint="eastAsia"/>
          <w:b/>
          <w:bCs/>
          <w:iCs/>
          <w:sz w:val="22"/>
        </w:rPr>
        <w:lastRenderedPageBreak/>
        <w:t>2.</w:t>
      </w:r>
      <w:r w:rsidR="00BC62DE" w:rsidRPr="00FB446F">
        <w:rPr>
          <w:rFonts w:ascii="Arial" w:hAnsi="Arial" w:cs="Arial" w:hint="eastAsia"/>
          <w:b/>
          <w:bCs/>
          <w:iCs/>
          <w:sz w:val="22"/>
        </w:rPr>
        <w:t>3.</w:t>
      </w:r>
      <w:r w:rsidRPr="00FB446F">
        <w:rPr>
          <w:rFonts w:ascii="Arial" w:hAnsi="Arial" w:cs="Arial" w:hint="eastAsia"/>
          <w:b/>
          <w:bCs/>
          <w:iCs/>
          <w:sz w:val="22"/>
        </w:rPr>
        <w:t xml:space="preserve"> </w:t>
      </w:r>
      <w:r w:rsidRPr="00FB446F">
        <w:rPr>
          <w:rFonts w:ascii="Arial" w:hAnsi="Arial" w:cs="Arial"/>
          <w:b/>
          <w:bCs/>
          <w:iCs/>
          <w:sz w:val="22"/>
        </w:rPr>
        <w:t>Western blotting</w:t>
      </w:r>
    </w:p>
    <w:p w14:paraId="7412106F" w14:textId="77777777" w:rsidR="00FB446F" w:rsidRPr="00FB446F" w:rsidRDefault="00FB446F" w:rsidP="00FB446F">
      <w:pPr>
        <w:wordWrap/>
        <w:spacing w:line="240" w:lineRule="auto"/>
        <w:rPr>
          <w:rFonts w:ascii="Arial" w:hAnsi="Arial" w:cs="Arial"/>
          <w:szCs w:val="20"/>
        </w:rPr>
      </w:pPr>
      <w:r w:rsidRPr="00FB446F">
        <w:rPr>
          <w:rFonts w:ascii="Arial" w:hAnsi="Arial" w:cs="Arial" w:hint="eastAsia"/>
          <w:szCs w:val="20"/>
        </w:rPr>
        <w:t xml:space="preserve">Denatured lysates </w:t>
      </w:r>
      <w:r w:rsidRPr="00FB446F">
        <w:rPr>
          <w:rFonts w:ascii="Arial" w:hAnsi="Arial" w:cs="Arial"/>
          <w:szCs w:val="20"/>
        </w:rPr>
        <w:t xml:space="preserve">were separated by </w:t>
      </w:r>
      <w:r w:rsidRPr="00FB446F">
        <w:rPr>
          <w:rFonts w:ascii="Arial" w:hAnsi="Arial" w:cs="Arial" w:hint="eastAsia"/>
          <w:szCs w:val="20"/>
        </w:rPr>
        <w:t>sodium dodecyl sul</w:t>
      </w:r>
      <w:r w:rsidRPr="00FB446F">
        <w:rPr>
          <w:rFonts w:ascii="Arial" w:hAnsi="Arial" w:cs="Arial"/>
          <w:szCs w:val="20"/>
        </w:rPr>
        <w:t>f</w:t>
      </w:r>
      <w:r w:rsidRPr="00FB446F">
        <w:rPr>
          <w:rFonts w:ascii="Arial" w:hAnsi="Arial" w:cs="Arial" w:hint="eastAsia"/>
          <w:szCs w:val="20"/>
        </w:rPr>
        <w:t>ate</w:t>
      </w:r>
      <w:r w:rsidRPr="00FB446F">
        <w:rPr>
          <w:rFonts w:ascii="Arial" w:hAnsi="Arial" w:cs="Arial"/>
          <w:szCs w:val="20"/>
        </w:rPr>
        <w:t>-</w:t>
      </w:r>
      <w:r w:rsidRPr="00FB446F">
        <w:rPr>
          <w:rFonts w:ascii="Arial" w:hAnsi="Arial" w:cs="Arial" w:hint="eastAsia"/>
          <w:szCs w:val="20"/>
        </w:rPr>
        <w:t>polyacrylamide gel electrophoresis</w:t>
      </w:r>
      <w:r w:rsidRPr="00FB446F">
        <w:rPr>
          <w:rFonts w:ascii="Arial" w:hAnsi="Arial" w:cs="Arial"/>
          <w:szCs w:val="20"/>
        </w:rPr>
        <w:t xml:space="preserve"> and transferred to </w:t>
      </w:r>
      <w:r w:rsidRPr="00FB446F">
        <w:rPr>
          <w:rFonts w:ascii="Arial" w:hAnsi="Arial" w:cs="Arial" w:hint="eastAsia"/>
          <w:szCs w:val="20"/>
        </w:rPr>
        <w:t xml:space="preserve">polyvinylidene difluoride </w:t>
      </w:r>
      <w:r w:rsidRPr="00FB446F">
        <w:rPr>
          <w:rFonts w:ascii="Arial" w:hAnsi="Arial" w:cs="Arial"/>
          <w:szCs w:val="20"/>
        </w:rPr>
        <w:t xml:space="preserve">membranes (1704157, Bio-Rad, Hercules, CA, USA). The membranes were blocked in 5% skim milk </w:t>
      </w:r>
      <w:r w:rsidRPr="00FB446F">
        <w:rPr>
          <w:rFonts w:ascii="Arial" w:hAnsi="Arial" w:cs="Arial" w:hint="eastAsia"/>
          <w:szCs w:val="20"/>
        </w:rPr>
        <w:t>diluted in tris-buffered saline</w:t>
      </w:r>
      <w:r w:rsidRPr="00FB446F">
        <w:rPr>
          <w:rFonts w:ascii="Arial" w:hAnsi="Arial" w:cs="Arial"/>
          <w:szCs w:val="20"/>
        </w:rPr>
        <w:t xml:space="preserve"> and</w:t>
      </w:r>
      <w:r w:rsidRPr="00FB446F">
        <w:rPr>
          <w:rFonts w:ascii="Arial" w:hAnsi="Arial" w:cs="Arial" w:hint="eastAsia"/>
          <w:szCs w:val="20"/>
        </w:rPr>
        <w:t xml:space="preserve"> 0.1% Tween 20 </w:t>
      </w:r>
      <w:r w:rsidRPr="00FB446F">
        <w:rPr>
          <w:rFonts w:ascii="Arial" w:hAnsi="Arial" w:cs="Arial"/>
          <w:szCs w:val="20"/>
        </w:rPr>
        <w:t xml:space="preserve">and sequentially incubated with primary and appropriate secondary antibodies. Information on the antibodies used in this study is provided in Table S2. Images were detected using an </w:t>
      </w:r>
      <w:proofErr w:type="spellStart"/>
      <w:r w:rsidRPr="00FB446F">
        <w:rPr>
          <w:rFonts w:ascii="Arial" w:hAnsi="Arial" w:cs="Arial"/>
          <w:szCs w:val="20"/>
        </w:rPr>
        <w:t>iBright</w:t>
      </w:r>
      <w:proofErr w:type="spellEnd"/>
      <w:r w:rsidRPr="00FB446F">
        <w:rPr>
          <w:rFonts w:ascii="Arial" w:hAnsi="Arial" w:cs="Arial"/>
          <w:szCs w:val="20"/>
        </w:rPr>
        <w:sym w:font="Symbol" w:char="F0D4"/>
      </w:r>
      <w:r w:rsidRPr="00FB446F">
        <w:rPr>
          <w:rFonts w:ascii="Arial" w:hAnsi="Arial" w:cs="Arial"/>
          <w:szCs w:val="20"/>
        </w:rPr>
        <w:t xml:space="preserve"> CL1500 Image System (</w:t>
      </w:r>
      <w:proofErr w:type="spellStart"/>
      <w:r w:rsidRPr="00FB446F">
        <w:rPr>
          <w:rFonts w:ascii="Arial" w:hAnsi="Arial" w:cs="Arial"/>
          <w:szCs w:val="20"/>
        </w:rPr>
        <w:t>ThermoFisher</w:t>
      </w:r>
      <w:proofErr w:type="spellEnd"/>
      <w:r w:rsidRPr="00FB446F">
        <w:rPr>
          <w:rFonts w:ascii="Arial" w:hAnsi="Arial" w:cs="Arial"/>
          <w:szCs w:val="20"/>
        </w:rPr>
        <w:t xml:space="preserve"> Scientific) or </w:t>
      </w:r>
      <w:proofErr w:type="spellStart"/>
      <w:r w:rsidRPr="00FB446F">
        <w:rPr>
          <w:rFonts w:ascii="Arial" w:hAnsi="Arial" w:cs="Arial"/>
          <w:szCs w:val="20"/>
        </w:rPr>
        <w:t>ChemiDoc</w:t>
      </w:r>
      <w:proofErr w:type="spellEnd"/>
      <w:r w:rsidRPr="00FB446F">
        <w:rPr>
          <w:rFonts w:ascii="Arial" w:hAnsi="Arial" w:cs="Arial"/>
          <w:szCs w:val="20"/>
        </w:rPr>
        <w:t xml:space="preserve"> XRS+ System (Bio-Rad). Relative protein levels were quantified using </w:t>
      </w:r>
      <w:proofErr w:type="spellStart"/>
      <w:r w:rsidRPr="00FB446F">
        <w:rPr>
          <w:rFonts w:ascii="Arial" w:hAnsi="Arial" w:cs="Arial"/>
          <w:szCs w:val="20"/>
        </w:rPr>
        <w:t>iBright</w:t>
      </w:r>
      <w:proofErr w:type="spellEnd"/>
      <w:r w:rsidRPr="00FB446F">
        <w:rPr>
          <w:rFonts w:ascii="Arial" w:hAnsi="Arial" w:cs="Arial"/>
          <w:szCs w:val="20"/>
        </w:rPr>
        <w:t xml:space="preserve"> Analysis Software (</w:t>
      </w:r>
      <w:proofErr w:type="spellStart"/>
      <w:r w:rsidRPr="00FB446F">
        <w:rPr>
          <w:rFonts w:ascii="Arial" w:hAnsi="Arial" w:cs="Arial"/>
          <w:szCs w:val="20"/>
        </w:rPr>
        <w:t>ThermoFisher</w:t>
      </w:r>
      <w:proofErr w:type="spellEnd"/>
      <w:r w:rsidRPr="00FB446F">
        <w:rPr>
          <w:rFonts w:ascii="Arial" w:hAnsi="Arial" w:cs="Arial"/>
          <w:szCs w:val="20"/>
        </w:rPr>
        <w:t xml:space="preserve"> Scientific) or Image </w:t>
      </w:r>
      <w:proofErr w:type="spellStart"/>
      <w:r w:rsidRPr="00FB446F">
        <w:rPr>
          <w:rFonts w:ascii="Arial" w:hAnsi="Arial" w:cs="Arial"/>
          <w:szCs w:val="20"/>
        </w:rPr>
        <w:t>Lab</w:t>
      </w:r>
      <w:r w:rsidRPr="00FB446F">
        <w:rPr>
          <w:rFonts w:ascii="Arial" w:hAnsi="Arial" w:cs="Arial"/>
          <w:szCs w:val="20"/>
          <w:vertAlign w:val="superscript"/>
        </w:rPr>
        <w:t>TM</w:t>
      </w:r>
      <w:proofErr w:type="spellEnd"/>
      <w:r w:rsidRPr="00FB446F">
        <w:rPr>
          <w:rFonts w:ascii="Arial" w:hAnsi="Arial" w:cs="Arial"/>
          <w:szCs w:val="20"/>
        </w:rPr>
        <w:t xml:space="preserve"> software (Bio-Rad).</w:t>
      </w:r>
    </w:p>
    <w:p w14:paraId="25810A85" w14:textId="1058D08C" w:rsidR="00AF7FA9" w:rsidRPr="00FB446F" w:rsidRDefault="00AF7FA9" w:rsidP="00D41ECB">
      <w:pPr>
        <w:wordWrap/>
        <w:spacing w:line="240" w:lineRule="auto"/>
        <w:rPr>
          <w:rFonts w:ascii="Arial" w:hAnsi="Arial" w:cs="Arial"/>
          <w:b/>
          <w:bCs/>
          <w:sz w:val="22"/>
        </w:rPr>
      </w:pPr>
      <w:r w:rsidRPr="00FB446F">
        <w:rPr>
          <w:rFonts w:ascii="Arial" w:hAnsi="Arial" w:cs="Arial"/>
          <w:b/>
          <w:bCs/>
          <w:sz w:val="22"/>
        </w:rPr>
        <w:t>2.4. Immunoprecipitation</w:t>
      </w:r>
    </w:p>
    <w:p w14:paraId="58D2D637" w14:textId="3A454741" w:rsidR="00015EAC" w:rsidRPr="00FB446F" w:rsidRDefault="00FB446F" w:rsidP="00D41ECB">
      <w:pPr>
        <w:widowControl/>
        <w:tabs>
          <w:tab w:val="left" w:pos="567"/>
        </w:tabs>
        <w:wordWrap/>
        <w:autoSpaceDE/>
        <w:autoSpaceDN/>
        <w:spacing w:afterLines="80" w:after="192" w:line="240" w:lineRule="auto"/>
        <w:jc w:val="left"/>
        <w:rPr>
          <w:rFonts w:ascii="Arial" w:hAnsi="Arial" w:cs="Arial" w:hint="eastAsia"/>
          <w:szCs w:val="20"/>
        </w:rPr>
      </w:pPr>
      <w:r w:rsidRPr="00FB446F">
        <w:rPr>
          <w:rFonts w:ascii="Arial" w:hAnsi="Arial" w:cs="Arial"/>
          <w:szCs w:val="20"/>
        </w:rPr>
        <w:t xml:space="preserve">Immunoprecipitation of </w:t>
      </w:r>
      <w:proofErr w:type="spellStart"/>
      <w:r w:rsidRPr="00FB446F">
        <w:rPr>
          <w:rFonts w:ascii="Arial" w:hAnsi="Arial" w:cs="Arial"/>
          <w:szCs w:val="20"/>
        </w:rPr>
        <w:t>nitrotyrosine</w:t>
      </w:r>
      <w:proofErr w:type="spellEnd"/>
      <w:r w:rsidRPr="00FB446F">
        <w:rPr>
          <w:rFonts w:ascii="Arial" w:hAnsi="Arial" w:cs="Arial"/>
          <w:szCs w:val="20"/>
        </w:rPr>
        <w:t xml:space="preserve"> was conducted using an anti-3-NT antibody (sc-32757, Santa Cruz, Dallas, TX, USA) and Protein A/G Plus Agarose (sc-2003, Santa Cruz) according to the protocol provided by the manufacturer</w:t>
      </w:r>
      <w:r w:rsidRPr="00FB446F">
        <w:rPr>
          <w:rFonts w:ascii="Arial" w:hAnsi="Arial" w:cs="Arial" w:hint="eastAsia"/>
          <w:szCs w:val="20"/>
        </w:rPr>
        <w:t>.</w:t>
      </w:r>
    </w:p>
    <w:p w14:paraId="5894D798" w14:textId="5BADA17D" w:rsidR="00AF7FA9" w:rsidRPr="00FB446F" w:rsidRDefault="00AF7FA9" w:rsidP="00D41ECB">
      <w:pPr>
        <w:wordWrap/>
        <w:spacing w:line="240" w:lineRule="auto"/>
        <w:rPr>
          <w:rFonts w:ascii="Arial" w:hAnsi="Arial" w:cs="Arial"/>
          <w:b/>
          <w:bCs/>
          <w:sz w:val="22"/>
        </w:rPr>
      </w:pPr>
      <w:r w:rsidRPr="00FB446F">
        <w:rPr>
          <w:rFonts w:ascii="Arial" w:hAnsi="Arial" w:cs="Arial"/>
          <w:b/>
          <w:bCs/>
          <w:sz w:val="22"/>
        </w:rPr>
        <w:t>2.5. Immunochemistry</w:t>
      </w:r>
    </w:p>
    <w:p w14:paraId="14CD1700" w14:textId="2974E9D2" w:rsidR="00AF7FA9" w:rsidRPr="00FB446F" w:rsidRDefault="00FB446F" w:rsidP="00D41ECB">
      <w:pPr>
        <w:tabs>
          <w:tab w:val="left" w:pos="567"/>
        </w:tabs>
        <w:wordWrap/>
        <w:spacing w:after="100" w:afterAutospacing="1" w:line="240" w:lineRule="auto"/>
        <w:jc w:val="left"/>
        <w:rPr>
          <w:rFonts w:ascii="Arial" w:hAnsi="Arial" w:cs="Arial"/>
          <w:szCs w:val="20"/>
        </w:rPr>
      </w:pPr>
      <w:r w:rsidRPr="00FB446F">
        <w:rPr>
          <w:rFonts w:ascii="Arial" w:hAnsi="Arial" w:cs="Arial"/>
          <w:szCs w:val="20"/>
        </w:rPr>
        <w:t>Mice were deeply anesthetized with avertin and perfused with phosphate-buffered saline (PBS, pH 7.4) and 4% (</w:t>
      </w:r>
      <w:proofErr w:type="spellStart"/>
      <w:r w:rsidRPr="00FB446F">
        <w:rPr>
          <w:rFonts w:ascii="Arial" w:hAnsi="Arial" w:cs="Arial"/>
          <w:szCs w:val="20"/>
        </w:rPr>
        <w:t>wt</w:t>
      </w:r>
      <w:proofErr w:type="spellEnd"/>
      <w:r w:rsidRPr="00FB446F">
        <w:rPr>
          <w:rFonts w:ascii="Arial" w:hAnsi="Arial" w:cs="Arial"/>
          <w:szCs w:val="20"/>
        </w:rPr>
        <w:t>/vol) paraformaldehyde in PBS. The brains were collected, post-fixed, and sectioned at 40-μm thickness using a Leica VT1200 vibratome (Leica, Wetzlar, Germany)</w:t>
      </w:r>
      <w:r w:rsidRPr="00FB446F">
        <w:rPr>
          <w:rFonts w:ascii="Arial" w:hAnsi="Arial" w:cs="Arial" w:hint="eastAsia"/>
          <w:szCs w:val="20"/>
        </w:rPr>
        <w:t>.</w:t>
      </w:r>
      <w:r w:rsidRPr="00FB446F">
        <w:rPr>
          <w:rFonts w:ascii="Arial" w:hAnsi="Arial" w:cs="Arial"/>
          <w:szCs w:val="20"/>
        </w:rPr>
        <w:t xml:space="preserve"> Brain sections were incubated at 4 °C overnight with anti-neuronal nuclei (NeuN) (MAB377, Merck Millipore) and ionized calcium-binding adapter molecule 1 (IBA1) (019-19741, Wako, Osaka, Japan) antibodies. The slices were then incubated with Alexa Fluor 594- and/or 488-conjugated secondary antibodies (1:200, Invitrogen). Digital images were captured using a spinning disk confocal microscope (Olympus, Tokyo, Japan) and analyzed with ImageJ software (NIH).</w:t>
      </w:r>
    </w:p>
    <w:p w14:paraId="3CA8C974" w14:textId="77777777" w:rsidR="00AF7FA9" w:rsidRPr="00FB446F" w:rsidRDefault="00AF7FA9" w:rsidP="00D41ECB">
      <w:pPr>
        <w:wordWrap/>
        <w:spacing w:line="240" w:lineRule="auto"/>
        <w:rPr>
          <w:rFonts w:ascii="Arial" w:hAnsi="Arial" w:cs="Arial"/>
          <w:szCs w:val="20"/>
        </w:rPr>
      </w:pPr>
    </w:p>
    <w:p w14:paraId="0FA7D4F5" w14:textId="158BFA28" w:rsidR="00D41ECB" w:rsidRPr="00FB446F" w:rsidRDefault="00D41ECB" w:rsidP="00D41ECB">
      <w:pPr>
        <w:wordWrap/>
        <w:spacing w:line="240" w:lineRule="auto"/>
        <w:rPr>
          <w:rFonts w:ascii="Arial" w:hAnsi="Arial" w:cs="Arial"/>
          <w:b/>
          <w:bCs/>
          <w:szCs w:val="20"/>
        </w:rPr>
      </w:pPr>
      <w:r w:rsidRPr="00FB446F">
        <w:rPr>
          <w:rFonts w:ascii="Arial" w:hAnsi="Arial" w:cs="Arial" w:hint="eastAsia"/>
          <w:b/>
          <w:bCs/>
          <w:sz w:val="24"/>
          <w:szCs w:val="24"/>
        </w:rPr>
        <w:t>References</w:t>
      </w:r>
    </w:p>
    <w:p w14:paraId="062FA74F" w14:textId="77777777" w:rsidR="00FB446F" w:rsidRPr="00FB446F" w:rsidRDefault="00D41ECB" w:rsidP="00FB446F">
      <w:pPr>
        <w:pStyle w:val="EndNoteBibliography"/>
        <w:spacing w:after="0"/>
        <w:ind w:left="720" w:hanging="720"/>
      </w:pPr>
      <w:r w:rsidRPr="00FB446F">
        <w:rPr>
          <w:szCs w:val="20"/>
        </w:rPr>
        <w:fldChar w:fldCharType="begin"/>
      </w:r>
      <w:r w:rsidRPr="00FB446F">
        <w:rPr>
          <w:szCs w:val="20"/>
        </w:rPr>
        <w:instrText xml:space="preserve"> ADDIN EN.REFLIST </w:instrText>
      </w:r>
      <w:r w:rsidRPr="00FB446F">
        <w:rPr>
          <w:szCs w:val="20"/>
        </w:rPr>
        <w:fldChar w:fldCharType="separate"/>
      </w:r>
      <w:r w:rsidR="00FB446F" w:rsidRPr="00FB446F">
        <w:t>Cho, I., Koo, B.N., Kam, E.H., Lee, S.K., Oh, H., Kim, S.Y., 2020. Bile duct ligation of C57BL/6 mice as a model of hepatic encephalopathy. Anesth Pain Med (Seoul) 15 (1), 19-27.</w:t>
      </w:r>
    </w:p>
    <w:p w14:paraId="6C681232" w14:textId="77777777" w:rsidR="00FB446F" w:rsidRPr="00FB446F" w:rsidRDefault="00FB446F" w:rsidP="00FB446F">
      <w:pPr>
        <w:pStyle w:val="EndNoteBibliography"/>
        <w:spacing w:after="0"/>
        <w:ind w:left="720" w:hanging="720"/>
      </w:pPr>
      <w:r w:rsidRPr="00FB446F">
        <w:t>Claeys, W., Van Hoecke, L., Geerts, A., Van Vlierberghe, H., Lefere, S., Van Imschoot, G., Van Wonterghem, E., Ghesquiere, B., Vandenbroucke, R.E., Van Steenkiste, C., 2022. A mouse model of hepatic encephalopathy: bile duct ligation induces brain ammonia overload, glial cell activation and neuroinflammation. Sci Rep 12 (1), 17558.</w:t>
      </w:r>
    </w:p>
    <w:p w14:paraId="5AD3EBD4" w14:textId="77777777" w:rsidR="00FB446F" w:rsidRPr="00FB446F" w:rsidRDefault="00FB446F" w:rsidP="00FB446F">
      <w:pPr>
        <w:pStyle w:val="EndNoteBibliography"/>
        <w:spacing w:after="0"/>
        <w:ind w:left="720" w:hanging="720"/>
      </w:pPr>
      <w:r w:rsidRPr="00FB446F">
        <w:t>Morrison, R.S., Wenzel, H.J., Kinoshita, Y., Robbins, C.A., Donehower, L.A., Schwartzkroin, P.A., 1996. Loss of the p53 tumor suppressor gene protects neurons from kainate-induced cell death. J Neurosci 16 (4), 1337-1345.</w:t>
      </w:r>
    </w:p>
    <w:p w14:paraId="2514F7D5" w14:textId="77777777" w:rsidR="00FB446F" w:rsidRPr="00FB446F" w:rsidRDefault="00FB446F" w:rsidP="00FB446F">
      <w:pPr>
        <w:pStyle w:val="EndNoteBibliography"/>
        <w:spacing w:after="0"/>
        <w:ind w:left="720" w:hanging="720"/>
      </w:pPr>
      <w:r w:rsidRPr="00FB446F">
        <w:t>Peng, I.C., Bott, A.J., Zong, W.X., 2016. Spectrophotometric Determination of Glutamine Synthetase Activity in Cultured Cells. Bio Protoc 6 (19).</w:t>
      </w:r>
    </w:p>
    <w:p w14:paraId="4F81FAC9" w14:textId="77777777" w:rsidR="00FB446F" w:rsidRPr="00FB446F" w:rsidRDefault="00FB446F" w:rsidP="00FB446F">
      <w:pPr>
        <w:pStyle w:val="EndNoteBibliography"/>
        <w:ind w:left="720" w:hanging="720"/>
      </w:pPr>
      <w:r w:rsidRPr="00FB446F">
        <w:t>Son, H., Baek, J.H., Go, B.S., Jung, D.H., Sontakke, S.B., Chung, H.J., Lee, D.H., Roh, G.S., Kang, S.S., Cho, G.J., Choi, W.S., Lee, D.K., Kim, H.J., 2018. Glutamine has antidepressive effects through increments of glutamate and glutamine levels and glutamatergic activity in the medial prefrontal cortex. Neuropharmacology 143, 143-152.</w:t>
      </w:r>
    </w:p>
    <w:p w14:paraId="02E1EE31" w14:textId="7DF23256" w:rsidR="00D41ECB" w:rsidRPr="00FB446F" w:rsidRDefault="00D41ECB" w:rsidP="00D41ECB">
      <w:pPr>
        <w:wordWrap/>
        <w:spacing w:line="240" w:lineRule="auto"/>
        <w:rPr>
          <w:rFonts w:ascii="Arial" w:hAnsi="Arial" w:cs="Arial"/>
          <w:szCs w:val="20"/>
        </w:rPr>
      </w:pPr>
      <w:r w:rsidRPr="00FB446F">
        <w:rPr>
          <w:rFonts w:ascii="Arial" w:hAnsi="Arial" w:cs="Arial"/>
          <w:szCs w:val="20"/>
        </w:rPr>
        <w:fldChar w:fldCharType="end"/>
      </w:r>
    </w:p>
    <w:sectPr w:rsidR="00D41ECB" w:rsidRPr="00FB446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B0056D" w14:textId="77777777" w:rsidR="00D8732E" w:rsidRDefault="00D8732E" w:rsidP="00D41ECB">
      <w:pPr>
        <w:spacing w:after="0" w:line="240" w:lineRule="auto"/>
      </w:pPr>
      <w:r>
        <w:separator/>
      </w:r>
    </w:p>
  </w:endnote>
  <w:endnote w:type="continuationSeparator" w:id="0">
    <w:p w14:paraId="20514672" w14:textId="77777777" w:rsidR="00D8732E" w:rsidRDefault="00D8732E" w:rsidP="00D41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0E1344" w14:textId="77777777" w:rsidR="00D8732E" w:rsidRDefault="00D8732E" w:rsidP="00D41ECB">
      <w:pPr>
        <w:spacing w:after="0" w:line="240" w:lineRule="auto"/>
      </w:pPr>
      <w:r>
        <w:separator/>
      </w:r>
    </w:p>
  </w:footnote>
  <w:footnote w:type="continuationSeparator" w:id="0">
    <w:p w14:paraId="21F628E6" w14:textId="77777777" w:rsidR="00D8732E" w:rsidRDefault="00D8732E" w:rsidP="00D41E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sychiatry Research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p5zar2f6vw5dbe2zenprres25dsxszzaxdz&quot;&gt;Dysfuction of Glu-Gln cycle in Depression&lt;record-ids&gt;&lt;item&gt;15&lt;/item&gt;&lt;/record-ids&gt;&lt;/item&gt;&lt;/Libraries&gt;"/>
  </w:docVars>
  <w:rsids>
    <w:rsidRoot w:val="005F35DD"/>
    <w:rsid w:val="00015EAC"/>
    <w:rsid w:val="00052139"/>
    <w:rsid w:val="000F0DFA"/>
    <w:rsid w:val="000F2246"/>
    <w:rsid w:val="0020127F"/>
    <w:rsid w:val="00252B75"/>
    <w:rsid w:val="00296BE3"/>
    <w:rsid w:val="002A4290"/>
    <w:rsid w:val="003F0486"/>
    <w:rsid w:val="0040737E"/>
    <w:rsid w:val="004640F4"/>
    <w:rsid w:val="004C3C57"/>
    <w:rsid w:val="004D54AB"/>
    <w:rsid w:val="00555782"/>
    <w:rsid w:val="00595B40"/>
    <w:rsid w:val="005F35DD"/>
    <w:rsid w:val="00635ABD"/>
    <w:rsid w:val="006F67B7"/>
    <w:rsid w:val="00714691"/>
    <w:rsid w:val="007E060C"/>
    <w:rsid w:val="008F6454"/>
    <w:rsid w:val="00926C5C"/>
    <w:rsid w:val="0096436E"/>
    <w:rsid w:val="00974945"/>
    <w:rsid w:val="0099506F"/>
    <w:rsid w:val="00A16985"/>
    <w:rsid w:val="00A278F6"/>
    <w:rsid w:val="00A52B79"/>
    <w:rsid w:val="00A9538A"/>
    <w:rsid w:val="00AC5618"/>
    <w:rsid w:val="00AF7FA9"/>
    <w:rsid w:val="00B16CF6"/>
    <w:rsid w:val="00B522D9"/>
    <w:rsid w:val="00B7155B"/>
    <w:rsid w:val="00BC62DE"/>
    <w:rsid w:val="00C6289E"/>
    <w:rsid w:val="00CE0B13"/>
    <w:rsid w:val="00D26093"/>
    <w:rsid w:val="00D41ECB"/>
    <w:rsid w:val="00D8732E"/>
    <w:rsid w:val="00E056DD"/>
    <w:rsid w:val="00E52819"/>
    <w:rsid w:val="00E64E7E"/>
    <w:rsid w:val="00F0603E"/>
    <w:rsid w:val="00F30108"/>
    <w:rsid w:val="00F553F5"/>
    <w:rsid w:val="00FB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2BE1EB"/>
  <w15:chartTrackingRefBased/>
  <w15:docId w15:val="{C997F083-DDAA-4F0C-9AD4-BB2162D4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5DD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F35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F3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F35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F35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F35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F35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F35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F35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F35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F35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F35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F35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5F35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F35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F35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F35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F35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F35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F35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F3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F35D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F35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F3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F35D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F35D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F35D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F3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F35D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F35D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41EC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D41ECB"/>
  </w:style>
  <w:style w:type="paragraph" w:styleId="ab">
    <w:name w:val="footer"/>
    <w:basedOn w:val="a"/>
    <w:link w:val="Char4"/>
    <w:uiPriority w:val="99"/>
    <w:unhideWhenUsed/>
    <w:rsid w:val="00D41EC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D41ECB"/>
  </w:style>
  <w:style w:type="paragraph" w:customStyle="1" w:styleId="EndNoteBibliographyTitle">
    <w:name w:val="EndNote Bibliography Title"/>
    <w:basedOn w:val="a"/>
    <w:link w:val="EndNoteBibliographyTitleChar"/>
    <w:rsid w:val="00D41ECB"/>
    <w:pPr>
      <w:spacing w:after="0"/>
      <w:jc w:val="center"/>
    </w:pPr>
    <w:rPr>
      <w:rFonts w:ascii="Arial" w:eastAsia="맑은 고딕" w:hAnsi="Arial" w:cs="Arial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41ECB"/>
    <w:rPr>
      <w:rFonts w:ascii="Arial" w:eastAsia="맑은 고딕" w:hAnsi="Arial" w:cs="Arial"/>
      <w:noProof/>
    </w:rPr>
  </w:style>
  <w:style w:type="paragraph" w:customStyle="1" w:styleId="EndNoteBibliography">
    <w:name w:val="EndNote Bibliography"/>
    <w:basedOn w:val="a"/>
    <w:link w:val="EndNoteBibliographyChar"/>
    <w:rsid w:val="00D41ECB"/>
    <w:pPr>
      <w:spacing w:line="240" w:lineRule="auto"/>
    </w:pPr>
    <w:rPr>
      <w:rFonts w:ascii="Arial" w:eastAsia="맑은 고딕" w:hAnsi="Arial" w:cs="Arial"/>
      <w:noProof/>
    </w:rPr>
  </w:style>
  <w:style w:type="character" w:customStyle="1" w:styleId="EndNoteBibliographyChar">
    <w:name w:val="EndNote Bibliography Char"/>
    <w:basedOn w:val="a0"/>
    <w:link w:val="EndNoteBibliography"/>
    <w:rsid w:val="00D41ECB"/>
    <w:rPr>
      <w:rFonts w:ascii="Arial" w:eastAsia="맑은 고딕" w:hAnsi="Arial" w:cs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강재순</dc:creator>
  <cp:keywords/>
  <dc:description/>
  <cp:lastModifiedBy>강재순</cp:lastModifiedBy>
  <cp:revision>4</cp:revision>
  <cp:lastPrinted>2024-10-19T03:53:00Z</cp:lastPrinted>
  <dcterms:created xsi:type="dcterms:W3CDTF">2024-10-22T04:50:00Z</dcterms:created>
  <dcterms:modified xsi:type="dcterms:W3CDTF">2024-11-20T00:31:00Z</dcterms:modified>
</cp:coreProperties>
</file>