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DACED" w14:textId="77777777" w:rsidR="00147E1A" w:rsidRDefault="00147E1A"/>
    <w:tbl>
      <w:tblPr>
        <w:tblStyle w:val="6-1"/>
        <w:tblpPr w:leftFromText="180" w:rightFromText="180" w:horzAnchor="margin" w:tblpXSpec="center" w:tblpY="988"/>
        <w:tblW w:w="15205" w:type="dxa"/>
        <w:tblLayout w:type="fixed"/>
        <w:tblLook w:val="0420" w:firstRow="1" w:lastRow="0" w:firstColumn="0" w:lastColumn="0" w:noHBand="0" w:noVBand="1"/>
      </w:tblPr>
      <w:tblGrid>
        <w:gridCol w:w="1435"/>
        <w:gridCol w:w="806"/>
        <w:gridCol w:w="747"/>
        <w:gridCol w:w="747"/>
        <w:gridCol w:w="747"/>
        <w:gridCol w:w="747"/>
        <w:gridCol w:w="796"/>
        <w:gridCol w:w="810"/>
        <w:gridCol w:w="810"/>
        <w:gridCol w:w="810"/>
        <w:gridCol w:w="771"/>
        <w:gridCol w:w="747"/>
        <w:gridCol w:w="747"/>
        <w:gridCol w:w="747"/>
        <w:gridCol w:w="747"/>
        <w:gridCol w:w="747"/>
        <w:gridCol w:w="747"/>
        <w:gridCol w:w="718"/>
        <w:gridCol w:w="779"/>
      </w:tblGrid>
      <w:tr w:rsidR="0060366C" w:rsidRPr="00CA1323" w14:paraId="23AAA781" w14:textId="77777777" w:rsidTr="00CA1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tcW w:w="1435" w:type="dxa"/>
            <w:vMerge w:val="restart"/>
          </w:tcPr>
          <w:p w14:paraId="770FF55B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  <w:b w:val="0"/>
                <w:bCs w:val="0"/>
              </w:rPr>
            </w:pPr>
          </w:p>
          <w:p w14:paraId="3A44AE87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Cancer cell lines</w:t>
            </w:r>
          </w:p>
        </w:tc>
        <w:tc>
          <w:tcPr>
            <w:tcW w:w="13770" w:type="dxa"/>
            <w:gridSpan w:val="18"/>
          </w:tcPr>
          <w:p w14:paraId="77E83E4A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Changes of cell cycles after PCMdt-MMAE treatment (%)</w:t>
            </w:r>
          </w:p>
        </w:tc>
      </w:tr>
      <w:tr w:rsidR="0060366C" w:rsidRPr="00CA1323" w14:paraId="65678D1A" w14:textId="77777777" w:rsidTr="00CA1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tcW w:w="1435" w:type="dxa"/>
            <w:vMerge/>
            <w:hideMark/>
          </w:tcPr>
          <w:p w14:paraId="64E8B4D6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4590" w:type="dxa"/>
            <w:gridSpan w:val="6"/>
            <w:hideMark/>
          </w:tcPr>
          <w:p w14:paraId="4E6E5FB1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  <w:b/>
                <w:bCs/>
              </w:rPr>
              <w:t>G0/G1 phase</w:t>
            </w:r>
          </w:p>
        </w:tc>
        <w:tc>
          <w:tcPr>
            <w:tcW w:w="4695" w:type="dxa"/>
            <w:gridSpan w:val="6"/>
            <w:hideMark/>
          </w:tcPr>
          <w:p w14:paraId="7B59DCFE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  <w:b/>
                <w:bCs/>
              </w:rPr>
              <w:t>S phase</w:t>
            </w:r>
          </w:p>
        </w:tc>
        <w:tc>
          <w:tcPr>
            <w:tcW w:w="4485" w:type="dxa"/>
            <w:gridSpan w:val="6"/>
            <w:hideMark/>
          </w:tcPr>
          <w:p w14:paraId="417FF85B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  <w:b/>
                <w:bCs/>
              </w:rPr>
              <w:t>G2/M phase</w:t>
            </w:r>
          </w:p>
        </w:tc>
      </w:tr>
      <w:tr w:rsidR="0060366C" w:rsidRPr="00CA1323" w14:paraId="7EDAC3D8" w14:textId="77777777" w:rsidTr="00CA1323">
        <w:trPr>
          <w:trHeight w:val="415"/>
        </w:trPr>
        <w:tc>
          <w:tcPr>
            <w:tcW w:w="1435" w:type="dxa"/>
            <w:vMerge/>
            <w:hideMark/>
          </w:tcPr>
          <w:p w14:paraId="509D1AAD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06" w:type="dxa"/>
            <w:hideMark/>
          </w:tcPr>
          <w:p w14:paraId="36153ED5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0h</w:t>
            </w:r>
          </w:p>
        </w:tc>
        <w:tc>
          <w:tcPr>
            <w:tcW w:w="747" w:type="dxa"/>
            <w:hideMark/>
          </w:tcPr>
          <w:p w14:paraId="68183F01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6h</w:t>
            </w:r>
          </w:p>
        </w:tc>
        <w:tc>
          <w:tcPr>
            <w:tcW w:w="747" w:type="dxa"/>
            <w:hideMark/>
          </w:tcPr>
          <w:p w14:paraId="0535EA1A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12h</w:t>
            </w:r>
          </w:p>
        </w:tc>
        <w:tc>
          <w:tcPr>
            <w:tcW w:w="747" w:type="dxa"/>
            <w:hideMark/>
          </w:tcPr>
          <w:p w14:paraId="006287AB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24h</w:t>
            </w:r>
          </w:p>
        </w:tc>
        <w:tc>
          <w:tcPr>
            <w:tcW w:w="747" w:type="dxa"/>
            <w:hideMark/>
          </w:tcPr>
          <w:p w14:paraId="5EFB62A4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36h</w:t>
            </w:r>
          </w:p>
        </w:tc>
        <w:tc>
          <w:tcPr>
            <w:tcW w:w="796" w:type="dxa"/>
            <w:hideMark/>
          </w:tcPr>
          <w:p w14:paraId="6D041E45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48h</w:t>
            </w:r>
          </w:p>
        </w:tc>
        <w:tc>
          <w:tcPr>
            <w:tcW w:w="810" w:type="dxa"/>
            <w:hideMark/>
          </w:tcPr>
          <w:p w14:paraId="520A2C7C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0h</w:t>
            </w:r>
          </w:p>
        </w:tc>
        <w:tc>
          <w:tcPr>
            <w:tcW w:w="810" w:type="dxa"/>
            <w:hideMark/>
          </w:tcPr>
          <w:p w14:paraId="6B596EC8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6h</w:t>
            </w:r>
          </w:p>
        </w:tc>
        <w:tc>
          <w:tcPr>
            <w:tcW w:w="810" w:type="dxa"/>
            <w:hideMark/>
          </w:tcPr>
          <w:p w14:paraId="60FBD169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12h</w:t>
            </w:r>
          </w:p>
        </w:tc>
        <w:tc>
          <w:tcPr>
            <w:tcW w:w="771" w:type="dxa"/>
            <w:hideMark/>
          </w:tcPr>
          <w:p w14:paraId="379D9292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24h</w:t>
            </w:r>
          </w:p>
        </w:tc>
        <w:tc>
          <w:tcPr>
            <w:tcW w:w="747" w:type="dxa"/>
            <w:hideMark/>
          </w:tcPr>
          <w:p w14:paraId="330CB452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36h</w:t>
            </w:r>
          </w:p>
        </w:tc>
        <w:tc>
          <w:tcPr>
            <w:tcW w:w="747" w:type="dxa"/>
            <w:hideMark/>
          </w:tcPr>
          <w:p w14:paraId="096E79FF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48h</w:t>
            </w:r>
          </w:p>
        </w:tc>
        <w:tc>
          <w:tcPr>
            <w:tcW w:w="747" w:type="dxa"/>
            <w:hideMark/>
          </w:tcPr>
          <w:p w14:paraId="6E4AD4B2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0h</w:t>
            </w:r>
          </w:p>
        </w:tc>
        <w:tc>
          <w:tcPr>
            <w:tcW w:w="747" w:type="dxa"/>
            <w:hideMark/>
          </w:tcPr>
          <w:p w14:paraId="47CE9F2F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6h</w:t>
            </w:r>
          </w:p>
        </w:tc>
        <w:tc>
          <w:tcPr>
            <w:tcW w:w="747" w:type="dxa"/>
            <w:hideMark/>
          </w:tcPr>
          <w:p w14:paraId="5CBDA4EA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12h</w:t>
            </w:r>
          </w:p>
        </w:tc>
        <w:tc>
          <w:tcPr>
            <w:tcW w:w="747" w:type="dxa"/>
            <w:hideMark/>
          </w:tcPr>
          <w:p w14:paraId="726C92DA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24h</w:t>
            </w:r>
          </w:p>
        </w:tc>
        <w:tc>
          <w:tcPr>
            <w:tcW w:w="718" w:type="dxa"/>
            <w:hideMark/>
          </w:tcPr>
          <w:p w14:paraId="4A4A99F9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36h</w:t>
            </w:r>
          </w:p>
        </w:tc>
        <w:tc>
          <w:tcPr>
            <w:tcW w:w="779" w:type="dxa"/>
            <w:hideMark/>
          </w:tcPr>
          <w:p w14:paraId="2B01CB23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</w:rPr>
              <w:t>48h</w:t>
            </w:r>
          </w:p>
        </w:tc>
      </w:tr>
      <w:tr w:rsidR="0060366C" w:rsidRPr="00CA1323" w14:paraId="2CD8A361" w14:textId="77777777" w:rsidTr="00CA1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tcW w:w="1435" w:type="dxa"/>
            <w:hideMark/>
          </w:tcPr>
          <w:p w14:paraId="29983646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  <w:b/>
                <w:bCs/>
              </w:rPr>
              <w:t>HCC1806</w:t>
            </w:r>
          </w:p>
        </w:tc>
        <w:tc>
          <w:tcPr>
            <w:tcW w:w="806" w:type="dxa"/>
            <w:hideMark/>
          </w:tcPr>
          <w:p w14:paraId="4F66D832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63.00</w:t>
            </w:r>
          </w:p>
        </w:tc>
        <w:tc>
          <w:tcPr>
            <w:tcW w:w="747" w:type="dxa"/>
            <w:hideMark/>
          </w:tcPr>
          <w:p w14:paraId="3780DBEB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61.00</w:t>
            </w:r>
          </w:p>
        </w:tc>
        <w:tc>
          <w:tcPr>
            <w:tcW w:w="747" w:type="dxa"/>
            <w:hideMark/>
          </w:tcPr>
          <w:p w14:paraId="65819378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60.90</w:t>
            </w:r>
          </w:p>
        </w:tc>
        <w:tc>
          <w:tcPr>
            <w:tcW w:w="747" w:type="dxa"/>
            <w:hideMark/>
          </w:tcPr>
          <w:p w14:paraId="37035F46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64.40</w:t>
            </w:r>
          </w:p>
        </w:tc>
        <w:tc>
          <w:tcPr>
            <w:tcW w:w="747" w:type="dxa"/>
            <w:hideMark/>
          </w:tcPr>
          <w:p w14:paraId="176AE3DD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63.00</w:t>
            </w:r>
          </w:p>
        </w:tc>
        <w:tc>
          <w:tcPr>
            <w:tcW w:w="796" w:type="dxa"/>
            <w:hideMark/>
          </w:tcPr>
          <w:p w14:paraId="7AB44A2E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61.20</w:t>
            </w:r>
          </w:p>
        </w:tc>
        <w:tc>
          <w:tcPr>
            <w:tcW w:w="810" w:type="dxa"/>
            <w:hideMark/>
          </w:tcPr>
          <w:p w14:paraId="718ED00D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16.70</w:t>
            </w:r>
          </w:p>
        </w:tc>
        <w:tc>
          <w:tcPr>
            <w:tcW w:w="810" w:type="dxa"/>
            <w:hideMark/>
          </w:tcPr>
          <w:p w14:paraId="0ED080FB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17.00</w:t>
            </w:r>
          </w:p>
        </w:tc>
        <w:tc>
          <w:tcPr>
            <w:tcW w:w="810" w:type="dxa"/>
            <w:hideMark/>
          </w:tcPr>
          <w:p w14:paraId="6FF0D334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14.50</w:t>
            </w:r>
          </w:p>
        </w:tc>
        <w:tc>
          <w:tcPr>
            <w:tcW w:w="771" w:type="dxa"/>
            <w:hideMark/>
          </w:tcPr>
          <w:p w14:paraId="04E370AC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12.90</w:t>
            </w:r>
          </w:p>
        </w:tc>
        <w:tc>
          <w:tcPr>
            <w:tcW w:w="747" w:type="dxa"/>
            <w:hideMark/>
          </w:tcPr>
          <w:p w14:paraId="246636DA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16.00</w:t>
            </w:r>
          </w:p>
        </w:tc>
        <w:tc>
          <w:tcPr>
            <w:tcW w:w="747" w:type="dxa"/>
            <w:hideMark/>
          </w:tcPr>
          <w:p w14:paraId="0052FDCD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17.40</w:t>
            </w:r>
          </w:p>
        </w:tc>
        <w:tc>
          <w:tcPr>
            <w:tcW w:w="747" w:type="dxa"/>
            <w:hideMark/>
          </w:tcPr>
          <w:p w14:paraId="0ADF4238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20.30</w:t>
            </w:r>
          </w:p>
        </w:tc>
        <w:tc>
          <w:tcPr>
            <w:tcW w:w="747" w:type="dxa"/>
            <w:hideMark/>
          </w:tcPr>
          <w:p w14:paraId="31FC2049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22.00</w:t>
            </w:r>
          </w:p>
        </w:tc>
        <w:tc>
          <w:tcPr>
            <w:tcW w:w="747" w:type="dxa"/>
            <w:hideMark/>
          </w:tcPr>
          <w:p w14:paraId="306F4C61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24.60</w:t>
            </w:r>
          </w:p>
        </w:tc>
        <w:tc>
          <w:tcPr>
            <w:tcW w:w="747" w:type="dxa"/>
            <w:hideMark/>
          </w:tcPr>
          <w:p w14:paraId="38D1F4DA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22.70</w:t>
            </w:r>
          </w:p>
        </w:tc>
        <w:tc>
          <w:tcPr>
            <w:tcW w:w="718" w:type="dxa"/>
            <w:hideMark/>
          </w:tcPr>
          <w:p w14:paraId="69AB1597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21.00</w:t>
            </w:r>
          </w:p>
        </w:tc>
        <w:tc>
          <w:tcPr>
            <w:tcW w:w="779" w:type="dxa"/>
            <w:hideMark/>
          </w:tcPr>
          <w:p w14:paraId="63682176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21.40</w:t>
            </w:r>
          </w:p>
        </w:tc>
      </w:tr>
      <w:tr w:rsidR="0060366C" w:rsidRPr="00CA1323" w14:paraId="5645E950" w14:textId="77777777" w:rsidTr="00CA1323">
        <w:trPr>
          <w:trHeight w:val="406"/>
        </w:trPr>
        <w:tc>
          <w:tcPr>
            <w:tcW w:w="1435" w:type="dxa"/>
            <w:hideMark/>
          </w:tcPr>
          <w:p w14:paraId="0E008F37" w14:textId="77777777" w:rsidR="0060366C" w:rsidRPr="00CA1323" w:rsidRDefault="0060366C" w:rsidP="00CA1323">
            <w:pPr>
              <w:spacing w:beforeLines="60" w:before="144" w:afterLines="60" w:after="144" w:line="276" w:lineRule="auto"/>
              <w:jc w:val="center"/>
              <w:rPr>
                <w:rFonts w:cstheme="minorHAnsi"/>
              </w:rPr>
            </w:pPr>
            <w:r w:rsidRPr="00CA1323">
              <w:rPr>
                <w:rFonts w:cstheme="minorHAnsi"/>
                <w:b/>
                <w:bCs/>
              </w:rPr>
              <w:t>BXPC3</w:t>
            </w:r>
          </w:p>
        </w:tc>
        <w:tc>
          <w:tcPr>
            <w:tcW w:w="806" w:type="dxa"/>
            <w:hideMark/>
          </w:tcPr>
          <w:p w14:paraId="4682F5B1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77.00</w:t>
            </w:r>
          </w:p>
        </w:tc>
        <w:tc>
          <w:tcPr>
            <w:tcW w:w="747" w:type="dxa"/>
            <w:hideMark/>
          </w:tcPr>
          <w:p w14:paraId="2918506F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75.20</w:t>
            </w:r>
          </w:p>
        </w:tc>
        <w:tc>
          <w:tcPr>
            <w:tcW w:w="747" w:type="dxa"/>
            <w:hideMark/>
          </w:tcPr>
          <w:p w14:paraId="24D27097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74.70</w:t>
            </w:r>
          </w:p>
        </w:tc>
        <w:tc>
          <w:tcPr>
            <w:tcW w:w="747" w:type="dxa"/>
            <w:hideMark/>
          </w:tcPr>
          <w:p w14:paraId="38362886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46.50</w:t>
            </w:r>
          </w:p>
        </w:tc>
        <w:tc>
          <w:tcPr>
            <w:tcW w:w="747" w:type="dxa"/>
            <w:hideMark/>
          </w:tcPr>
          <w:p w14:paraId="10BD6417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39.10</w:t>
            </w:r>
          </w:p>
        </w:tc>
        <w:tc>
          <w:tcPr>
            <w:tcW w:w="796" w:type="dxa"/>
            <w:hideMark/>
          </w:tcPr>
          <w:p w14:paraId="4CB57DCD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31.20</w:t>
            </w:r>
          </w:p>
        </w:tc>
        <w:tc>
          <w:tcPr>
            <w:tcW w:w="810" w:type="dxa"/>
            <w:hideMark/>
          </w:tcPr>
          <w:p w14:paraId="69A80B32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8.80</w:t>
            </w:r>
          </w:p>
        </w:tc>
        <w:tc>
          <w:tcPr>
            <w:tcW w:w="810" w:type="dxa"/>
            <w:hideMark/>
          </w:tcPr>
          <w:p w14:paraId="6EC26251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8.30</w:t>
            </w:r>
          </w:p>
        </w:tc>
        <w:tc>
          <w:tcPr>
            <w:tcW w:w="810" w:type="dxa"/>
            <w:hideMark/>
          </w:tcPr>
          <w:p w14:paraId="32429F82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5.40</w:t>
            </w:r>
          </w:p>
        </w:tc>
        <w:tc>
          <w:tcPr>
            <w:tcW w:w="771" w:type="dxa"/>
            <w:hideMark/>
          </w:tcPr>
          <w:p w14:paraId="40EE0F39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4.60</w:t>
            </w:r>
          </w:p>
        </w:tc>
        <w:tc>
          <w:tcPr>
            <w:tcW w:w="747" w:type="dxa"/>
            <w:hideMark/>
          </w:tcPr>
          <w:p w14:paraId="07CAE51D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4.10</w:t>
            </w:r>
          </w:p>
        </w:tc>
        <w:tc>
          <w:tcPr>
            <w:tcW w:w="747" w:type="dxa"/>
            <w:hideMark/>
          </w:tcPr>
          <w:p w14:paraId="0DC43020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3.70</w:t>
            </w:r>
          </w:p>
        </w:tc>
        <w:tc>
          <w:tcPr>
            <w:tcW w:w="747" w:type="dxa"/>
            <w:hideMark/>
          </w:tcPr>
          <w:p w14:paraId="3A770402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14.20</w:t>
            </w:r>
          </w:p>
        </w:tc>
        <w:tc>
          <w:tcPr>
            <w:tcW w:w="747" w:type="dxa"/>
            <w:hideMark/>
          </w:tcPr>
          <w:p w14:paraId="02E1860A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16.50</w:t>
            </w:r>
          </w:p>
        </w:tc>
        <w:tc>
          <w:tcPr>
            <w:tcW w:w="747" w:type="dxa"/>
            <w:hideMark/>
          </w:tcPr>
          <w:p w14:paraId="20DFE1C9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18.70</w:t>
            </w:r>
          </w:p>
        </w:tc>
        <w:tc>
          <w:tcPr>
            <w:tcW w:w="747" w:type="dxa"/>
            <w:hideMark/>
          </w:tcPr>
          <w:p w14:paraId="47E59FAF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48.90</w:t>
            </w:r>
          </w:p>
        </w:tc>
        <w:tc>
          <w:tcPr>
            <w:tcW w:w="718" w:type="dxa"/>
            <w:hideMark/>
          </w:tcPr>
          <w:p w14:paraId="4F2BC7E0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56.80</w:t>
            </w:r>
          </w:p>
        </w:tc>
        <w:tc>
          <w:tcPr>
            <w:tcW w:w="779" w:type="dxa"/>
            <w:hideMark/>
          </w:tcPr>
          <w:p w14:paraId="5D9FCB44" w14:textId="77777777" w:rsidR="0060366C" w:rsidRPr="00CA1323" w:rsidRDefault="0060366C" w:rsidP="00CA1323">
            <w:pPr>
              <w:spacing w:beforeLines="60" w:before="144" w:afterLines="60" w:after="144" w:line="276" w:lineRule="auto"/>
              <w:rPr>
                <w:rFonts w:cstheme="minorHAnsi"/>
              </w:rPr>
            </w:pPr>
            <w:r w:rsidRPr="00CA1323">
              <w:rPr>
                <w:rFonts w:cstheme="minorHAnsi"/>
              </w:rPr>
              <w:t>65.10</w:t>
            </w:r>
          </w:p>
        </w:tc>
      </w:tr>
    </w:tbl>
    <w:p w14:paraId="53147455" w14:textId="3D8CCC15" w:rsidR="0060366C" w:rsidRDefault="0060366C" w:rsidP="005F2251">
      <w:pPr>
        <w:jc w:val="center"/>
        <w:rPr>
          <w:rFonts w:ascii="Arial" w:hAnsi="Arial" w:cs="Arial"/>
          <w:b/>
        </w:rPr>
      </w:pPr>
      <w:r w:rsidRPr="00CA1323">
        <w:rPr>
          <w:rFonts w:ascii="Arial" w:hAnsi="Arial" w:cs="Arial"/>
          <w:b/>
        </w:rPr>
        <w:t xml:space="preserve">Supplementary Table </w:t>
      </w:r>
      <w:r w:rsidR="00665158">
        <w:rPr>
          <w:rFonts w:ascii="Arial" w:hAnsi="Arial" w:cs="Arial"/>
          <w:b/>
        </w:rPr>
        <w:t>4</w:t>
      </w:r>
      <w:r w:rsidRPr="00CA1323">
        <w:rPr>
          <w:rFonts w:ascii="Arial" w:hAnsi="Arial" w:cs="Arial"/>
          <w:b/>
        </w:rPr>
        <w:t xml:space="preserve"> </w:t>
      </w:r>
      <w:r w:rsidR="005F2251" w:rsidRPr="00CA1323">
        <w:rPr>
          <w:rFonts w:ascii="Arial" w:hAnsi="Arial" w:cs="Arial"/>
          <w:b/>
        </w:rPr>
        <w:t>Induction of cell cycle changes by PCMdt-MMAE in cancer cells expressing MET and RON</w:t>
      </w:r>
      <w:r w:rsidR="00CA1323">
        <w:rPr>
          <w:rFonts w:ascii="Arial" w:hAnsi="Arial" w:cs="Arial"/>
          <w:b/>
        </w:rPr>
        <w:t>*</w:t>
      </w:r>
    </w:p>
    <w:p w14:paraId="52BFCBA7" w14:textId="77777777" w:rsidR="00CA1323" w:rsidRDefault="00CA1323" w:rsidP="005F2251">
      <w:pPr>
        <w:jc w:val="center"/>
        <w:rPr>
          <w:rFonts w:ascii="Arial" w:hAnsi="Arial" w:cs="Arial"/>
          <w:b/>
        </w:rPr>
      </w:pPr>
    </w:p>
    <w:p w14:paraId="22F4994A" w14:textId="245A7471" w:rsidR="00CA1323" w:rsidRPr="009F15E3" w:rsidRDefault="00CA1323" w:rsidP="009F15E3">
      <w:pPr>
        <w:spacing w:line="360" w:lineRule="auto"/>
        <w:jc w:val="both"/>
        <w:rPr>
          <w:rFonts w:ascii="Arial" w:hAnsi="Arial" w:cs="Arial"/>
        </w:rPr>
      </w:pPr>
      <w:r w:rsidRPr="009F15E3">
        <w:rPr>
          <w:rFonts w:ascii="Arial" w:hAnsi="Arial" w:cs="Arial"/>
        </w:rPr>
        <w:t>*Cell cycle analysis was performed as previously described</w:t>
      </w:r>
      <w:r w:rsidR="006F2BDB">
        <w:rPr>
          <w:rFonts w:ascii="Arial" w:hAnsi="Arial" w:cs="Arial"/>
        </w:rPr>
        <w:t xml:space="preserve"> </w:t>
      </w:r>
      <w:r w:rsidR="006F2BDB" w:rsidRPr="00834604">
        <w:rPr>
          <w:rFonts w:ascii="Arial" w:hAnsi="Arial" w:cs="Arial"/>
        </w:rPr>
        <w:t>[32]</w:t>
      </w:r>
      <w:r w:rsidR="006F2BDB">
        <w:rPr>
          <w:rFonts w:ascii="Arial" w:hAnsi="Arial" w:cs="Arial"/>
        </w:rPr>
        <w:t>.</w:t>
      </w:r>
      <w:r w:rsidRPr="009F15E3">
        <w:rPr>
          <w:rFonts w:ascii="Arial" w:hAnsi="Arial" w:cs="Arial"/>
        </w:rPr>
        <w:t xml:space="preserve"> </w:t>
      </w:r>
      <w:r w:rsidR="009F15E3" w:rsidRPr="009F15E3">
        <w:rPr>
          <w:rFonts w:ascii="Arial" w:hAnsi="Arial" w:cs="Arial"/>
        </w:rPr>
        <w:t xml:space="preserve">The percentages of </w:t>
      </w:r>
      <w:r w:rsidR="009F15E3">
        <w:rPr>
          <w:rFonts w:ascii="Arial" w:hAnsi="Arial" w:cs="Arial"/>
        </w:rPr>
        <w:t>cell cycles in difference phases were calculated from the gated windows as previously described</w:t>
      </w:r>
      <w:bookmarkStart w:id="0" w:name="_GoBack"/>
      <w:r w:rsidR="006F2BDB" w:rsidRPr="00834604">
        <w:rPr>
          <w:rFonts w:ascii="Arial" w:hAnsi="Arial" w:cs="Arial"/>
        </w:rPr>
        <w:t xml:space="preserve"> [34]</w:t>
      </w:r>
      <w:bookmarkEnd w:id="0"/>
      <w:r w:rsidR="00142FAA">
        <w:rPr>
          <w:rFonts w:ascii="Arial" w:hAnsi="Arial" w:cs="Arial"/>
        </w:rPr>
        <w:t>.</w:t>
      </w:r>
    </w:p>
    <w:sectPr w:rsidR="00CA1323" w:rsidRPr="009F15E3" w:rsidSect="006036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235C0" w14:textId="77777777" w:rsidR="00C01A6A" w:rsidRDefault="00C01A6A" w:rsidP="00FB72EF">
      <w:pPr>
        <w:spacing w:after="0" w:line="240" w:lineRule="auto"/>
      </w:pPr>
      <w:r>
        <w:separator/>
      </w:r>
    </w:p>
  </w:endnote>
  <w:endnote w:type="continuationSeparator" w:id="0">
    <w:p w14:paraId="16D80989" w14:textId="77777777" w:rsidR="00C01A6A" w:rsidRDefault="00C01A6A" w:rsidP="00FB7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6FA628" w14:textId="77777777" w:rsidR="00C01A6A" w:rsidRDefault="00C01A6A" w:rsidP="00FB72EF">
      <w:pPr>
        <w:spacing w:after="0" w:line="240" w:lineRule="auto"/>
      </w:pPr>
      <w:r>
        <w:separator/>
      </w:r>
    </w:p>
  </w:footnote>
  <w:footnote w:type="continuationSeparator" w:id="0">
    <w:p w14:paraId="4F2023DF" w14:textId="77777777" w:rsidR="00C01A6A" w:rsidRDefault="00C01A6A" w:rsidP="00FB7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33C42"/>
    <w:multiLevelType w:val="hybridMultilevel"/>
    <w:tmpl w:val="01264728"/>
    <w:lvl w:ilvl="0" w:tplc="89144DC6">
      <w:start w:val="6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66C"/>
    <w:rsid w:val="00142FAA"/>
    <w:rsid w:val="00147E1A"/>
    <w:rsid w:val="00402D6A"/>
    <w:rsid w:val="00454487"/>
    <w:rsid w:val="005763BF"/>
    <w:rsid w:val="005F2251"/>
    <w:rsid w:val="0060366C"/>
    <w:rsid w:val="00665158"/>
    <w:rsid w:val="00685359"/>
    <w:rsid w:val="006F2BDB"/>
    <w:rsid w:val="00725684"/>
    <w:rsid w:val="00834604"/>
    <w:rsid w:val="008B52C3"/>
    <w:rsid w:val="009C3D0F"/>
    <w:rsid w:val="009F15E3"/>
    <w:rsid w:val="00A248B8"/>
    <w:rsid w:val="00C01A6A"/>
    <w:rsid w:val="00CA1323"/>
    <w:rsid w:val="00D04355"/>
    <w:rsid w:val="00E01ED0"/>
    <w:rsid w:val="00FA46D2"/>
    <w:rsid w:val="00FB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26F05"/>
  <w15:chartTrackingRefBased/>
  <w15:docId w15:val="{74F74E1C-0916-4EEC-AB7D-69845193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3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603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-1">
    <w:name w:val="List Table 6 Colorful Accent 1"/>
    <w:basedOn w:val="a1"/>
    <w:uiPriority w:val="51"/>
    <w:rsid w:val="00CA132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5">
    <w:name w:val="List Paragraph"/>
    <w:basedOn w:val="a"/>
    <w:uiPriority w:val="34"/>
    <w:qFormat/>
    <w:rsid w:val="00CA132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B7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眉 字符"/>
    <w:basedOn w:val="a0"/>
    <w:link w:val="a6"/>
    <w:uiPriority w:val="99"/>
    <w:rsid w:val="00FB72EF"/>
  </w:style>
  <w:style w:type="paragraph" w:styleId="a8">
    <w:name w:val="footer"/>
    <w:basedOn w:val="a"/>
    <w:link w:val="a9"/>
    <w:uiPriority w:val="99"/>
    <w:unhideWhenUsed/>
    <w:rsid w:val="00FB7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页脚 字符"/>
    <w:basedOn w:val="a0"/>
    <w:link w:val="a8"/>
    <w:uiPriority w:val="99"/>
    <w:rsid w:val="00FB7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Minghai</dc:creator>
  <cp:keywords/>
  <dc:description/>
  <cp:lastModifiedBy>pjy</cp:lastModifiedBy>
  <cp:revision>6</cp:revision>
  <dcterms:created xsi:type="dcterms:W3CDTF">2022-10-02T17:30:00Z</dcterms:created>
  <dcterms:modified xsi:type="dcterms:W3CDTF">2024-11-08T05:20:00Z</dcterms:modified>
</cp:coreProperties>
</file>