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AE8B7" w14:textId="77777777" w:rsidR="003D01A6" w:rsidRDefault="003D01A6" w:rsidP="003D01A6">
      <w:pPr>
        <w:spacing w:line="480" w:lineRule="auto"/>
        <w:rPr>
          <w:rFonts w:ascii="Arial" w:hAnsi="Arial" w:cs="Arial"/>
          <w:b/>
          <w:bCs/>
        </w:rPr>
      </w:pPr>
    </w:p>
    <w:p w14:paraId="01C50606" w14:textId="24FE207A" w:rsidR="00334F73" w:rsidRPr="003D01A6" w:rsidRDefault="00F41F68" w:rsidP="00F41F68">
      <w:pPr>
        <w:spacing w:line="360" w:lineRule="auto"/>
        <w:ind w:right="-360" w:hanging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="00334F73" w:rsidRPr="003D01A6">
        <w:rPr>
          <w:rFonts w:ascii="Arial" w:hAnsi="Arial" w:cs="Arial"/>
          <w:b/>
          <w:bCs/>
        </w:rPr>
        <w:t xml:space="preserve">Table </w:t>
      </w:r>
      <w:r w:rsidR="00F815B2">
        <w:rPr>
          <w:rFonts w:ascii="Arial" w:hAnsi="Arial" w:cs="Arial"/>
          <w:b/>
          <w:bCs/>
        </w:rPr>
        <w:t>5</w:t>
      </w:r>
      <w:r w:rsidR="00334F73" w:rsidRPr="003D01A6">
        <w:rPr>
          <w:rFonts w:ascii="Arial" w:hAnsi="Arial" w:cs="Arial"/>
          <w:b/>
          <w:bCs/>
        </w:rPr>
        <w:t xml:space="preserve"> </w:t>
      </w:r>
      <w:r w:rsidR="003D01A6">
        <w:rPr>
          <w:rFonts w:ascii="Arial" w:hAnsi="Arial" w:cs="Arial"/>
          <w:b/>
          <w:bCs/>
        </w:rPr>
        <w:t xml:space="preserve">Effect of </w:t>
      </w:r>
      <w:r w:rsidR="00334F73" w:rsidRPr="003D01A6">
        <w:rPr>
          <w:rFonts w:ascii="Arial" w:hAnsi="Arial" w:cs="Arial"/>
          <w:b/>
          <w:bCs/>
        </w:rPr>
        <w:t xml:space="preserve">PCMdt-MMAE </w:t>
      </w:r>
      <w:r w:rsidR="003D01A6">
        <w:rPr>
          <w:rFonts w:ascii="Arial" w:hAnsi="Arial" w:cs="Arial"/>
          <w:b/>
          <w:bCs/>
        </w:rPr>
        <w:t xml:space="preserve">on reduction of cell viability </w:t>
      </w:r>
      <w:r w:rsidR="00334F73" w:rsidRPr="003D01A6">
        <w:rPr>
          <w:rFonts w:ascii="Arial" w:hAnsi="Arial" w:cs="Arial"/>
          <w:b/>
          <w:bCs/>
        </w:rPr>
        <w:t>in comparisons with anti-MET ADC PCMMET01-MMAE and anti-RON ADC</w:t>
      </w:r>
      <w:r>
        <w:rPr>
          <w:rFonts w:ascii="Arial" w:hAnsi="Arial" w:cs="Arial"/>
          <w:b/>
          <w:bCs/>
        </w:rPr>
        <w:t xml:space="preserve"> </w:t>
      </w:r>
      <w:r w:rsidR="00334F73" w:rsidRPr="003D01A6">
        <w:rPr>
          <w:rFonts w:ascii="Arial" w:hAnsi="Arial" w:cs="Arial"/>
          <w:b/>
          <w:bCs/>
        </w:rPr>
        <w:t xml:space="preserve">PCM5B14-MMAE </w:t>
      </w:r>
      <w:r>
        <w:rPr>
          <w:rFonts w:ascii="Arial" w:hAnsi="Arial" w:cs="Arial"/>
          <w:b/>
          <w:bCs/>
        </w:rPr>
        <w:t xml:space="preserve">                                     </w:t>
      </w:r>
      <w:r w:rsidR="00334F73" w:rsidRPr="003D01A6">
        <w:rPr>
          <w:rFonts w:ascii="Arial" w:hAnsi="Arial" w:cs="Arial"/>
          <w:b/>
          <w:bCs/>
        </w:rPr>
        <w:t>in a panel of cancer cell lines*</w:t>
      </w:r>
    </w:p>
    <w:tbl>
      <w:tblPr>
        <w:tblStyle w:val="2-1"/>
        <w:tblpPr w:leftFromText="180" w:rightFromText="180" w:vertAnchor="text" w:horzAnchor="margin" w:tblpXSpec="center" w:tblpY="141"/>
        <w:tblW w:w="10885" w:type="dxa"/>
        <w:tblLook w:val="0420" w:firstRow="1" w:lastRow="0" w:firstColumn="0" w:lastColumn="0" w:noHBand="0" w:noVBand="1"/>
      </w:tblPr>
      <w:tblGrid>
        <w:gridCol w:w="1525"/>
        <w:gridCol w:w="1270"/>
        <w:gridCol w:w="1430"/>
        <w:gridCol w:w="1440"/>
        <w:gridCol w:w="1710"/>
        <w:gridCol w:w="1800"/>
        <w:gridCol w:w="1710"/>
      </w:tblGrid>
      <w:tr w:rsidR="00334F73" w:rsidRPr="003D01A6" w14:paraId="61F0CA78" w14:textId="77777777" w:rsidTr="00334F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3"/>
        </w:trPr>
        <w:tc>
          <w:tcPr>
            <w:tcW w:w="1525" w:type="dxa"/>
            <w:vMerge w:val="restart"/>
            <w:hideMark/>
          </w:tcPr>
          <w:p w14:paraId="1B66A25C" w14:textId="13FE9649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 xml:space="preserve">                     Cell lines showing MET &amp; RON</w:t>
            </w:r>
          </w:p>
        </w:tc>
        <w:tc>
          <w:tcPr>
            <w:tcW w:w="1270" w:type="dxa"/>
            <w:vMerge w:val="restart"/>
            <w:hideMark/>
          </w:tcPr>
          <w:p w14:paraId="4B6F56E6" w14:textId="600FBE41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 xml:space="preserve">          Cancer types</w:t>
            </w:r>
          </w:p>
        </w:tc>
        <w:tc>
          <w:tcPr>
            <w:tcW w:w="1430" w:type="dxa"/>
            <w:vMerge w:val="restart"/>
            <w:hideMark/>
          </w:tcPr>
          <w:p w14:paraId="0965873B" w14:textId="37FB0AF8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 xml:space="preserve">                   MET expression</w:t>
            </w:r>
          </w:p>
        </w:tc>
        <w:tc>
          <w:tcPr>
            <w:tcW w:w="1440" w:type="dxa"/>
            <w:vMerge w:val="restart"/>
            <w:hideMark/>
          </w:tcPr>
          <w:p w14:paraId="17019576" w14:textId="00C3BE13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 xml:space="preserve">                  RON expression</w:t>
            </w:r>
          </w:p>
        </w:tc>
        <w:tc>
          <w:tcPr>
            <w:tcW w:w="5220" w:type="dxa"/>
            <w:gridSpan w:val="3"/>
            <w:hideMark/>
          </w:tcPr>
          <w:p w14:paraId="32CF9E18" w14:textId="072EDA8C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ADC IC</w:t>
            </w:r>
            <w:r w:rsidRPr="00C67523">
              <w:rPr>
                <w:rFonts w:ascii="Arial" w:hAnsi="Arial" w:cs="Arial"/>
                <w:vertAlign w:val="subscript"/>
              </w:rPr>
              <w:t xml:space="preserve">50 </w:t>
            </w:r>
            <w:r w:rsidRPr="003D01A6">
              <w:rPr>
                <w:rFonts w:ascii="Arial" w:hAnsi="Arial" w:cs="Arial"/>
              </w:rPr>
              <w:t>values for cellular cytotoxicity</w:t>
            </w:r>
          </w:p>
        </w:tc>
      </w:tr>
      <w:tr w:rsidR="00334F73" w:rsidRPr="003D01A6" w14:paraId="42C0F6CB" w14:textId="77777777" w:rsidTr="00334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tcW w:w="1525" w:type="dxa"/>
            <w:vMerge/>
            <w:hideMark/>
          </w:tcPr>
          <w:p w14:paraId="6D944FEF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dxa"/>
            <w:vMerge/>
            <w:hideMark/>
          </w:tcPr>
          <w:p w14:paraId="6DCB64B4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30" w:type="dxa"/>
            <w:vMerge/>
            <w:hideMark/>
          </w:tcPr>
          <w:p w14:paraId="2EE34859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Merge/>
            <w:hideMark/>
          </w:tcPr>
          <w:p w14:paraId="605B5B04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  <w:hideMark/>
          </w:tcPr>
          <w:p w14:paraId="2BBF9CBE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3D01A6">
              <w:rPr>
                <w:rFonts w:ascii="Arial" w:hAnsi="Arial" w:cs="Arial"/>
                <w:b/>
                <w:bCs/>
              </w:rPr>
              <w:t>Anti-MET PCM-MET01-MMAE</w:t>
            </w:r>
          </w:p>
        </w:tc>
        <w:tc>
          <w:tcPr>
            <w:tcW w:w="1800" w:type="dxa"/>
            <w:hideMark/>
          </w:tcPr>
          <w:p w14:paraId="70ECFB43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3D01A6">
              <w:rPr>
                <w:rFonts w:ascii="Arial" w:hAnsi="Arial" w:cs="Arial"/>
                <w:b/>
                <w:bCs/>
              </w:rPr>
              <w:t>Anti-RON PCM 5B14-MMAE</w:t>
            </w:r>
          </w:p>
        </w:tc>
        <w:tc>
          <w:tcPr>
            <w:tcW w:w="1710" w:type="dxa"/>
            <w:hideMark/>
          </w:tcPr>
          <w:p w14:paraId="4E703C2A" w14:textId="63255742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3D01A6">
              <w:rPr>
                <w:rFonts w:ascii="Arial" w:hAnsi="Arial" w:cs="Arial"/>
                <w:b/>
                <w:bCs/>
              </w:rPr>
              <w:t>Dual targeting PCMdt-MMAE</w:t>
            </w:r>
          </w:p>
        </w:tc>
      </w:tr>
      <w:tr w:rsidR="00334F73" w:rsidRPr="003D01A6" w14:paraId="1180B86F" w14:textId="77777777" w:rsidTr="00334F73">
        <w:trPr>
          <w:trHeight w:val="590"/>
        </w:trPr>
        <w:tc>
          <w:tcPr>
            <w:tcW w:w="1525" w:type="dxa"/>
            <w:hideMark/>
          </w:tcPr>
          <w:p w14:paraId="7FC893EC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HCC1806</w:t>
            </w:r>
          </w:p>
        </w:tc>
        <w:tc>
          <w:tcPr>
            <w:tcW w:w="1270" w:type="dxa"/>
            <w:hideMark/>
          </w:tcPr>
          <w:p w14:paraId="4CDFBE31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TNBC</w:t>
            </w:r>
          </w:p>
        </w:tc>
        <w:tc>
          <w:tcPr>
            <w:tcW w:w="1430" w:type="dxa"/>
            <w:hideMark/>
          </w:tcPr>
          <w:p w14:paraId="3E904893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Negative</w:t>
            </w:r>
          </w:p>
        </w:tc>
        <w:tc>
          <w:tcPr>
            <w:tcW w:w="1440" w:type="dxa"/>
            <w:hideMark/>
          </w:tcPr>
          <w:p w14:paraId="403D0306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Negative</w:t>
            </w:r>
          </w:p>
        </w:tc>
        <w:tc>
          <w:tcPr>
            <w:tcW w:w="1710" w:type="dxa"/>
            <w:hideMark/>
          </w:tcPr>
          <w:p w14:paraId="7FA9CBED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&gt;100</w:t>
            </w:r>
          </w:p>
        </w:tc>
        <w:tc>
          <w:tcPr>
            <w:tcW w:w="1800" w:type="dxa"/>
            <w:hideMark/>
          </w:tcPr>
          <w:p w14:paraId="30013FA1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&gt;100</w:t>
            </w:r>
          </w:p>
        </w:tc>
        <w:tc>
          <w:tcPr>
            <w:tcW w:w="1710" w:type="dxa"/>
            <w:hideMark/>
          </w:tcPr>
          <w:p w14:paraId="3AF2D922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&gt;100</w:t>
            </w:r>
          </w:p>
        </w:tc>
      </w:tr>
      <w:tr w:rsidR="00334F73" w:rsidRPr="003D01A6" w14:paraId="07A58C12" w14:textId="77777777" w:rsidTr="00334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tcW w:w="1525" w:type="dxa"/>
            <w:hideMark/>
          </w:tcPr>
          <w:p w14:paraId="12302DF4" w14:textId="2B82D552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HCC1937</w:t>
            </w:r>
          </w:p>
        </w:tc>
        <w:tc>
          <w:tcPr>
            <w:tcW w:w="1270" w:type="dxa"/>
            <w:hideMark/>
          </w:tcPr>
          <w:p w14:paraId="5D5FA2E2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TNBC</w:t>
            </w:r>
          </w:p>
        </w:tc>
        <w:tc>
          <w:tcPr>
            <w:tcW w:w="1430" w:type="dxa"/>
            <w:hideMark/>
          </w:tcPr>
          <w:p w14:paraId="38F8AF9D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</w:t>
            </w:r>
          </w:p>
        </w:tc>
        <w:tc>
          <w:tcPr>
            <w:tcW w:w="1440" w:type="dxa"/>
            <w:hideMark/>
          </w:tcPr>
          <w:p w14:paraId="3775E903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+++</w:t>
            </w:r>
          </w:p>
        </w:tc>
        <w:tc>
          <w:tcPr>
            <w:tcW w:w="1710" w:type="dxa"/>
            <w:hideMark/>
          </w:tcPr>
          <w:p w14:paraId="4178DCCD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1.29 ± 0.25</w:t>
            </w:r>
          </w:p>
        </w:tc>
        <w:tc>
          <w:tcPr>
            <w:tcW w:w="1800" w:type="dxa"/>
            <w:hideMark/>
          </w:tcPr>
          <w:p w14:paraId="54BB6D9A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1.51 ± 0.29</w:t>
            </w:r>
          </w:p>
        </w:tc>
        <w:tc>
          <w:tcPr>
            <w:tcW w:w="1710" w:type="dxa"/>
            <w:hideMark/>
          </w:tcPr>
          <w:p w14:paraId="35689193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1.64 ± 0.11</w:t>
            </w:r>
          </w:p>
        </w:tc>
      </w:tr>
      <w:tr w:rsidR="00334F73" w:rsidRPr="003D01A6" w14:paraId="0E7BEB2C" w14:textId="77777777" w:rsidTr="00334F73">
        <w:trPr>
          <w:trHeight w:val="534"/>
        </w:trPr>
        <w:tc>
          <w:tcPr>
            <w:tcW w:w="1525" w:type="dxa"/>
            <w:hideMark/>
          </w:tcPr>
          <w:p w14:paraId="74FB55F1" w14:textId="553E87ED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SUM52PE</w:t>
            </w:r>
          </w:p>
        </w:tc>
        <w:tc>
          <w:tcPr>
            <w:tcW w:w="1270" w:type="dxa"/>
            <w:hideMark/>
          </w:tcPr>
          <w:p w14:paraId="691D02B9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TNBC</w:t>
            </w:r>
          </w:p>
        </w:tc>
        <w:tc>
          <w:tcPr>
            <w:tcW w:w="1430" w:type="dxa"/>
            <w:hideMark/>
          </w:tcPr>
          <w:p w14:paraId="18FE5CEF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Negative</w:t>
            </w:r>
          </w:p>
        </w:tc>
        <w:tc>
          <w:tcPr>
            <w:tcW w:w="1440" w:type="dxa"/>
            <w:hideMark/>
          </w:tcPr>
          <w:p w14:paraId="713FFB9D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+++</w:t>
            </w:r>
          </w:p>
        </w:tc>
        <w:tc>
          <w:tcPr>
            <w:tcW w:w="1710" w:type="dxa"/>
            <w:hideMark/>
          </w:tcPr>
          <w:p w14:paraId="3EA4981E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&gt;100</w:t>
            </w:r>
          </w:p>
        </w:tc>
        <w:tc>
          <w:tcPr>
            <w:tcW w:w="1800" w:type="dxa"/>
            <w:hideMark/>
          </w:tcPr>
          <w:p w14:paraId="4B6C87E5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1.34 ± 0.18</w:t>
            </w:r>
          </w:p>
        </w:tc>
        <w:tc>
          <w:tcPr>
            <w:tcW w:w="1710" w:type="dxa"/>
            <w:hideMark/>
          </w:tcPr>
          <w:p w14:paraId="1DA64398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1.34 ± 0.29</w:t>
            </w:r>
          </w:p>
        </w:tc>
      </w:tr>
      <w:tr w:rsidR="00334F73" w:rsidRPr="003D01A6" w14:paraId="479F36F5" w14:textId="77777777" w:rsidTr="00334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tcW w:w="1525" w:type="dxa"/>
            <w:hideMark/>
          </w:tcPr>
          <w:p w14:paraId="42F9BF5E" w14:textId="5AF16078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ASPC1</w:t>
            </w:r>
          </w:p>
        </w:tc>
        <w:tc>
          <w:tcPr>
            <w:tcW w:w="1270" w:type="dxa"/>
            <w:hideMark/>
          </w:tcPr>
          <w:p w14:paraId="022F3E76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PDAC</w:t>
            </w:r>
          </w:p>
        </w:tc>
        <w:tc>
          <w:tcPr>
            <w:tcW w:w="1430" w:type="dxa"/>
            <w:hideMark/>
          </w:tcPr>
          <w:p w14:paraId="697BE904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+++</w:t>
            </w:r>
          </w:p>
        </w:tc>
        <w:tc>
          <w:tcPr>
            <w:tcW w:w="1440" w:type="dxa"/>
            <w:hideMark/>
          </w:tcPr>
          <w:p w14:paraId="51A7287A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</w:t>
            </w:r>
          </w:p>
        </w:tc>
        <w:tc>
          <w:tcPr>
            <w:tcW w:w="1710" w:type="dxa"/>
            <w:hideMark/>
          </w:tcPr>
          <w:p w14:paraId="14C8C1FD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0.89 ± 0.16</w:t>
            </w:r>
          </w:p>
        </w:tc>
        <w:tc>
          <w:tcPr>
            <w:tcW w:w="1800" w:type="dxa"/>
            <w:hideMark/>
          </w:tcPr>
          <w:p w14:paraId="74C6CF70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4.24 ± 0.54</w:t>
            </w:r>
          </w:p>
        </w:tc>
        <w:tc>
          <w:tcPr>
            <w:tcW w:w="1710" w:type="dxa"/>
            <w:hideMark/>
          </w:tcPr>
          <w:p w14:paraId="0A10F54D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1.89 ± 0.23</w:t>
            </w:r>
          </w:p>
        </w:tc>
      </w:tr>
      <w:tr w:rsidR="00334F73" w:rsidRPr="003D01A6" w14:paraId="74962ED5" w14:textId="77777777" w:rsidTr="00334F73">
        <w:trPr>
          <w:trHeight w:val="656"/>
        </w:trPr>
        <w:tc>
          <w:tcPr>
            <w:tcW w:w="1525" w:type="dxa"/>
            <w:hideMark/>
          </w:tcPr>
          <w:p w14:paraId="420C2062" w14:textId="790EBF78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BXPC-3</w:t>
            </w:r>
          </w:p>
        </w:tc>
        <w:tc>
          <w:tcPr>
            <w:tcW w:w="1270" w:type="dxa"/>
            <w:hideMark/>
          </w:tcPr>
          <w:p w14:paraId="66431F19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PDAC</w:t>
            </w:r>
          </w:p>
        </w:tc>
        <w:tc>
          <w:tcPr>
            <w:tcW w:w="1430" w:type="dxa"/>
            <w:hideMark/>
          </w:tcPr>
          <w:p w14:paraId="380CF792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+++</w:t>
            </w:r>
          </w:p>
        </w:tc>
        <w:tc>
          <w:tcPr>
            <w:tcW w:w="1440" w:type="dxa"/>
            <w:hideMark/>
          </w:tcPr>
          <w:p w14:paraId="64826EAF" w14:textId="538A6BC4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</w:t>
            </w:r>
          </w:p>
        </w:tc>
        <w:tc>
          <w:tcPr>
            <w:tcW w:w="1710" w:type="dxa"/>
            <w:hideMark/>
          </w:tcPr>
          <w:p w14:paraId="7ADD16D2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1.51 ± 0.21</w:t>
            </w:r>
          </w:p>
        </w:tc>
        <w:tc>
          <w:tcPr>
            <w:tcW w:w="1800" w:type="dxa"/>
            <w:hideMark/>
          </w:tcPr>
          <w:p w14:paraId="0EC18209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3.51 ± 1.01</w:t>
            </w:r>
          </w:p>
        </w:tc>
        <w:tc>
          <w:tcPr>
            <w:tcW w:w="1710" w:type="dxa"/>
            <w:hideMark/>
          </w:tcPr>
          <w:p w14:paraId="30A63D9B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3.45 ± 0.28</w:t>
            </w:r>
          </w:p>
        </w:tc>
      </w:tr>
      <w:tr w:rsidR="00334F73" w:rsidRPr="003D01A6" w14:paraId="2E1A9618" w14:textId="77777777" w:rsidTr="00334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</w:trPr>
        <w:tc>
          <w:tcPr>
            <w:tcW w:w="1525" w:type="dxa"/>
            <w:hideMark/>
          </w:tcPr>
          <w:p w14:paraId="408FA52E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FG</w:t>
            </w:r>
          </w:p>
        </w:tc>
        <w:tc>
          <w:tcPr>
            <w:tcW w:w="1270" w:type="dxa"/>
            <w:hideMark/>
          </w:tcPr>
          <w:p w14:paraId="61C09CAB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PDAC</w:t>
            </w:r>
          </w:p>
        </w:tc>
        <w:tc>
          <w:tcPr>
            <w:tcW w:w="1430" w:type="dxa"/>
            <w:hideMark/>
          </w:tcPr>
          <w:p w14:paraId="3547267C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+++</w:t>
            </w:r>
          </w:p>
        </w:tc>
        <w:tc>
          <w:tcPr>
            <w:tcW w:w="1440" w:type="dxa"/>
            <w:hideMark/>
          </w:tcPr>
          <w:p w14:paraId="059C3F23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+++</w:t>
            </w:r>
          </w:p>
        </w:tc>
        <w:tc>
          <w:tcPr>
            <w:tcW w:w="1710" w:type="dxa"/>
            <w:hideMark/>
          </w:tcPr>
          <w:p w14:paraId="562EDE42" w14:textId="45D463AB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1.57 ± 0.45</w:t>
            </w:r>
          </w:p>
        </w:tc>
        <w:tc>
          <w:tcPr>
            <w:tcW w:w="1800" w:type="dxa"/>
            <w:hideMark/>
          </w:tcPr>
          <w:p w14:paraId="5F115AD3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2.71 ± 0.32</w:t>
            </w:r>
          </w:p>
        </w:tc>
        <w:tc>
          <w:tcPr>
            <w:tcW w:w="1710" w:type="dxa"/>
            <w:hideMark/>
          </w:tcPr>
          <w:p w14:paraId="37D62A1E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2.18 ± 0.33</w:t>
            </w:r>
          </w:p>
        </w:tc>
      </w:tr>
      <w:tr w:rsidR="00334F73" w:rsidRPr="003D01A6" w14:paraId="278AE5F9" w14:textId="77777777" w:rsidTr="00334F73">
        <w:trPr>
          <w:trHeight w:val="625"/>
        </w:trPr>
        <w:tc>
          <w:tcPr>
            <w:tcW w:w="1525" w:type="dxa"/>
            <w:hideMark/>
          </w:tcPr>
          <w:p w14:paraId="4CFCDE5A" w14:textId="00006161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Hs746t</w:t>
            </w:r>
          </w:p>
        </w:tc>
        <w:tc>
          <w:tcPr>
            <w:tcW w:w="1270" w:type="dxa"/>
            <w:hideMark/>
          </w:tcPr>
          <w:p w14:paraId="1BEAEF0D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GC</w:t>
            </w:r>
          </w:p>
        </w:tc>
        <w:tc>
          <w:tcPr>
            <w:tcW w:w="1430" w:type="dxa"/>
            <w:hideMark/>
          </w:tcPr>
          <w:p w14:paraId="1EE17CB9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+++</w:t>
            </w:r>
          </w:p>
        </w:tc>
        <w:tc>
          <w:tcPr>
            <w:tcW w:w="1440" w:type="dxa"/>
            <w:hideMark/>
          </w:tcPr>
          <w:p w14:paraId="4B7A851F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Negative</w:t>
            </w:r>
          </w:p>
        </w:tc>
        <w:tc>
          <w:tcPr>
            <w:tcW w:w="1710" w:type="dxa"/>
            <w:hideMark/>
          </w:tcPr>
          <w:p w14:paraId="3651CDC7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0.11 ± 0.05</w:t>
            </w:r>
          </w:p>
        </w:tc>
        <w:tc>
          <w:tcPr>
            <w:tcW w:w="1800" w:type="dxa"/>
            <w:hideMark/>
          </w:tcPr>
          <w:p w14:paraId="7B502B1F" w14:textId="29A479F1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&gt;100</w:t>
            </w:r>
          </w:p>
        </w:tc>
        <w:tc>
          <w:tcPr>
            <w:tcW w:w="1710" w:type="dxa"/>
            <w:hideMark/>
          </w:tcPr>
          <w:p w14:paraId="4D9350AD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1.81 ± 0.43</w:t>
            </w:r>
          </w:p>
        </w:tc>
      </w:tr>
      <w:tr w:rsidR="00334F73" w:rsidRPr="003D01A6" w14:paraId="4EB767DE" w14:textId="77777777" w:rsidTr="00334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tcW w:w="1525" w:type="dxa"/>
            <w:hideMark/>
          </w:tcPr>
          <w:p w14:paraId="16A5553B" w14:textId="25E6D2C5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HT29</w:t>
            </w:r>
          </w:p>
        </w:tc>
        <w:tc>
          <w:tcPr>
            <w:tcW w:w="1270" w:type="dxa"/>
            <w:hideMark/>
          </w:tcPr>
          <w:p w14:paraId="5FC36EC1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CRC</w:t>
            </w:r>
          </w:p>
        </w:tc>
        <w:tc>
          <w:tcPr>
            <w:tcW w:w="1430" w:type="dxa"/>
            <w:hideMark/>
          </w:tcPr>
          <w:p w14:paraId="677CD666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+++</w:t>
            </w:r>
          </w:p>
        </w:tc>
        <w:tc>
          <w:tcPr>
            <w:tcW w:w="1440" w:type="dxa"/>
            <w:hideMark/>
          </w:tcPr>
          <w:p w14:paraId="3B3A03A9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+++</w:t>
            </w:r>
          </w:p>
        </w:tc>
        <w:tc>
          <w:tcPr>
            <w:tcW w:w="1710" w:type="dxa"/>
            <w:hideMark/>
          </w:tcPr>
          <w:p w14:paraId="3BAB46DB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4.91 ± 0.92</w:t>
            </w:r>
          </w:p>
        </w:tc>
        <w:tc>
          <w:tcPr>
            <w:tcW w:w="1800" w:type="dxa"/>
            <w:hideMark/>
          </w:tcPr>
          <w:p w14:paraId="34CA1EF1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2.01 ± 0.11</w:t>
            </w:r>
          </w:p>
        </w:tc>
        <w:tc>
          <w:tcPr>
            <w:tcW w:w="1710" w:type="dxa"/>
            <w:hideMark/>
          </w:tcPr>
          <w:p w14:paraId="4911E628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2.08 ± 0.07</w:t>
            </w:r>
          </w:p>
        </w:tc>
      </w:tr>
      <w:tr w:rsidR="00334F73" w:rsidRPr="003D01A6" w14:paraId="75718508" w14:textId="77777777" w:rsidTr="00334F73">
        <w:trPr>
          <w:trHeight w:val="641"/>
        </w:trPr>
        <w:tc>
          <w:tcPr>
            <w:tcW w:w="1525" w:type="dxa"/>
            <w:hideMark/>
          </w:tcPr>
          <w:p w14:paraId="6D189998" w14:textId="23308405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NIH3T3-RON</w:t>
            </w:r>
          </w:p>
        </w:tc>
        <w:tc>
          <w:tcPr>
            <w:tcW w:w="1270" w:type="dxa"/>
            <w:hideMark/>
          </w:tcPr>
          <w:p w14:paraId="63C95646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Fibroblast</w:t>
            </w:r>
          </w:p>
        </w:tc>
        <w:tc>
          <w:tcPr>
            <w:tcW w:w="1430" w:type="dxa"/>
            <w:hideMark/>
          </w:tcPr>
          <w:p w14:paraId="3DFFB796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Negative</w:t>
            </w:r>
          </w:p>
        </w:tc>
        <w:tc>
          <w:tcPr>
            <w:tcW w:w="1440" w:type="dxa"/>
            <w:hideMark/>
          </w:tcPr>
          <w:p w14:paraId="1632CE83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+++</w:t>
            </w:r>
          </w:p>
        </w:tc>
        <w:tc>
          <w:tcPr>
            <w:tcW w:w="1710" w:type="dxa"/>
            <w:hideMark/>
          </w:tcPr>
          <w:p w14:paraId="362922F9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&gt;100</w:t>
            </w:r>
          </w:p>
        </w:tc>
        <w:tc>
          <w:tcPr>
            <w:tcW w:w="1800" w:type="dxa"/>
            <w:hideMark/>
          </w:tcPr>
          <w:p w14:paraId="632F8AD0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1.92 ± 0.29</w:t>
            </w:r>
          </w:p>
        </w:tc>
        <w:tc>
          <w:tcPr>
            <w:tcW w:w="1710" w:type="dxa"/>
            <w:hideMark/>
          </w:tcPr>
          <w:p w14:paraId="31ED3E08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3.78 ± 0.38</w:t>
            </w:r>
          </w:p>
        </w:tc>
      </w:tr>
      <w:tr w:rsidR="00334F73" w:rsidRPr="003D01A6" w14:paraId="545F9191" w14:textId="77777777" w:rsidTr="00334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tcW w:w="1525" w:type="dxa"/>
            <w:hideMark/>
          </w:tcPr>
          <w:p w14:paraId="1F0972BA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Average</w:t>
            </w:r>
          </w:p>
        </w:tc>
        <w:tc>
          <w:tcPr>
            <w:tcW w:w="1270" w:type="dxa"/>
            <w:hideMark/>
          </w:tcPr>
          <w:p w14:paraId="488315EC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30" w:type="dxa"/>
            <w:hideMark/>
          </w:tcPr>
          <w:p w14:paraId="67ECDC18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hideMark/>
          </w:tcPr>
          <w:p w14:paraId="04C46B00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710" w:type="dxa"/>
            <w:hideMark/>
          </w:tcPr>
          <w:p w14:paraId="7E499026" w14:textId="17456CFD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1.72 ± 1.51</w:t>
            </w:r>
          </w:p>
        </w:tc>
        <w:tc>
          <w:tcPr>
            <w:tcW w:w="1800" w:type="dxa"/>
            <w:hideMark/>
          </w:tcPr>
          <w:p w14:paraId="672C0800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2.46 ± 1.08</w:t>
            </w:r>
          </w:p>
        </w:tc>
        <w:tc>
          <w:tcPr>
            <w:tcW w:w="1710" w:type="dxa"/>
            <w:hideMark/>
          </w:tcPr>
          <w:p w14:paraId="1F3BCE21" w14:textId="77777777" w:rsidR="00334F73" w:rsidRPr="003D01A6" w:rsidRDefault="00334F73" w:rsidP="00334F7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3D01A6">
              <w:rPr>
                <w:rFonts w:ascii="Arial" w:hAnsi="Arial" w:cs="Arial"/>
              </w:rPr>
              <w:t>2.27 ± 0.87</w:t>
            </w:r>
          </w:p>
        </w:tc>
      </w:tr>
    </w:tbl>
    <w:p w14:paraId="2195D0D4" w14:textId="7CFB0E73" w:rsidR="00DE48C3" w:rsidRPr="003D01A6" w:rsidRDefault="00DE48C3">
      <w:pPr>
        <w:rPr>
          <w:rFonts w:ascii="Arial" w:hAnsi="Arial" w:cs="Arial"/>
        </w:rPr>
      </w:pPr>
    </w:p>
    <w:p w14:paraId="61A38C86" w14:textId="0624DFA1" w:rsidR="00334F73" w:rsidRDefault="003D01A6" w:rsidP="00A713BB">
      <w:pPr>
        <w:pStyle w:val="a5"/>
        <w:spacing w:before="0" w:beforeAutospacing="0" w:after="0" w:afterAutospacing="0" w:line="360" w:lineRule="auto"/>
        <w:jc w:val="both"/>
      </w:pPr>
      <w:r w:rsidRPr="003D01A6">
        <w:rPr>
          <w:rFonts w:ascii="Arial" w:hAnsi="Arial" w:cs="Arial"/>
          <w:sz w:val="22"/>
          <w:szCs w:val="22"/>
        </w:rPr>
        <w:t>*Individual cell lines were treated with different amounts of PCMdt-MMAE for 96h. Cells treated with different amounts of PCM-MET01-MMAE or PCM5B14-MMAE were used for comparison. The MTS assay was used to determine the cell viability. IC</w:t>
      </w:r>
      <w:r w:rsidRPr="003D01A6">
        <w:rPr>
          <w:rFonts w:ascii="Arial" w:hAnsi="Arial" w:cs="Arial"/>
          <w:sz w:val="22"/>
          <w:szCs w:val="22"/>
          <w:vertAlign w:val="subscript"/>
        </w:rPr>
        <w:t xml:space="preserve">50 </w:t>
      </w:r>
      <w:r w:rsidRPr="003D01A6">
        <w:rPr>
          <w:rFonts w:ascii="Arial" w:hAnsi="Arial" w:cs="Arial"/>
          <w:sz w:val="22"/>
          <w:szCs w:val="22"/>
        </w:rPr>
        <w:t>values from individual groups were calculated using GraphPad Prism 6 software</w:t>
      </w:r>
      <w:r>
        <w:rPr>
          <w:rFonts w:ascii="Arial" w:hAnsi="Arial" w:cs="Arial"/>
          <w:sz w:val="22"/>
          <w:szCs w:val="22"/>
        </w:rPr>
        <w:t xml:space="preserve"> as previously described</w:t>
      </w:r>
      <w:r w:rsidR="006010BC">
        <w:rPr>
          <w:rFonts w:ascii="Arial" w:hAnsi="Arial" w:cs="Arial"/>
          <w:sz w:val="22"/>
          <w:szCs w:val="22"/>
        </w:rPr>
        <w:t xml:space="preserve"> </w:t>
      </w:r>
      <w:r w:rsidR="006010BC" w:rsidRPr="007E7BCD">
        <w:rPr>
          <w:rFonts w:ascii="Arial" w:hAnsi="Arial" w:cs="Arial"/>
          <w:sz w:val="22"/>
          <w:szCs w:val="22"/>
        </w:rPr>
        <w:t>[32]</w:t>
      </w:r>
      <w:r w:rsidR="00025622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sectPr w:rsidR="00334F73" w:rsidSect="003D01A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4B422" w14:textId="77777777" w:rsidR="002E7A8D" w:rsidRDefault="002E7A8D" w:rsidP="00F90229">
      <w:pPr>
        <w:spacing w:after="0" w:line="240" w:lineRule="auto"/>
      </w:pPr>
      <w:r>
        <w:separator/>
      </w:r>
    </w:p>
  </w:endnote>
  <w:endnote w:type="continuationSeparator" w:id="0">
    <w:p w14:paraId="6B9694FE" w14:textId="77777777" w:rsidR="002E7A8D" w:rsidRDefault="002E7A8D" w:rsidP="00F90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3F444" w14:textId="77777777" w:rsidR="002E7A8D" w:rsidRDefault="002E7A8D" w:rsidP="00F90229">
      <w:pPr>
        <w:spacing w:after="0" w:line="240" w:lineRule="auto"/>
      </w:pPr>
      <w:r>
        <w:separator/>
      </w:r>
    </w:p>
  </w:footnote>
  <w:footnote w:type="continuationSeparator" w:id="0">
    <w:p w14:paraId="2C7B8A36" w14:textId="77777777" w:rsidR="002E7A8D" w:rsidRDefault="002E7A8D" w:rsidP="00F90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45672A"/>
    <w:multiLevelType w:val="hybridMultilevel"/>
    <w:tmpl w:val="95BA7FE0"/>
    <w:lvl w:ilvl="0" w:tplc="D876C5D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73"/>
    <w:rsid w:val="00013949"/>
    <w:rsid w:val="00025622"/>
    <w:rsid w:val="001B41CF"/>
    <w:rsid w:val="001C0224"/>
    <w:rsid w:val="002E7A8D"/>
    <w:rsid w:val="00334F73"/>
    <w:rsid w:val="00357D07"/>
    <w:rsid w:val="003D01A6"/>
    <w:rsid w:val="006010BC"/>
    <w:rsid w:val="006F67D1"/>
    <w:rsid w:val="007E7BCD"/>
    <w:rsid w:val="00952F5E"/>
    <w:rsid w:val="00964E43"/>
    <w:rsid w:val="009756AB"/>
    <w:rsid w:val="009B59CA"/>
    <w:rsid w:val="00A2544F"/>
    <w:rsid w:val="00A713BB"/>
    <w:rsid w:val="00C67523"/>
    <w:rsid w:val="00D83000"/>
    <w:rsid w:val="00DE48C3"/>
    <w:rsid w:val="00F41F68"/>
    <w:rsid w:val="00F815B2"/>
    <w:rsid w:val="00F9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B8F08"/>
  <w15:chartTrackingRefBased/>
  <w15:docId w15:val="{9B0AE5FE-07E5-45EA-91ED-9E945361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List Table 2 Accent 1"/>
    <w:basedOn w:val="a1"/>
    <w:uiPriority w:val="47"/>
    <w:rsid w:val="00334F7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4">
    <w:name w:val="List Paragraph"/>
    <w:basedOn w:val="a"/>
    <w:uiPriority w:val="34"/>
    <w:qFormat/>
    <w:rsid w:val="003D01A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D0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90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眉 字符"/>
    <w:basedOn w:val="a0"/>
    <w:link w:val="a6"/>
    <w:uiPriority w:val="99"/>
    <w:rsid w:val="00F90229"/>
  </w:style>
  <w:style w:type="paragraph" w:styleId="a8">
    <w:name w:val="footer"/>
    <w:basedOn w:val="a"/>
    <w:link w:val="a9"/>
    <w:uiPriority w:val="99"/>
    <w:unhideWhenUsed/>
    <w:rsid w:val="00F90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页脚 字符"/>
    <w:basedOn w:val="a0"/>
    <w:link w:val="a8"/>
    <w:uiPriority w:val="99"/>
    <w:rsid w:val="00F90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3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minghai wang</dc:creator>
  <cp:keywords/>
  <dc:description/>
  <cp:lastModifiedBy>pjy</cp:lastModifiedBy>
  <cp:revision>7</cp:revision>
  <dcterms:created xsi:type="dcterms:W3CDTF">2022-10-02T17:33:00Z</dcterms:created>
  <dcterms:modified xsi:type="dcterms:W3CDTF">2024-11-08T05:19:00Z</dcterms:modified>
</cp:coreProperties>
</file>