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5D" w:rsidRP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b/>
          <w:sz w:val="20"/>
          <w:szCs w:val="20"/>
        </w:rPr>
        <w:t>Appendix 3. Regression Models (Recomputed from Raw Datasheet)</w:t>
      </w:r>
    </w:p>
    <w:p w:rsidR="00467C5D" w:rsidRP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sz w:val="20"/>
          <w:szCs w:val="20"/>
        </w:rPr>
        <w:t xml:space="preserve">All models were rerun from the </w:t>
      </w:r>
      <w:bookmarkStart w:id="0" w:name="_GoBack"/>
      <w:bookmarkEnd w:id="0"/>
      <w:r w:rsidRPr="00467C5D">
        <w:rPr>
          <w:rFonts w:asciiTheme="majorBidi" w:hAnsiTheme="majorBidi" w:cstheme="majorBidi"/>
          <w:sz w:val="20"/>
          <w:szCs w:val="20"/>
        </w:rPr>
        <w:t>uploaded raw datasheet (n = 246) using binary logistic regression (enter method) with two covariates: gender (Female vs Male) and training stage (Clinical vs Preclinical). Odds ratios are adjusted odds ratios (</w:t>
      </w:r>
      <w:proofErr w:type="spellStart"/>
      <w:r w:rsidRPr="00467C5D">
        <w:rPr>
          <w:rFonts w:asciiTheme="majorBidi" w:hAnsiTheme="majorBidi" w:cstheme="majorBidi"/>
          <w:sz w:val="20"/>
          <w:szCs w:val="20"/>
        </w:rPr>
        <w:t>aOR</w:t>
      </w:r>
      <w:proofErr w:type="spellEnd"/>
      <w:r w:rsidRPr="00467C5D">
        <w:rPr>
          <w:rFonts w:asciiTheme="majorBidi" w:hAnsiTheme="majorBidi" w:cstheme="majorBidi"/>
          <w:sz w:val="20"/>
          <w:szCs w:val="20"/>
        </w:rPr>
        <w:t>) with 95% confidence intervals (CI). For multinomial models, relative risk ratios (RRR) are reported with Whitening as the reference category.</w:t>
      </w:r>
    </w:p>
    <w:p w:rsidR="00467C5D" w:rsidRPr="00467C5D" w:rsidRDefault="00467C5D" w:rsidP="00467C5D">
      <w:pPr>
        <w:pStyle w:val="Heading2"/>
        <w:spacing w:line="240" w:lineRule="auto"/>
        <w:rPr>
          <w:rFonts w:asciiTheme="majorBidi" w:hAnsiTheme="majorBidi"/>
          <w:color w:val="auto"/>
          <w:sz w:val="20"/>
          <w:szCs w:val="20"/>
        </w:rPr>
      </w:pPr>
      <w:r w:rsidRPr="00467C5D">
        <w:rPr>
          <w:rFonts w:asciiTheme="majorBidi" w:hAnsiTheme="majorBidi"/>
          <w:color w:val="auto"/>
          <w:sz w:val="20"/>
          <w:szCs w:val="20"/>
        </w:rPr>
        <w:t>Appendix Table B. Section B – Logistic regression outputs for all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1152"/>
        <w:gridCol w:w="2016"/>
        <w:gridCol w:w="864"/>
        <w:gridCol w:w="864"/>
        <w:gridCol w:w="864"/>
        <w:gridCol w:w="1296"/>
        <w:gridCol w:w="1008"/>
      </w:tblGrid>
      <w:tr w:rsidR="00467C5D" w:rsidRPr="00467C5D" w:rsidTr="005B0036">
        <w:tc>
          <w:tcPr>
            <w:tcW w:w="388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Outcome</w:t>
            </w:r>
          </w:p>
        </w:tc>
        <w:tc>
          <w:tcPr>
            <w:tcW w:w="1152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Event coded</w:t>
            </w:r>
          </w:p>
        </w:tc>
        <w:tc>
          <w:tcPr>
            <w:tcW w:w="201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Predictor (reference)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β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SE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95% CI</w:t>
            </w:r>
          </w:p>
        </w:tc>
        <w:tc>
          <w:tcPr>
            <w:tcW w:w="100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B1. Prefer taking selfies from a particular side (because smile looks better)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0.484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0.87–3.04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B1. Prefer taking selfies from a particular side (because smile looks better)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-0.238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0.43–1.46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0.449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B2. Wish smile looked like those in media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0.287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0.64–1.96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0.703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B2. Wish smile looked like those in media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-0.135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0.52–1.46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0.608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B3. Pay particular attention to others’ teeth/smile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1.135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0.607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3.11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0.95–10.22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0.061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B3. Pay particular attention to others’ teeth/smile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1.33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0.635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3.78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1.09–13.11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B4. Notice gum defects when smiling in mirror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0.74–2.32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0.362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B4. Notice gum defects when smiling in mirror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0.598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1.82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1.07–3.08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0.026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B5. Notice tooth defects when smiling in mirror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0.575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0.424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1.78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0.77–4.08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0.175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B5. Notice tooth defects when smiling in mirror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0.523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1.69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0.81–3.50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B6. Satisfied with tooth color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0.192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0.302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1.21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0.67–2.19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0.526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B6. Satisfied with tooth color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0.278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0.76–2.26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0.331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B7. Satisfied with gum appearance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-0.015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0.421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0.43–2.25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0.971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B7. Satisfied with gum appearance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-0.385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0.404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0.31–1.50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0.341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B8. Tooth display in smile is not ideal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0.357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1.43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0.69–2.95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0.334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B8. Tooth display in smile is not ideal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0.921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2.51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1.24–5.09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B9. Dissatisfied with amount of gum show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1.161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3.19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1.29–7.93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B9. Dissatisfied with amount of gum show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0.406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0.348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0.76–2.97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0.244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B10. Feel teeth are too long or too short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0.348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0.61–3.30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0.421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B10. Feel teeth are too long or too short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0.708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0.411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2.03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0.91–4.54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0.085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B11. Feel teeth are too wide or too narrow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1.36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0.59–3.17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0.469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B11. Feel teeth are too wide or too narrow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-0.042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0.96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0.46–1.98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B12. Satisfied with shape of teeth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-0.26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0.37–1.62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0.494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B12. Satisfied with shape of teeth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0.511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0.325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1.67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0.88–3.15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0.116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B13. Regularly visit the dentist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1.54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0.87–2.72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0.135</w:t>
            </w:r>
          </w:p>
        </w:tc>
      </w:tr>
      <w:tr w:rsidR="00467C5D" w:rsidRPr="00467C5D" w:rsidTr="00D8350C">
        <w:tc>
          <w:tcPr>
            <w:tcW w:w="388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B13. Regularly visit the dentist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1.54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0.91–2.59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</w:tr>
    </w:tbl>
    <w:p w:rsidR="00467C5D" w:rsidRP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sz w:val="20"/>
          <w:szCs w:val="20"/>
        </w:rPr>
        <w:t xml:space="preserve">Notes (B): Event coded denotes outcome = 1 (Yes), except where specified. Reference categories were </w:t>
      </w:r>
      <w:proofErr w:type="gramStart"/>
      <w:r w:rsidRPr="00467C5D">
        <w:rPr>
          <w:rFonts w:asciiTheme="majorBidi" w:hAnsiTheme="majorBidi" w:cstheme="majorBidi"/>
          <w:sz w:val="20"/>
          <w:szCs w:val="20"/>
        </w:rPr>
        <w:t>Male</w:t>
      </w:r>
      <w:proofErr w:type="gramEnd"/>
      <w:r w:rsidRPr="00467C5D">
        <w:rPr>
          <w:rFonts w:asciiTheme="majorBidi" w:hAnsiTheme="majorBidi" w:cstheme="majorBidi"/>
          <w:sz w:val="20"/>
          <w:szCs w:val="20"/>
        </w:rPr>
        <w:t xml:space="preserve"> and Preclinical. Two-tailed p &lt; 0.05 considered statistically significant.</w:t>
      </w:r>
    </w:p>
    <w:p w:rsidR="005B0036" w:rsidRDefault="005B0036" w:rsidP="00467C5D">
      <w:pPr>
        <w:pStyle w:val="Heading2"/>
        <w:spacing w:line="240" w:lineRule="auto"/>
        <w:rPr>
          <w:rFonts w:asciiTheme="majorBidi" w:hAnsiTheme="majorBidi"/>
          <w:color w:val="auto"/>
          <w:sz w:val="20"/>
          <w:szCs w:val="20"/>
        </w:rPr>
      </w:pPr>
    </w:p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Default="005B0036" w:rsidP="005B0036"/>
    <w:p w:rsidR="005B0036" w:rsidRPr="005B0036" w:rsidRDefault="005B0036" w:rsidP="005B0036"/>
    <w:p w:rsidR="00467C5D" w:rsidRPr="00467C5D" w:rsidRDefault="00467C5D" w:rsidP="00467C5D">
      <w:pPr>
        <w:pStyle w:val="Heading2"/>
        <w:spacing w:line="240" w:lineRule="auto"/>
        <w:rPr>
          <w:rFonts w:asciiTheme="majorBidi" w:hAnsiTheme="majorBidi"/>
          <w:color w:val="auto"/>
          <w:sz w:val="20"/>
          <w:szCs w:val="20"/>
        </w:rPr>
      </w:pPr>
      <w:r w:rsidRPr="00467C5D">
        <w:rPr>
          <w:rFonts w:asciiTheme="majorBidi" w:hAnsiTheme="majorBidi"/>
          <w:color w:val="auto"/>
          <w:sz w:val="20"/>
          <w:szCs w:val="20"/>
        </w:rPr>
        <w:lastRenderedPageBreak/>
        <w:t>Appendix Table C1. Section C – Binary logistic regression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6"/>
        <w:gridCol w:w="1152"/>
        <w:gridCol w:w="2016"/>
        <w:gridCol w:w="864"/>
        <w:gridCol w:w="864"/>
        <w:gridCol w:w="864"/>
        <w:gridCol w:w="1296"/>
        <w:gridCol w:w="1008"/>
      </w:tblGrid>
      <w:tr w:rsidR="00467C5D" w:rsidRPr="00467C5D" w:rsidTr="005B0036">
        <w:tc>
          <w:tcPr>
            <w:tcW w:w="345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Outcome</w:t>
            </w:r>
          </w:p>
        </w:tc>
        <w:tc>
          <w:tcPr>
            <w:tcW w:w="1152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Event coded</w:t>
            </w:r>
          </w:p>
        </w:tc>
        <w:tc>
          <w:tcPr>
            <w:tcW w:w="201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Predictor (reference)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β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SE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95% CI</w:t>
            </w:r>
          </w:p>
        </w:tc>
        <w:tc>
          <w:tcPr>
            <w:tcW w:w="100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C1. Knowledge of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treatments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-0.232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0.45–1.41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0.428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C1. Knowledge of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treatments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0.86–2.43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0.163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C2. Posterior material preference (Composite vs Other)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0.385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0.63–3.43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0.373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C2. Posterior material preference (Composite vs Other)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1.623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0.423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5.07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2.21–11.62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C3. Anterior shade preference (A1–A2 vs Other)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0.485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0.358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0.81–3.28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0.175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C3. Anterior shade preference (A1–A2 vs Other)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0.335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4.26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2.21–8.21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</w:tbl>
    <w:p w:rsid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sz w:val="20"/>
          <w:szCs w:val="20"/>
        </w:rPr>
        <w:t xml:space="preserve">Notes (C1): Section C outcomes were dichotomized as follows: posterior material preference (Composite vs </w:t>
      </w:r>
      <w:proofErr w:type="gramStart"/>
      <w:r w:rsidRPr="00467C5D">
        <w:rPr>
          <w:rFonts w:asciiTheme="majorBidi" w:hAnsiTheme="majorBidi" w:cstheme="majorBidi"/>
          <w:sz w:val="20"/>
          <w:szCs w:val="20"/>
        </w:rPr>
        <w:t>Other</w:t>
      </w:r>
      <w:proofErr w:type="gramEnd"/>
      <w:r w:rsidRPr="00467C5D">
        <w:rPr>
          <w:rFonts w:asciiTheme="majorBidi" w:hAnsiTheme="majorBidi" w:cstheme="majorBidi"/>
          <w:sz w:val="20"/>
          <w:szCs w:val="20"/>
        </w:rPr>
        <w:t xml:space="preserve">), anterior shade preference (A1–A2 vs Other), and knowledge of esthetic treatments (Yes vs No). Reference categories were </w:t>
      </w:r>
      <w:proofErr w:type="gramStart"/>
      <w:r w:rsidRPr="00467C5D">
        <w:rPr>
          <w:rFonts w:asciiTheme="majorBidi" w:hAnsiTheme="majorBidi" w:cstheme="majorBidi"/>
          <w:sz w:val="20"/>
          <w:szCs w:val="20"/>
        </w:rPr>
        <w:t>Male</w:t>
      </w:r>
      <w:proofErr w:type="gramEnd"/>
      <w:r w:rsidRPr="00467C5D">
        <w:rPr>
          <w:rFonts w:asciiTheme="majorBidi" w:hAnsiTheme="majorBidi" w:cstheme="majorBidi"/>
          <w:sz w:val="20"/>
          <w:szCs w:val="20"/>
        </w:rPr>
        <w:t xml:space="preserve"> and Preclinical.</w:t>
      </w: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Pr="00467C5D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467C5D" w:rsidRPr="00467C5D" w:rsidRDefault="00467C5D" w:rsidP="00467C5D">
      <w:pPr>
        <w:pStyle w:val="Heading2"/>
        <w:spacing w:line="240" w:lineRule="auto"/>
        <w:rPr>
          <w:rFonts w:asciiTheme="majorBidi" w:hAnsiTheme="majorBidi"/>
          <w:color w:val="auto"/>
          <w:sz w:val="20"/>
          <w:szCs w:val="20"/>
        </w:rPr>
      </w:pPr>
      <w:r w:rsidRPr="00467C5D">
        <w:rPr>
          <w:rFonts w:asciiTheme="majorBidi" w:hAnsiTheme="majorBidi"/>
          <w:color w:val="auto"/>
          <w:sz w:val="20"/>
          <w:szCs w:val="20"/>
        </w:rPr>
        <w:t>Appendix Table C2. Section C – Multinomial logistic regression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448"/>
        <w:gridCol w:w="1728"/>
        <w:gridCol w:w="864"/>
        <w:gridCol w:w="864"/>
        <w:gridCol w:w="864"/>
        <w:gridCol w:w="1296"/>
        <w:gridCol w:w="1008"/>
      </w:tblGrid>
      <w:tr w:rsidR="00467C5D" w:rsidRPr="00467C5D" w:rsidTr="005B0036">
        <w:tc>
          <w:tcPr>
            <w:tcW w:w="244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Outcome</w:t>
            </w:r>
          </w:p>
        </w:tc>
        <w:tc>
          <w:tcPr>
            <w:tcW w:w="244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Comparison vs reference</w:t>
            </w:r>
          </w:p>
        </w:tc>
        <w:tc>
          <w:tcPr>
            <w:tcW w:w="172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Predictor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β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SE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RRR</w:t>
            </w:r>
          </w:p>
        </w:tc>
        <w:tc>
          <w:tcPr>
            <w:tcW w:w="129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95% CI</w:t>
            </w:r>
          </w:p>
        </w:tc>
        <w:tc>
          <w:tcPr>
            <w:tcW w:w="100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467C5D" w:rsidRPr="00467C5D" w:rsidTr="00D8350C"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Desired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</w:t>
            </w:r>
          </w:p>
        </w:tc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Orthodontics vs Whitening</w:t>
            </w:r>
          </w:p>
        </w:tc>
        <w:tc>
          <w:tcPr>
            <w:tcW w:w="172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0.085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0.448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0.45–2.62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0.849</w:t>
            </w:r>
          </w:p>
        </w:tc>
      </w:tr>
      <w:tr w:rsidR="00467C5D" w:rsidRPr="00467C5D" w:rsidTr="00D8350C"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Desired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</w:t>
            </w:r>
          </w:p>
        </w:tc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Orthodontics vs Whitening</w:t>
            </w:r>
          </w:p>
        </w:tc>
        <w:tc>
          <w:tcPr>
            <w:tcW w:w="172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0.386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0.47–2.15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0.987</w:t>
            </w:r>
          </w:p>
        </w:tc>
      </w:tr>
      <w:tr w:rsidR="00467C5D" w:rsidRPr="00467C5D" w:rsidTr="00D8350C"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Desired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</w:t>
            </w:r>
          </w:p>
        </w:tc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No treatment vs Whitening</w:t>
            </w:r>
          </w:p>
        </w:tc>
        <w:tc>
          <w:tcPr>
            <w:tcW w:w="172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-1.036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0.14–0.88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0.025</w:t>
            </w:r>
          </w:p>
        </w:tc>
      </w:tr>
      <w:tr w:rsidR="00467C5D" w:rsidRPr="00467C5D" w:rsidTr="00D8350C"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Desired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</w:t>
            </w:r>
          </w:p>
        </w:tc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No treatment vs Whitening</w:t>
            </w:r>
          </w:p>
        </w:tc>
        <w:tc>
          <w:tcPr>
            <w:tcW w:w="172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0.392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0.59–3.69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0.401</w:t>
            </w:r>
          </w:p>
        </w:tc>
      </w:tr>
      <w:tr w:rsidR="00467C5D" w:rsidRPr="00467C5D" w:rsidTr="00D8350C"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Desired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</w:t>
            </w:r>
          </w:p>
        </w:tc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Other treatments vs Whitening</w:t>
            </w:r>
          </w:p>
        </w:tc>
        <w:tc>
          <w:tcPr>
            <w:tcW w:w="172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-0.083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0.384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0.43–1.95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0.829</w:t>
            </w:r>
          </w:p>
        </w:tc>
      </w:tr>
      <w:tr w:rsidR="00467C5D" w:rsidRPr="00467C5D" w:rsidTr="00D8350C"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Desired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</w:t>
            </w:r>
          </w:p>
        </w:tc>
        <w:tc>
          <w:tcPr>
            <w:tcW w:w="244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Other treatments vs Whitening</w:t>
            </w:r>
          </w:p>
        </w:tc>
        <w:tc>
          <w:tcPr>
            <w:tcW w:w="172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0.337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0.51–1.90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0.954</w:t>
            </w:r>
          </w:p>
        </w:tc>
      </w:tr>
    </w:tbl>
    <w:p w:rsid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sz w:val="20"/>
          <w:szCs w:val="20"/>
        </w:rPr>
        <w:t xml:space="preserve">Notes (C2): RRR = relative risk ratio. The outcome reference category was Whitening. Predictors entered simultaneously; reference groups were </w:t>
      </w:r>
      <w:proofErr w:type="gramStart"/>
      <w:r w:rsidRPr="00467C5D">
        <w:rPr>
          <w:rFonts w:asciiTheme="majorBidi" w:hAnsiTheme="majorBidi" w:cstheme="majorBidi"/>
          <w:sz w:val="20"/>
          <w:szCs w:val="20"/>
        </w:rPr>
        <w:t>Male</w:t>
      </w:r>
      <w:proofErr w:type="gramEnd"/>
      <w:r w:rsidRPr="00467C5D">
        <w:rPr>
          <w:rFonts w:asciiTheme="majorBidi" w:hAnsiTheme="majorBidi" w:cstheme="majorBidi"/>
          <w:sz w:val="20"/>
          <w:szCs w:val="20"/>
        </w:rPr>
        <w:t xml:space="preserve"> and Preclinical.</w:t>
      </w: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Pr="00467C5D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467C5D" w:rsidRPr="00467C5D" w:rsidRDefault="00467C5D" w:rsidP="00467C5D">
      <w:pPr>
        <w:pStyle w:val="Heading2"/>
        <w:spacing w:line="240" w:lineRule="auto"/>
        <w:rPr>
          <w:rFonts w:asciiTheme="majorBidi" w:hAnsiTheme="majorBidi"/>
          <w:color w:val="auto"/>
          <w:sz w:val="20"/>
          <w:szCs w:val="20"/>
        </w:rPr>
      </w:pPr>
      <w:r w:rsidRPr="00467C5D">
        <w:rPr>
          <w:rFonts w:asciiTheme="majorBidi" w:hAnsiTheme="majorBidi"/>
          <w:color w:val="auto"/>
          <w:sz w:val="20"/>
          <w:szCs w:val="20"/>
        </w:rPr>
        <w:lastRenderedPageBreak/>
        <w:t>Appendix Table D. Section D – Binary logistic regression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6"/>
        <w:gridCol w:w="1152"/>
        <w:gridCol w:w="2016"/>
        <w:gridCol w:w="864"/>
        <w:gridCol w:w="864"/>
        <w:gridCol w:w="864"/>
        <w:gridCol w:w="1296"/>
        <w:gridCol w:w="1008"/>
      </w:tblGrid>
      <w:tr w:rsidR="00467C5D" w:rsidRPr="00467C5D" w:rsidTr="005B0036">
        <w:tc>
          <w:tcPr>
            <w:tcW w:w="345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Outcome</w:t>
            </w:r>
          </w:p>
        </w:tc>
        <w:tc>
          <w:tcPr>
            <w:tcW w:w="1152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Event coded</w:t>
            </w:r>
          </w:p>
        </w:tc>
        <w:tc>
          <w:tcPr>
            <w:tcW w:w="201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Predictor (reference)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β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SE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95% CI</w:t>
            </w:r>
          </w:p>
        </w:tc>
        <w:tc>
          <w:tcPr>
            <w:tcW w:w="100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D1. Main platform Instagram (vs other)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0.119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0.356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1.13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0.56–2.26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0.739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D1. Main platform Instagram (vs other)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-0.011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0.333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0.52–1.90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0.973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D2. Viewed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content ≥ sometimes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0.383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0.576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0.47–4.54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0.506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D2. Viewed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content ≥ sometimes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1.291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0.566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3.63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1.20–11.03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0.023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D3. Moderate–very strong SM influence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-0.066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0.50–1.74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0.836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D3. Moderate–very strong SM influence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-0.105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0.51–1.59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0.718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D4. Considered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procedure due to SM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-0.021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0.288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0.56–1.72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0.942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D4. Considered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procedure due to SM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0.78–2.20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0.312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D5. Searched tutorials due to SM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0.71–2.22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0.428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D5. Searched tutorials due to SM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0.578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1.78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1.06–3.00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D6. SM outcomes judged not achievable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Not achievable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0.357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1.43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0.77–2.64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0.254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D6. SM outcomes judged not achievable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Not achievable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1.028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1.56–5.01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D7. SM trends affect expectations ≥ moderate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0.152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0.304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0.64–2.11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0.616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D7. SM trends affect expectations ≥ moderate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-0.614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0.30–0.96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0.036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D8. Want more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emphasis in education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0.352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1.88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0.94–3.74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0.073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D8. Want more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emphasis in education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-0.559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0.28–1.18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0.131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D9. Trust SM content ≥ moderate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-0.143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0.41–1.82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0.706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D9. Trust SM content ≥ moderate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-0.431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0.346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0.65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0.33–1.28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0.213</w:t>
            </w:r>
          </w:p>
        </w:tc>
      </w:tr>
    </w:tbl>
    <w:p w:rsid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sz w:val="20"/>
          <w:szCs w:val="20"/>
        </w:rPr>
        <w:t xml:space="preserve">Notes (D): D2 was dichotomized as sometimes/often/very often vs rarely/never. D3, D7, and D9 were dichotomized as ≥ moderate vs lower categories. For D6, the modeled event was </w:t>
      </w:r>
      <w:proofErr w:type="gramStart"/>
      <w:r w:rsidRPr="00467C5D">
        <w:rPr>
          <w:rFonts w:asciiTheme="majorBidi" w:hAnsiTheme="majorBidi" w:cstheme="majorBidi"/>
          <w:sz w:val="20"/>
          <w:szCs w:val="20"/>
        </w:rPr>
        <w:t>Not</w:t>
      </w:r>
      <w:proofErr w:type="gramEnd"/>
      <w:r w:rsidRPr="00467C5D">
        <w:rPr>
          <w:rFonts w:asciiTheme="majorBidi" w:hAnsiTheme="majorBidi" w:cstheme="majorBidi"/>
          <w:sz w:val="20"/>
          <w:szCs w:val="20"/>
        </w:rPr>
        <w:t xml:space="preserve"> achievable (coded 1).</w:t>
      </w:r>
    </w:p>
    <w:p w:rsidR="005B0036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5B0036" w:rsidRPr="00467C5D" w:rsidRDefault="005B0036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467C5D" w:rsidRPr="00467C5D" w:rsidRDefault="00467C5D" w:rsidP="00467C5D">
      <w:pPr>
        <w:pStyle w:val="Heading2"/>
        <w:spacing w:line="240" w:lineRule="auto"/>
        <w:rPr>
          <w:rFonts w:asciiTheme="majorBidi" w:hAnsiTheme="majorBidi"/>
          <w:color w:val="auto"/>
          <w:sz w:val="20"/>
          <w:szCs w:val="20"/>
        </w:rPr>
      </w:pPr>
      <w:r w:rsidRPr="00467C5D">
        <w:rPr>
          <w:rFonts w:asciiTheme="majorBidi" w:hAnsiTheme="majorBidi"/>
          <w:color w:val="auto"/>
          <w:sz w:val="20"/>
          <w:szCs w:val="20"/>
        </w:rPr>
        <w:lastRenderedPageBreak/>
        <w:t>Appendix Table E. Section E – Binary logistic regression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6"/>
        <w:gridCol w:w="1152"/>
        <w:gridCol w:w="2016"/>
        <w:gridCol w:w="864"/>
        <w:gridCol w:w="864"/>
        <w:gridCol w:w="864"/>
        <w:gridCol w:w="1296"/>
        <w:gridCol w:w="1008"/>
      </w:tblGrid>
      <w:tr w:rsidR="00467C5D" w:rsidRPr="00467C5D" w:rsidTr="005B0036">
        <w:tc>
          <w:tcPr>
            <w:tcW w:w="345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Outcome</w:t>
            </w:r>
          </w:p>
        </w:tc>
        <w:tc>
          <w:tcPr>
            <w:tcW w:w="1152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Event coded</w:t>
            </w:r>
          </w:p>
        </w:tc>
        <w:tc>
          <w:tcPr>
            <w:tcW w:w="201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Predictor (reference)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β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SE</w:t>
            </w:r>
          </w:p>
        </w:tc>
        <w:tc>
          <w:tcPr>
            <w:tcW w:w="864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96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95% CI</w:t>
            </w:r>
          </w:p>
        </w:tc>
        <w:tc>
          <w:tcPr>
            <w:tcW w:w="1008" w:type="dxa"/>
            <w:shd w:val="clear" w:color="auto" w:fill="auto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E1. Dentist smile influences patient trust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0.464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0.746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1.59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0.37–6.87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0.534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E1. Dentist smile influences patient trust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-0.599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0.828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0.55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0.11–2.79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0.469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E2. Would undergo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 for professional image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0.289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1.07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0.60–1.88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0.826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 xml:space="preserve">E2. Would undergo </w:t>
            </w:r>
            <w:r w:rsidR="00A670DE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467C5D">
              <w:rPr>
                <w:rFonts w:asciiTheme="majorBidi" w:hAnsiTheme="majorBidi" w:cstheme="majorBidi"/>
                <w:sz w:val="20"/>
                <w:szCs w:val="20"/>
              </w:rPr>
              <w:t>esthetic treatment for professional image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-0.171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0.50–1.42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0.522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E6. Would undergo treatment if cost not a barrier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0.389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0.83–2.61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0.181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E6. Would undergo treatment if cost not a barrier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0.145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0.265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0.69–1.94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0.584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E3. Asked opinions on ideal smiles ≥ sometimes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-0.02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0.326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0.52–1.86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0.952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E3. Asked opinions on ideal smiles ≥ sometimes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0.701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2.02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1.14–3.56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0.016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E4. Confidence explaining feasible outcomes vs enhanced presentation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Female vs Male (Male)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0.127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0.318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1.14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0.61–2.12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</w:tr>
      <w:tr w:rsidR="00467C5D" w:rsidRPr="00467C5D" w:rsidTr="00D8350C">
        <w:tc>
          <w:tcPr>
            <w:tcW w:w="345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E4. Confidence explaining feasible outcomes vs enhanced presentation</w:t>
            </w:r>
          </w:p>
        </w:tc>
        <w:tc>
          <w:tcPr>
            <w:tcW w:w="1152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201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Clinical vs Preclinical (Preclinical)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0.633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0.288</w:t>
            </w:r>
          </w:p>
        </w:tc>
        <w:tc>
          <w:tcPr>
            <w:tcW w:w="864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1.88</w:t>
            </w:r>
          </w:p>
        </w:tc>
        <w:tc>
          <w:tcPr>
            <w:tcW w:w="1296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1.07–3.31</w:t>
            </w:r>
          </w:p>
        </w:tc>
        <w:tc>
          <w:tcPr>
            <w:tcW w:w="1008" w:type="dxa"/>
          </w:tcPr>
          <w:p w:rsidR="00467C5D" w:rsidRPr="00467C5D" w:rsidRDefault="00467C5D" w:rsidP="00467C5D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467C5D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</w:tr>
    </w:tbl>
    <w:p w:rsidR="00467C5D" w:rsidRPr="00467C5D" w:rsidRDefault="00467C5D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467C5D">
        <w:rPr>
          <w:rFonts w:asciiTheme="majorBidi" w:hAnsiTheme="majorBidi" w:cstheme="majorBidi"/>
          <w:sz w:val="20"/>
          <w:szCs w:val="20"/>
        </w:rPr>
        <w:t xml:space="preserve">Notes (E): E3 was dichotomized as ≥ sometimes vs never/rarely. Reference categories were </w:t>
      </w:r>
      <w:proofErr w:type="gramStart"/>
      <w:r w:rsidRPr="00467C5D">
        <w:rPr>
          <w:rFonts w:asciiTheme="majorBidi" w:hAnsiTheme="majorBidi" w:cstheme="majorBidi"/>
          <w:sz w:val="20"/>
          <w:szCs w:val="20"/>
        </w:rPr>
        <w:t>Male</w:t>
      </w:r>
      <w:proofErr w:type="gramEnd"/>
      <w:r w:rsidRPr="00467C5D">
        <w:rPr>
          <w:rFonts w:asciiTheme="majorBidi" w:hAnsiTheme="majorBidi" w:cstheme="majorBidi"/>
          <w:sz w:val="20"/>
          <w:szCs w:val="20"/>
        </w:rPr>
        <w:t xml:space="preserve"> and Preclinical.</w:t>
      </w:r>
    </w:p>
    <w:p w:rsidR="00D61764" w:rsidRPr="00467C5D" w:rsidRDefault="00D61764" w:rsidP="00467C5D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sectPr w:rsidR="00D61764" w:rsidRPr="00467C5D" w:rsidSect="00034616"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C5D"/>
    <w:rsid w:val="00467C5D"/>
    <w:rsid w:val="005B0036"/>
    <w:rsid w:val="009527B6"/>
    <w:rsid w:val="00A670DE"/>
    <w:rsid w:val="00D6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8A0E84"/>
  <w15:chartTrackingRefBased/>
  <w15:docId w15:val="{956BCB53-8247-4F27-8F0F-0FBCCDE7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C5D"/>
    <w:pPr>
      <w:spacing w:after="200" w:line="276" w:lineRule="auto"/>
    </w:pPr>
    <w:rPr>
      <w:rFonts w:ascii="Calibri" w:eastAsiaTheme="minorEastAsia" w:hAnsi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7C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7C5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leGrid">
    <w:name w:val="Table Grid"/>
    <w:basedOn w:val="TableNormal"/>
    <w:uiPriority w:val="59"/>
    <w:rsid w:val="00467C5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2026-02-15T10:05:00Z</dcterms:created>
  <dcterms:modified xsi:type="dcterms:W3CDTF">2026-02-23T12:40:00Z</dcterms:modified>
</cp:coreProperties>
</file>