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C2BEA" w14:textId="0261BA9E" w:rsidR="00B23D0E" w:rsidRDefault="00B23D0E" w:rsidP="00B23D0E">
      <w:pPr>
        <w:spacing w:line="480" w:lineRule="auto"/>
        <w:jc w:val="both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>SUPPLEMENTARY FIGURE AND TABLE LEGENDS</w:t>
      </w:r>
    </w:p>
    <w:p w14:paraId="4AE5BC48" w14:textId="7A40E2FC" w:rsidR="00B23D0E" w:rsidRDefault="00B23D0E" w:rsidP="00B23D0E">
      <w:pPr>
        <w:spacing w:line="480" w:lineRule="auto"/>
        <w:jc w:val="both"/>
        <w:rPr>
          <w:rFonts w:ascii="Arial" w:hAnsi="Arial" w:cs="Arial"/>
          <w:lang w:val="en-CA"/>
        </w:rPr>
      </w:pPr>
      <w:r w:rsidRPr="0044456E">
        <w:rPr>
          <w:rFonts w:ascii="Arial" w:hAnsi="Arial" w:cs="Arial"/>
          <w:b/>
          <w:lang w:val="en-CA"/>
        </w:rPr>
        <w:t>Figure S1. Gene and miRNA expression profile of PV and ET CD34+ cells. (</w:t>
      </w:r>
      <w:r w:rsidRPr="0044456E">
        <w:rPr>
          <w:rFonts w:ascii="Arial" w:hAnsi="Arial" w:cs="Arial"/>
          <w:lang w:val="en-CA"/>
        </w:rPr>
        <w:t xml:space="preserve">A-B) Principal component analysis (PCA) on gene and miRNA expression microarray data. The PCA graph of global gene expression (A) and miRNA expression data (B) were computed using </w:t>
      </w:r>
      <w:proofErr w:type="spellStart"/>
      <w:r w:rsidRPr="0044456E">
        <w:rPr>
          <w:rFonts w:ascii="Arial" w:hAnsi="Arial" w:cs="Arial"/>
          <w:lang w:val="en-CA"/>
        </w:rPr>
        <w:t>Partek</w:t>
      </w:r>
      <w:proofErr w:type="spellEnd"/>
      <w:r w:rsidRPr="0044456E">
        <w:rPr>
          <w:rFonts w:ascii="Arial" w:hAnsi="Arial" w:cs="Arial"/>
          <w:lang w:val="en-CA"/>
        </w:rPr>
        <w:t xml:space="preserve"> GS, version 6.6. BM control samples are shown as red spheres; ET samples are shown in blue; PV samples are shown in green. (C-D) Gene Set Enrichment Analysis (GSEA) using the gene sets lists of increased (482) and decreased (326) gene </w:t>
      </w:r>
      <w:proofErr w:type="spellStart"/>
      <w:r w:rsidRPr="0044456E">
        <w:rPr>
          <w:rFonts w:ascii="Arial" w:hAnsi="Arial" w:cs="Arial"/>
          <w:lang w:val="en-CA"/>
        </w:rPr>
        <w:t>probesets</w:t>
      </w:r>
      <w:proofErr w:type="spellEnd"/>
      <w:r w:rsidRPr="0044456E">
        <w:rPr>
          <w:rFonts w:ascii="Arial" w:hAnsi="Arial" w:cs="Arial"/>
          <w:lang w:val="en-CA"/>
        </w:rPr>
        <w:t xml:space="preserve"> in the pairwise comparison ET versus BM CTR. The samples analyzed are: PV (n=26) and BM CTR (n=15). The normalized enrichment score (NES), and the false discovery rates (FDR) are indicated for each gene set. (E-F) Gene Set Enrichment Analysis (GSEA) using the gene sets lists of increased (448) and decreased (264) gene </w:t>
      </w:r>
      <w:proofErr w:type="spellStart"/>
      <w:r w:rsidRPr="0044456E">
        <w:rPr>
          <w:rFonts w:ascii="Arial" w:hAnsi="Arial" w:cs="Arial"/>
          <w:lang w:val="en-CA"/>
        </w:rPr>
        <w:t>probesets</w:t>
      </w:r>
      <w:proofErr w:type="spellEnd"/>
      <w:r w:rsidRPr="0044456E">
        <w:rPr>
          <w:rFonts w:ascii="Arial" w:hAnsi="Arial" w:cs="Arial"/>
          <w:lang w:val="en-CA"/>
        </w:rPr>
        <w:t xml:space="preserve"> in the pairwise comparison PV versus BM CTR. The samples analyzed are: ET (n=24) and BM CTR (n=15). The normalized enrichment score (NES), and the false discovery rates (FDR) are indicated for each gene set.</w:t>
      </w:r>
    </w:p>
    <w:p w14:paraId="2650E878" w14:textId="77777777" w:rsidR="0068689E" w:rsidRPr="0068689E" w:rsidRDefault="0068689E" w:rsidP="00B23D0E">
      <w:pPr>
        <w:spacing w:line="480" w:lineRule="auto"/>
        <w:jc w:val="both"/>
        <w:rPr>
          <w:rFonts w:ascii="Arial" w:hAnsi="Arial" w:cs="Arial"/>
          <w:lang w:val="en-CA"/>
        </w:rPr>
      </w:pPr>
    </w:p>
    <w:p w14:paraId="6A74F6A9" w14:textId="77777777" w:rsidR="00B23D0E" w:rsidRDefault="00B23D0E" w:rsidP="00B23D0E">
      <w:pPr>
        <w:spacing w:line="480" w:lineRule="auto"/>
        <w:jc w:val="both"/>
        <w:rPr>
          <w:rFonts w:ascii="Arial" w:hAnsi="Arial" w:cs="Arial"/>
          <w:lang w:val="en-CA"/>
        </w:rPr>
      </w:pPr>
      <w:r w:rsidRPr="0044456E">
        <w:rPr>
          <w:rFonts w:ascii="Arial" w:hAnsi="Arial" w:cs="Arial"/>
          <w:b/>
          <w:lang w:val="en-CA"/>
        </w:rPr>
        <w:t xml:space="preserve">Figure S2. </w:t>
      </w:r>
      <w:r w:rsidRPr="0044456E">
        <w:rPr>
          <w:rFonts w:ascii="Arial" w:hAnsi="Arial" w:cs="Arial"/>
          <w:b/>
          <w:lang w:val="en-US"/>
        </w:rPr>
        <w:t xml:space="preserve">Regulatory networks showing the predicted mRNA-miRNA interactions identified by </w:t>
      </w:r>
      <w:r w:rsidRPr="0044456E">
        <w:rPr>
          <w:rFonts w:ascii="Arial" w:hAnsi="Arial" w:cs="Arial"/>
          <w:b/>
          <w:lang w:val="en-CA"/>
        </w:rPr>
        <w:t>IPA's miRNA Target Filter.</w:t>
      </w:r>
      <w:r w:rsidRPr="0044456E">
        <w:rPr>
          <w:rFonts w:ascii="Arial" w:hAnsi="Arial" w:cs="Arial"/>
          <w:lang w:val="en-CA"/>
        </w:rPr>
        <w:t xml:space="preserve"> Regulatory networks of mRNA-miRNA interactions related to (A) chromatin remodeling (B) </w:t>
      </w:r>
      <w:proofErr w:type="spellStart"/>
      <w:r w:rsidRPr="0044456E">
        <w:rPr>
          <w:rFonts w:ascii="Arial" w:hAnsi="Arial" w:cs="Arial"/>
          <w:lang w:val="en-CA"/>
        </w:rPr>
        <w:t>cohesin</w:t>
      </w:r>
      <w:proofErr w:type="spellEnd"/>
      <w:r w:rsidRPr="0044456E">
        <w:rPr>
          <w:rFonts w:ascii="Arial" w:hAnsi="Arial" w:cs="Arial"/>
          <w:lang w:val="en-CA"/>
        </w:rPr>
        <w:t xml:space="preserve"> complex (C) splicing factors. Green and red colors indicate genes/miRNA down- and upregulated, respectively, in the pairwise comparison CALR-mutated versus JAK2V617F-positive ET.</w:t>
      </w:r>
    </w:p>
    <w:p w14:paraId="737688FE" w14:textId="77777777" w:rsidR="0068689E" w:rsidRDefault="0068689E" w:rsidP="00B23D0E">
      <w:pPr>
        <w:spacing w:line="480" w:lineRule="auto"/>
        <w:jc w:val="both"/>
        <w:rPr>
          <w:rFonts w:ascii="Arial" w:hAnsi="Arial" w:cs="Arial"/>
          <w:lang w:val="en-CA"/>
        </w:rPr>
      </w:pPr>
    </w:p>
    <w:p w14:paraId="4E82743A" w14:textId="77777777" w:rsidR="0068689E" w:rsidRPr="0044456E" w:rsidRDefault="0068689E" w:rsidP="0068689E">
      <w:pPr>
        <w:spacing w:line="480" w:lineRule="auto"/>
        <w:jc w:val="both"/>
        <w:rPr>
          <w:rFonts w:ascii="Arial" w:hAnsi="Arial" w:cs="Arial"/>
          <w:b/>
          <w:lang w:val="en-CA"/>
        </w:rPr>
      </w:pPr>
    </w:p>
    <w:p w14:paraId="7DB1B979" w14:textId="77777777" w:rsidR="0068689E" w:rsidRPr="0044456E" w:rsidRDefault="0068689E" w:rsidP="0068689E">
      <w:pPr>
        <w:spacing w:line="480" w:lineRule="auto"/>
        <w:jc w:val="both"/>
        <w:rPr>
          <w:rFonts w:ascii="Arial" w:hAnsi="Arial" w:cs="Arial"/>
          <w:b/>
          <w:lang w:val="en-CA"/>
        </w:rPr>
      </w:pPr>
      <w:r w:rsidRPr="0044456E">
        <w:rPr>
          <w:rFonts w:ascii="Arial" w:hAnsi="Arial" w:cs="Arial"/>
          <w:b/>
          <w:lang w:val="en-CA"/>
        </w:rPr>
        <w:lastRenderedPageBreak/>
        <w:t>Table S</w:t>
      </w:r>
      <w:r>
        <w:rPr>
          <w:rFonts w:ascii="Arial" w:hAnsi="Arial" w:cs="Arial"/>
          <w:b/>
          <w:lang w:val="en-CA"/>
        </w:rPr>
        <w:t>1</w:t>
      </w:r>
      <w:r w:rsidRPr="0044456E">
        <w:rPr>
          <w:rFonts w:ascii="Arial" w:hAnsi="Arial" w:cs="Arial"/>
          <w:b/>
          <w:lang w:val="en-CA"/>
        </w:rPr>
        <w:t>. DEG in the pairwise comparison CALR-mutated vs JAK2V617F-positive ET</w:t>
      </w:r>
    </w:p>
    <w:p w14:paraId="08F30503" w14:textId="77777777" w:rsidR="0068689E" w:rsidRDefault="0068689E" w:rsidP="0068689E">
      <w:pPr>
        <w:spacing w:line="480" w:lineRule="auto"/>
        <w:jc w:val="both"/>
        <w:rPr>
          <w:rFonts w:ascii="Arial" w:hAnsi="Arial" w:cs="Arial"/>
          <w:b/>
          <w:lang w:val="en-CA"/>
        </w:rPr>
      </w:pPr>
    </w:p>
    <w:p w14:paraId="26254015" w14:textId="77777777" w:rsidR="0068689E" w:rsidRPr="0044456E" w:rsidRDefault="0068689E" w:rsidP="0068689E">
      <w:pPr>
        <w:spacing w:line="480" w:lineRule="auto"/>
        <w:jc w:val="both"/>
        <w:rPr>
          <w:rFonts w:ascii="Arial" w:hAnsi="Arial" w:cs="Arial"/>
          <w:b/>
          <w:lang w:val="en-CA"/>
        </w:rPr>
      </w:pPr>
      <w:r w:rsidRPr="0044456E">
        <w:rPr>
          <w:rFonts w:ascii="Arial" w:hAnsi="Arial" w:cs="Arial"/>
          <w:b/>
          <w:lang w:val="en-CA"/>
        </w:rPr>
        <w:t>Table S</w:t>
      </w:r>
      <w:r>
        <w:rPr>
          <w:rFonts w:ascii="Arial" w:hAnsi="Arial" w:cs="Arial"/>
          <w:b/>
          <w:lang w:val="en-CA"/>
        </w:rPr>
        <w:t>2</w:t>
      </w:r>
      <w:r w:rsidRPr="0044456E">
        <w:rPr>
          <w:rFonts w:ascii="Arial" w:hAnsi="Arial" w:cs="Arial"/>
          <w:b/>
          <w:lang w:val="en-CA"/>
        </w:rPr>
        <w:t>. DEM in the pairwise comparison CALR-mutated vs JAK2V617F-positive ET</w:t>
      </w:r>
    </w:p>
    <w:p w14:paraId="6E13E727" w14:textId="77777777" w:rsidR="0068689E" w:rsidRDefault="0068689E" w:rsidP="0068689E">
      <w:pPr>
        <w:spacing w:line="480" w:lineRule="auto"/>
        <w:jc w:val="both"/>
        <w:rPr>
          <w:rFonts w:ascii="Arial" w:hAnsi="Arial" w:cs="Arial"/>
          <w:b/>
          <w:lang w:val="en-CA"/>
        </w:rPr>
      </w:pPr>
      <w:bookmarkStart w:id="0" w:name="_GoBack"/>
      <w:bookmarkEnd w:id="0"/>
    </w:p>
    <w:p w14:paraId="7E183978" w14:textId="77777777" w:rsidR="0068689E" w:rsidRDefault="0068689E" w:rsidP="0068689E">
      <w:pPr>
        <w:spacing w:line="480" w:lineRule="auto"/>
        <w:jc w:val="both"/>
        <w:rPr>
          <w:rFonts w:ascii="Arial" w:hAnsi="Arial" w:cs="Arial"/>
          <w:b/>
          <w:lang w:val="en-CA"/>
        </w:rPr>
      </w:pPr>
      <w:r w:rsidRPr="0044456E">
        <w:rPr>
          <w:rFonts w:ascii="Arial" w:hAnsi="Arial" w:cs="Arial"/>
          <w:b/>
          <w:lang w:val="en-CA"/>
        </w:rPr>
        <w:t>Table S</w:t>
      </w:r>
      <w:r>
        <w:rPr>
          <w:rFonts w:ascii="Arial" w:hAnsi="Arial" w:cs="Arial"/>
          <w:b/>
          <w:lang w:val="en-CA"/>
        </w:rPr>
        <w:t>3</w:t>
      </w:r>
      <w:r w:rsidRPr="0044456E">
        <w:rPr>
          <w:rFonts w:ascii="Arial" w:hAnsi="Arial" w:cs="Arial"/>
          <w:b/>
          <w:lang w:val="en-CA"/>
        </w:rPr>
        <w:t>. Clinical correlations between hematological parameters and gene expression</w:t>
      </w:r>
    </w:p>
    <w:p w14:paraId="25726B71" w14:textId="77777777" w:rsidR="0068689E" w:rsidRPr="0068689E" w:rsidRDefault="0068689E" w:rsidP="00B23D0E">
      <w:pPr>
        <w:spacing w:line="480" w:lineRule="auto"/>
        <w:jc w:val="both"/>
        <w:rPr>
          <w:rFonts w:ascii="Arial" w:hAnsi="Arial" w:cs="Arial"/>
          <w:lang w:val="en-CA"/>
        </w:rPr>
      </w:pPr>
    </w:p>
    <w:p w14:paraId="2427AFCD" w14:textId="77777777" w:rsidR="00D13F85" w:rsidRPr="00B23D0E" w:rsidRDefault="00D13F85">
      <w:pPr>
        <w:rPr>
          <w:lang w:val="en-CA"/>
        </w:rPr>
      </w:pPr>
    </w:p>
    <w:sectPr w:rsidR="00D13F85" w:rsidRPr="00B23D0E" w:rsidSect="00F508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7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0E"/>
    <w:rsid w:val="0068689E"/>
    <w:rsid w:val="00881682"/>
    <w:rsid w:val="00B23D0E"/>
    <w:rsid w:val="00D13F85"/>
    <w:rsid w:val="00F5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07BF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3D0E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1466</Characters>
  <Application>Microsoft Macintosh Word</Application>
  <DocSecurity>0</DocSecurity>
  <Lines>12</Lines>
  <Paragraphs>3</Paragraphs>
  <ScaleCrop>false</ScaleCrop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Manfredini</dc:creator>
  <cp:keywords/>
  <dc:description/>
  <cp:lastModifiedBy>Rossella Manfredini</cp:lastModifiedBy>
  <cp:revision>2</cp:revision>
  <dcterms:created xsi:type="dcterms:W3CDTF">2017-08-31T13:29:00Z</dcterms:created>
  <dcterms:modified xsi:type="dcterms:W3CDTF">2017-08-31T13:39:00Z</dcterms:modified>
</cp:coreProperties>
</file>