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5D383" w14:textId="40921A5D" w:rsidR="009B49E1" w:rsidRPr="00856E33" w:rsidRDefault="00716E0A">
      <w:pPr>
        <w:rPr>
          <w:lang w:val="en-US"/>
        </w:rPr>
      </w:pPr>
      <w:r>
        <w:rPr>
          <w:lang w:val="en-US"/>
        </w:rPr>
        <w:t>Supplementary Information</w:t>
      </w:r>
    </w:p>
    <w:p w14:paraId="5DE009B3" w14:textId="6DD27CA6" w:rsidR="00856E33" w:rsidRDefault="00856E33">
      <w:pPr>
        <w:rPr>
          <w:u w:val="single"/>
          <w:lang w:val="en-US"/>
        </w:rPr>
      </w:pPr>
      <w:r w:rsidRPr="0044742C">
        <w:rPr>
          <w:u w:val="single"/>
          <w:lang w:val="en-US"/>
        </w:rPr>
        <w:t>Supplemental material and methods</w:t>
      </w:r>
    </w:p>
    <w:p w14:paraId="3F04EB75" w14:textId="62130DDB" w:rsidR="004610D7" w:rsidRPr="0044742C" w:rsidRDefault="004610D7">
      <w:pPr>
        <w:rPr>
          <w:u w:val="single"/>
          <w:lang w:val="en-US"/>
        </w:rPr>
      </w:pPr>
      <w:r>
        <w:rPr>
          <w:u w:val="single"/>
          <w:lang w:val="en-US"/>
        </w:rPr>
        <w:t>Cell lines</w:t>
      </w:r>
    </w:p>
    <w:p w14:paraId="1A8006F5" w14:textId="77777777" w:rsidR="00F025F9" w:rsidRDefault="00F025F9" w:rsidP="00F025F9">
      <w:pPr>
        <w:spacing w:line="480" w:lineRule="auto"/>
        <w:jc w:val="both"/>
        <w:rPr>
          <w:lang w:val="en-US"/>
        </w:rPr>
      </w:pPr>
      <w:r w:rsidRPr="00F025F9">
        <w:rPr>
          <w:lang w:val="en-US"/>
        </w:rPr>
        <w:t xml:space="preserve">The murine MM cell line 5TGM1 (kindly provided by dr. Kay </w:t>
      </w:r>
      <w:proofErr w:type="spellStart"/>
      <w:r w:rsidRPr="00F025F9">
        <w:rPr>
          <w:lang w:val="en-US"/>
        </w:rPr>
        <w:t>Oyajobi</w:t>
      </w:r>
      <w:proofErr w:type="spellEnd"/>
      <w:r w:rsidRPr="00F025F9">
        <w:rPr>
          <w:lang w:val="en-US"/>
        </w:rPr>
        <w:t>, Vanderbilt University, Nashville, TN, USA) was cultured in RPMI-1640 (Lonza, Basel, Switzerland) supplemented with 10% fetal bovine serum (FBS) (</w:t>
      </w:r>
      <w:proofErr w:type="spellStart"/>
      <w:r w:rsidRPr="00F025F9">
        <w:rPr>
          <w:lang w:val="en-US"/>
        </w:rPr>
        <w:t>Hycone</w:t>
      </w:r>
      <w:proofErr w:type="spellEnd"/>
      <w:r w:rsidRPr="00F025F9">
        <w:rPr>
          <w:lang w:val="en-US"/>
        </w:rPr>
        <w:t>, Logan, UT, USA), 2mM L-glutamine, 1mM sodium pyruvate and 1% penicillin/streptomycin (</w:t>
      </w:r>
      <w:proofErr w:type="spellStart"/>
      <w:r w:rsidRPr="00F025F9">
        <w:rPr>
          <w:lang w:val="en-US"/>
        </w:rPr>
        <w:t>Thermo</w:t>
      </w:r>
      <w:proofErr w:type="spellEnd"/>
      <w:r w:rsidRPr="00F025F9">
        <w:rPr>
          <w:lang w:val="en-US"/>
        </w:rPr>
        <w:t xml:space="preserve"> Fisher Scientific, Waltham, MA, USA) at 37°C in 5% CO</w:t>
      </w:r>
      <w:r w:rsidRPr="00F025F9">
        <w:rPr>
          <w:vertAlign w:val="subscript"/>
          <w:lang w:val="en-US"/>
        </w:rPr>
        <w:t>2</w:t>
      </w:r>
      <w:r w:rsidRPr="00F025F9">
        <w:rPr>
          <w:lang w:val="en-US"/>
        </w:rPr>
        <w:t xml:space="preserve">. </w:t>
      </w:r>
    </w:p>
    <w:p w14:paraId="3FE6A532" w14:textId="2EF539F9" w:rsidR="00F025F9" w:rsidRPr="00F025F9" w:rsidRDefault="00F025F9" w:rsidP="00F025F9">
      <w:pPr>
        <w:spacing w:line="480" w:lineRule="auto"/>
        <w:jc w:val="both"/>
        <w:rPr>
          <w:lang w:val="en-US"/>
        </w:rPr>
      </w:pPr>
      <w:r w:rsidRPr="00F025F9">
        <w:rPr>
          <w:lang w:val="en-US"/>
        </w:rPr>
        <w:t xml:space="preserve">For collection of concentrated conditioned medium, 5TGM1 cells were cultured during 24h in serum-free medium at a density of 2 million / ml. Medium was concentrated 10 times using a 150 </w:t>
      </w:r>
      <w:proofErr w:type="spellStart"/>
      <w:r w:rsidRPr="00F025F9">
        <w:rPr>
          <w:lang w:val="en-US"/>
        </w:rPr>
        <w:t>kD</w:t>
      </w:r>
      <w:proofErr w:type="spellEnd"/>
      <w:r w:rsidRPr="00F025F9">
        <w:rPr>
          <w:lang w:val="en-US"/>
        </w:rPr>
        <w:t xml:space="preserve"> concentrator (</w:t>
      </w:r>
      <w:proofErr w:type="spellStart"/>
      <w:r w:rsidRPr="00F025F9">
        <w:rPr>
          <w:lang w:val="en-US"/>
        </w:rPr>
        <w:t>Thermo</w:t>
      </w:r>
      <w:proofErr w:type="spellEnd"/>
      <w:r w:rsidRPr="00F025F9">
        <w:rPr>
          <w:lang w:val="en-US"/>
        </w:rPr>
        <w:t xml:space="preserve"> Scientific, Waltham, MA, USA) and sterilized using a 0.22 µM pore filter</w:t>
      </w:r>
      <w:r w:rsidR="004F6DA3">
        <w:rPr>
          <w:lang w:val="en-US"/>
        </w:rPr>
        <w:t xml:space="preserve"> (Carl Roth, Karlsruhe, Germany).</w:t>
      </w:r>
      <w:r w:rsidRPr="00F025F9">
        <w:rPr>
          <w:lang w:val="en-US"/>
        </w:rPr>
        <w:t xml:space="preserve"> </w:t>
      </w:r>
    </w:p>
    <w:p w14:paraId="0E5C4376" w14:textId="032E3333" w:rsidR="00F025F9" w:rsidRDefault="00F025F9" w:rsidP="00F025F9">
      <w:pPr>
        <w:spacing w:line="480" w:lineRule="auto"/>
        <w:jc w:val="both"/>
        <w:rPr>
          <w:lang w:val="en-US"/>
        </w:rPr>
      </w:pPr>
      <w:r w:rsidRPr="00F025F9">
        <w:rPr>
          <w:lang w:val="en-US"/>
        </w:rPr>
        <w:t xml:space="preserve">The pre-osteoblast murine cell line MC3T3-E1 was cultured in </w:t>
      </w:r>
      <w:r w:rsidRPr="00F025F9">
        <w:rPr>
          <w:rFonts w:ascii="Times New Roman" w:hAnsi="Times New Roman" w:cs="Times New Roman"/>
          <w:lang w:val="en-US"/>
        </w:rPr>
        <w:t>α</w:t>
      </w:r>
      <w:r w:rsidRPr="00F025F9">
        <w:rPr>
          <w:lang w:val="en-US"/>
        </w:rPr>
        <w:t>MEM medium (</w:t>
      </w:r>
      <w:proofErr w:type="spellStart"/>
      <w:r w:rsidRPr="00F025F9">
        <w:rPr>
          <w:lang w:val="en-US"/>
        </w:rPr>
        <w:t>Thermo</w:t>
      </w:r>
      <w:proofErr w:type="spellEnd"/>
      <w:r w:rsidRPr="00F025F9">
        <w:rPr>
          <w:lang w:val="en-US"/>
        </w:rPr>
        <w:t xml:space="preserve"> Fisher Scientific), supplemented with 10% FBS, 2mM L-glutamine and 1% penicillin/streptomycin (P/S). </w:t>
      </w:r>
    </w:p>
    <w:p w14:paraId="1E6EE3CD" w14:textId="00AADF17" w:rsidR="0005711C" w:rsidRPr="0005711C" w:rsidRDefault="003A6020" w:rsidP="00F025F9">
      <w:pPr>
        <w:spacing w:line="480" w:lineRule="auto"/>
        <w:jc w:val="both"/>
        <w:rPr>
          <w:u w:val="single"/>
          <w:lang w:val="en-US"/>
        </w:rPr>
      </w:pPr>
      <w:r>
        <w:rPr>
          <w:u w:val="single"/>
          <w:lang w:val="en-US"/>
        </w:rPr>
        <w:t xml:space="preserve">EV isolation by </w:t>
      </w:r>
      <w:proofErr w:type="spellStart"/>
      <w:r>
        <w:rPr>
          <w:u w:val="single"/>
          <w:lang w:val="en-US"/>
        </w:rPr>
        <w:t>O</w:t>
      </w:r>
      <w:r w:rsidR="0005711C" w:rsidRPr="0005711C">
        <w:rPr>
          <w:u w:val="single"/>
          <w:lang w:val="en-US"/>
        </w:rPr>
        <w:t>ptiprep</w:t>
      </w:r>
      <w:proofErr w:type="spellEnd"/>
      <w:r w:rsidR="0005711C" w:rsidRPr="0005711C">
        <w:rPr>
          <w:u w:val="single"/>
          <w:lang w:val="en-US"/>
        </w:rPr>
        <w:t xml:space="preserve"> density gradient ultracentrifugation. </w:t>
      </w:r>
    </w:p>
    <w:p w14:paraId="386C2FF2" w14:textId="69C38C47" w:rsidR="0005711C" w:rsidRPr="009B67EA" w:rsidRDefault="0005711C" w:rsidP="0005711C">
      <w:pPr>
        <w:spacing w:line="480" w:lineRule="auto"/>
        <w:jc w:val="both"/>
        <w:rPr>
          <w:color w:val="BF8F00" w:themeColor="accent4" w:themeShade="BF"/>
          <w:lang w:val="en-US"/>
        </w:rPr>
      </w:pPr>
      <w:r>
        <w:rPr>
          <w:lang w:val="en-US"/>
        </w:rPr>
        <w:t>A discontinuous iodixanol gradient was prepared by overlaying solutions of 5, 10, 20 and 40% iodixanol, as previously described.</w:t>
      </w:r>
      <w:r w:rsidR="003A6020">
        <w:rPr>
          <w:lang w:val="en-US"/>
        </w:rPr>
        <w:fldChar w:fldCharType="begin" w:fldLock="1"/>
      </w:r>
      <w:r w:rsidR="003A6020">
        <w:rPr>
          <w:lang w:val="en-US"/>
        </w:rPr>
        <w:instrText>ADDIN CSL_CITATION { "citationItems" : [ { "id" : "ITEM-1", "itemData" : { "DOI" : "10.3402/jev.v3.24858", "ISBN" : "2001-3078 (Electronic)\\r2001-3078 (Linking)", "ISSN" : "20013078", "PMID" : "25317274", "abstract" : "Despite an enormous interest in the role of extracellular vesicles, including exosomes, in cancer and their use as biomarkers for diagnosis, prognosis, drug response and recurrence, there is no consensus on dependable isolation protocols.We provide a comparative evaluation of 4 exosome isolation protocols for their usability, yield and purity, and their impact on downstream omics approaches for biomarker discovery. OptiPrep density gradient centrifugation outperforms ultracentrifugation and ExoQuick and Total Exosome Isolation pre- cipitation in terms of purity, as illustrated by the highest number of CD63-positive nanovesicles, the highest enrichment in exosomal marker proteins and a lack of contaminating proteins such as extracellular Argonaute- 2 complexes. The purest exosome fractions reveal a unique mRNA profile enriched for translation, ribosome, mitochondrion and nuclear lumen function. Our results demonstrate that implementation of high purification techniques is a prerequisite to obtain reliable omics data and identify exosome-specific functions and biomarkers", "author" : [ { "dropping-particle" : "", "family" : "Deun", "given" : "Jan", "non-dropping-particle" : "Van", "parse-names" : false, "suffix" : "" }, { "dropping-particle" : "", "family" : "Mestdagh", "given" : "Pieter", "non-dropping-particle" : "", "parse-names" : false, "suffix" : "" }, { "dropping-particle" : "", "family" : "Sormunen", "given" : "Raija", "non-dropping-particle" : "", "parse-names" : false, "suffix" : "" }, { "dropping-particle" : "", "family" : "Cocquyt", "given" : "Veronique", "non-dropping-particle" : "", "parse-names" : false, "suffix" : "" }, { "dropping-particle" : "", "family" : "Vermaelen", "given" : "Karim", "non-dropping-particle" : "", "parse-names" : false, "suffix" : "" }, { "dropping-particle" : "", "family" : "Vandesompele", "given" : "Jo", "non-dropping-particle" : "", "parse-names" : false, "suffix" : "" }, { "dropping-particle" : "", "family" : "Bracke", "given" : "Marc", "non-dropping-particle" : "", "parse-names" : false, "suffix" : "" }, { "dropping-particle" : "", "family" : "Wever", "given" : "Olivier", "non-dropping-particle" : "De", "parse-names" : false, "suffix" : "" }, { "dropping-particle" : "", "family" : "Hendrix", "given" : "An", "non-dropping-particle" : "", "parse-names" : false, "suffix" : "" } ], "container-title" : "Journal of Extracellular Vesicles", "id" : "ITEM-1", "issue" : "1", "issued" : { "date-parts" : [ [ "2014" ] ] }, "page" : "1-14", "title" : "The impact of disparate isolation methods for extracellular vesicles on downstream RNA profiling", "type" : "article-journal", "volume" : "3" }, "uris" : [ "http://www.mendeley.com/documents/?uuid=be05170e-ea70-41e7-a75e-eac55a298948" ] } ], "mendeley" : { "formattedCitation" : "(1)", "plainTextFormattedCitation" : "(1)", "previouslyFormattedCitation" : "(1)" }, "properties" : { "noteIndex" : 0 }, "schema" : "https://github.com/citation-style-language/schema/raw/master/csl-citation.json" }</w:instrText>
      </w:r>
      <w:r w:rsidR="003A6020">
        <w:rPr>
          <w:lang w:val="en-US"/>
        </w:rPr>
        <w:fldChar w:fldCharType="separate"/>
      </w:r>
      <w:r w:rsidR="003A6020" w:rsidRPr="003A6020">
        <w:rPr>
          <w:noProof/>
          <w:lang w:val="en-US"/>
        </w:rPr>
        <w:t>(1)</w:t>
      </w:r>
      <w:r w:rsidR="003A6020">
        <w:rPr>
          <w:lang w:val="en-US"/>
        </w:rPr>
        <w:fldChar w:fldCharType="end"/>
      </w:r>
    </w:p>
    <w:p w14:paraId="29781E2C" w14:textId="38B99CC6" w:rsidR="0005711C" w:rsidRDefault="0005711C" w:rsidP="0005711C">
      <w:pPr>
        <w:spacing w:line="480" w:lineRule="auto"/>
        <w:jc w:val="both"/>
        <w:rPr>
          <w:lang w:val="en-US"/>
        </w:rPr>
      </w:pPr>
      <w:r w:rsidRPr="00117F8F">
        <w:rPr>
          <w:lang w:val="en-US"/>
        </w:rPr>
        <w:t>The g</w:t>
      </w:r>
      <w:r>
        <w:rPr>
          <w:lang w:val="en-US"/>
        </w:rPr>
        <w:t>rad</w:t>
      </w:r>
      <w:r w:rsidR="004F6DA3">
        <w:rPr>
          <w:lang w:val="en-US"/>
        </w:rPr>
        <w:t>ient was formed by layering 3 ml of 40%, 3 ml</w:t>
      </w:r>
      <w:r>
        <w:rPr>
          <w:lang w:val="en-US"/>
        </w:rPr>
        <w:t xml:space="preserve"> of 20%, 3</w:t>
      </w:r>
      <w:r w:rsidRPr="00117F8F">
        <w:rPr>
          <w:lang w:val="en-US"/>
        </w:rPr>
        <w:t xml:space="preserve"> m</w:t>
      </w:r>
      <w:r w:rsidR="004F6DA3">
        <w:rPr>
          <w:lang w:val="en-US"/>
        </w:rPr>
        <w:t>l</w:t>
      </w:r>
      <w:r w:rsidRPr="00117F8F">
        <w:rPr>
          <w:lang w:val="en-US"/>
        </w:rPr>
        <w:t xml:space="preserve"> of </w:t>
      </w:r>
      <w:r>
        <w:rPr>
          <w:lang w:val="en-US"/>
        </w:rPr>
        <w:t>10% and 2.5</w:t>
      </w:r>
      <w:r w:rsidR="004F6DA3">
        <w:rPr>
          <w:lang w:val="en-US"/>
        </w:rPr>
        <w:t xml:space="preserve"> ml</w:t>
      </w:r>
      <w:r w:rsidRPr="00117F8F">
        <w:rPr>
          <w:lang w:val="en-US"/>
        </w:rPr>
        <w:t xml:space="preserve"> of 5% solution</w:t>
      </w:r>
      <w:r>
        <w:rPr>
          <w:lang w:val="en-US"/>
        </w:rPr>
        <w:t>s on top of each other in a 13.2</w:t>
      </w:r>
      <w:r w:rsidR="004F6DA3">
        <w:rPr>
          <w:lang w:val="en-US"/>
        </w:rPr>
        <w:t xml:space="preserve"> ml</w:t>
      </w:r>
      <w:r w:rsidRPr="00117F8F">
        <w:rPr>
          <w:lang w:val="en-US"/>
        </w:rPr>
        <w:t xml:space="preserve"> open top polyallomer tube (</w:t>
      </w:r>
      <w:r>
        <w:rPr>
          <w:lang w:val="en-US"/>
        </w:rPr>
        <w:t xml:space="preserve">Ref 331372, </w:t>
      </w:r>
      <w:r w:rsidRPr="00117F8F">
        <w:rPr>
          <w:lang w:val="en-US"/>
        </w:rPr>
        <w:t>Beckman Coulter</w:t>
      </w:r>
      <w:r>
        <w:rPr>
          <w:lang w:val="en-US"/>
        </w:rPr>
        <w:t>, Brea, CA, USA</w:t>
      </w:r>
      <w:r w:rsidRPr="00117F8F">
        <w:rPr>
          <w:lang w:val="en-US"/>
        </w:rPr>
        <w:t xml:space="preserve">). </w:t>
      </w:r>
      <w:r>
        <w:rPr>
          <w:lang w:val="en-US"/>
        </w:rPr>
        <w:t xml:space="preserve">500 µl </w:t>
      </w:r>
      <w:r w:rsidRPr="00117F8F">
        <w:rPr>
          <w:lang w:val="en-US"/>
        </w:rPr>
        <w:t>C</w:t>
      </w:r>
      <w:r>
        <w:rPr>
          <w:lang w:val="en-US"/>
        </w:rPr>
        <w:t>C</w:t>
      </w:r>
      <w:r w:rsidRPr="00117F8F">
        <w:rPr>
          <w:lang w:val="en-US"/>
        </w:rPr>
        <w:t>M sample was overlaid onto the top of the gradient which was then centrifuged fo</w:t>
      </w:r>
      <w:r w:rsidR="004F6DA3">
        <w:rPr>
          <w:lang w:val="en-US"/>
        </w:rPr>
        <w:t xml:space="preserve">r 18 hours at 100 </w:t>
      </w:r>
      <w:r>
        <w:rPr>
          <w:lang w:val="en-US"/>
        </w:rPr>
        <w:t xml:space="preserve">000 g and 4°C </w:t>
      </w:r>
      <w:r w:rsidRPr="00117F8F">
        <w:rPr>
          <w:lang w:val="en-US"/>
        </w:rPr>
        <w:t xml:space="preserve">(SW </w:t>
      </w:r>
      <w:r w:rsidRPr="00A83052">
        <w:rPr>
          <w:lang w:val="en-US"/>
        </w:rPr>
        <w:t>41 rotor</w:t>
      </w:r>
      <w:r w:rsidRPr="00117F8F">
        <w:rPr>
          <w:lang w:val="en-US"/>
        </w:rPr>
        <w:t>, Beckman Coulter). Gradient fractions of 1m</w:t>
      </w:r>
      <w:r w:rsidR="004F6DA3">
        <w:rPr>
          <w:lang w:val="en-US"/>
        </w:rPr>
        <w:t>l</w:t>
      </w:r>
      <w:r>
        <w:rPr>
          <w:lang w:val="en-US"/>
        </w:rPr>
        <w:t xml:space="preserve"> </w:t>
      </w:r>
      <w:r w:rsidRPr="00117F8F">
        <w:rPr>
          <w:lang w:val="en-US"/>
        </w:rPr>
        <w:t>were collected from the to</w:t>
      </w:r>
      <w:r>
        <w:rPr>
          <w:lang w:val="en-US"/>
        </w:rPr>
        <w:t>p of the gradient, and fraction 6 and 7 were diluted to 13</w:t>
      </w:r>
      <w:r w:rsidR="004F6DA3">
        <w:rPr>
          <w:lang w:val="en-US"/>
        </w:rPr>
        <w:t xml:space="preserve"> ml</w:t>
      </w:r>
      <w:r w:rsidRPr="00117F8F">
        <w:rPr>
          <w:lang w:val="en-US"/>
        </w:rPr>
        <w:t xml:space="preserve"> in PBS and centrifuged for </w:t>
      </w:r>
      <w:r w:rsidR="004F6DA3">
        <w:rPr>
          <w:lang w:val="en-US"/>
        </w:rPr>
        <w:t xml:space="preserve">3 hours at 100 </w:t>
      </w:r>
      <w:r>
        <w:rPr>
          <w:lang w:val="en-US"/>
        </w:rPr>
        <w:t>000 g and 4°C</w:t>
      </w:r>
      <w:r w:rsidRPr="00117F8F">
        <w:rPr>
          <w:lang w:val="en-US"/>
        </w:rPr>
        <w:t>.</w:t>
      </w:r>
      <w:r>
        <w:rPr>
          <w:lang w:val="en-US"/>
        </w:rPr>
        <w:t xml:space="preserve"> Pellets were resuspended in 50 µl PBS. </w:t>
      </w:r>
    </w:p>
    <w:p w14:paraId="18E9E4C4" w14:textId="77777777" w:rsidR="00F025F9" w:rsidRPr="00567376" w:rsidRDefault="00F025F9" w:rsidP="00F025F9">
      <w:pPr>
        <w:spacing w:line="480" w:lineRule="auto"/>
        <w:jc w:val="both"/>
        <w:rPr>
          <w:lang w:val="en-US"/>
        </w:rPr>
      </w:pPr>
      <w:r w:rsidRPr="00567376">
        <w:rPr>
          <w:u w:val="single"/>
          <w:lang w:val="en-US"/>
        </w:rPr>
        <w:t>Transmission electron microscopy</w:t>
      </w:r>
    </w:p>
    <w:p w14:paraId="5FF9ED0C" w14:textId="6B8E0BAF" w:rsidR="00F025F9" w:rsidRDefault="00F025F9" w:rsidP="00F025F9">
      <w:pPr>
        <w:spacing w:line="480" w:lineRule="auto"/>
        <w:jc w:val="both"/>
        <w:rPr>
          <w:lang w:val="en-US"/>
        </w:rPr>
      </w:pPr>
      <w:r w:rsidRPr="00567376">
        <w:rPr>
          <w:lang w:val="en-US"/>
        </w:rPr>
        <w:lastRenderedPageBreak/>
        <w:t xml:space="preserve">Small EVs were fixed in 2% paraformaldehyde and absorbed to a formvar-carbon coated grid. After adsorption, the grids were transferred to 1% glutaraldehyde, washed 8 times with Milli-Q water and negatively stained with 2% uranyl acetate. The grids were visualized on a </w:t>
      </w:r>
      <w:bookmarkStart w:id="0" w:name="OLE_LINK30"/>
      <w:bookmarkStart w:id="1" w:name="OLE_LINK29"/>
      <w:r w:rsidRPr="00567376">
        <w:rPr>
          <w:lang w:val="en-US"/>
        </w:rPr>
        <w:t>TECNAI 10</w:t>
      </w:r>
      <w:bookmarkEnd w:id="0"/>
      <w:bookmarkEnd w:id="1"/>
      <w:r w:rsidRPr="00567376">
        <w:rPr>
          <w:lang w:val="en-US"/>
        </w:rPr>
        <w:t xml:space="preserve"> transmission electron microscope (</w:t>
      </w:r>
      <w:bookmarkStart w:id="2" w:name="OLE_LINK28"/>
      <w:bookmarkStart w:id="3" w:name="OLE_LINK27"/>
      <w:r w:rsidRPr="00567376">
        <w:rPr>
          <w:lang w:val="en-US"/>
        </w:rPr>
        <w:t>Philips</w:t>
      </w:r>
      <w:bookmarkEnd w:id="2"/>
      <w:bookmarkEnd w:id="3"/>
      <w:r w:rsidRPr="00567376">
        <w:rPr>
          <w:lang w:val="en-US"/>
        </w:rPr>
        <w:t>,</w:t>
      </w:r>
      <w:r w:rsidRPr="00567376">
        <w:rPr>
          <w:sz w:val="20"/>
          <w:lang w:val="en-US"/>
        </w:rPr>
        <w:t xml:space="preserve"> </w:t>
      </w:r>
      <w:r w:rsidRPr="00567376">
        <w:rPr>
          <w:lang w:val="en-US"/>
        </w:rPr>
        <w:t xml:space="preserve">Amsterdam, The Netherlands) at 80kV and the images were captured using </w:t>
      </w:r>
      <w:proofErr w:type="spellStart"/>
      <w:r w:rsidRPr="00567376">
        <w:rPr>
          <w:lang w:val="en-US"/>
        </w:rPr>
        <w:t>iTEM</w:t>
      </w:r>
      <w:proofErr w:type="spellEnd"/>
      <w:r w:rsidRPr="00567376">
        <w:rPr>
          <w:lang w:val="en-US"/>
        </w:rPr>
        <w:t xml:space="preserve"> software (</w:t>
      </w:r>
      <w:bookmarkStart w:id="4" w:name="OLE_LINK33"/>
      <w:r w:rsidRPr="00567376">
        <w:rPr>
          <w:lang w:val="en-US"/>
        </w:rPr>
        <w:t>Olympus Soft Imaging Solutions</w:t>
      </w:r>
      <w:bookmarkEnd w:id="4"/>
      <w:r w:rsidRPr="00567376">
        <w:rPr>
          <w:lang w:val="en-US"/>
        </w:rPr>
        <w:t>,</w:t>
      </w:r>
      <w:r w:rsidRPr="00567376">
        <w:rPr>
          <w:sz w:val="20"/>
          <w:lang w:val="en-US"/>
        </w:rPr>
        <w:t xml:space="preserve"> </w:t>
      </w:r>
      <w:r w:rsidRPr="00567376">
        <w:rPr>
          <w:lang w:val="en-US"/>
        </w:rPr>
        <w:t xml:space="preserve">Münster, Germany). </w:t>
      </w:r>
    </w:p>
    <w:p w14:paraId="7DD1B0A1" w14:textId="77777777" w:rsidR="009D75A2" w:rsidRPr="00121767" w:rsidRDefault="009D75A2" w:rsidP="009D75A2">
      <w:pPr>
        <w:spacing w:line="480" w:lineRule="auto"/>
        <w:jc w:val="both"/>
        <w:rPr>
          <w:lang w:val="en-US"/>
        </w:rPr>
      </w:pPr>
      <w:r w:rsidRPr="00121767">
        <w:rPr>
          <w:u w:val="single"/>
          <w:lang w:val="en-US"/>
        </w:rPr>
        <w:t>Micro-computed tomography</w:t>
      </w:r>
    </w:p>
    <w:p w14:paraId="43633255" w14:textId="03FA2888" w:rsidR="009D75A2" w:rsidRPr="00567376" w:rsidRDefault="009D75A2" w:rsidP="00F025F9">
      <w:pPr>
        <w:spacing w:line="480" w:lineRule="auto"/>
        <w:jc w:val="both"/>
        <w:rPr>
          <w:lang w:val="en-US"/>
        </w:rPr>
      </w:pPr>
      <w:r w:rsidRPr="00121767">
        <w:rPr>
          <w:lang w:val="en-US"/>
        </w:rPr>
        <w:t xml:space="preserve">µCT was performed on distal femurs of mice with the </w:t>
      </w:r>
      <w:proofErr w:type="spellStart"/>
      <w:r w:rsidRPr="00121767">
        <w:rPr>
          <w:lang w:val="en-US"/>
        </w:rPr>
        <w:t>Skyscan</w:t>
      </w:r>
      <w:proofErr w:type="spellEnd"/>
      <w:r w:rsidRPr="00121767">
        <w:rPr>
          <w:lang w:val="en-US"/>
        </w:rPr>
        <w:t xml:space="preserve"> 1172 system (Bruker, </w:t>
      </w:r>
      <w:proofErr w:type="spellStart"/>
      <w:r w:rsidRPr="00121767">
        <w:rPr>
          <w:lang w:val="en-US"/>
        </w:rPr>
        <w:t>Kontich</w:t>
      </w:r>
      <w:proofErr w:type="spellEnd"/>
      <w:r w:rsidRPr="00121767">
        <w:rPr>
          <w:lang w:val="en-US"/>
        </w:rPr>
        <w:t xml:space="preserve">, Belgium as described previously. </w:t>
      </w:r>
      <w:r w:rsidRPr="00121767">
        <w:rPr>
          <w:lang w:val="en-US"/>
        </w:rPr>
        <w:fldChar w:fldCharType="begin" w:fldLock="1"/>
      </w:r>
      <w:r w:rsidR="003A6020">
        <w:rPr>
          <w:lang w:val="en-US"/>
        </w:rPr>
        <w:instrText>ADDIN CSL_CITATION { "citationItems" : [ { "id" : "ITEM-1", "itemData" : { "DOI" : "10.18632/oncotarget.8750", "ISSN" : "1949-2553", "PMID" : "27095574", "abstract" : "Multiple myeloma (MM)-associated osteolytic bone disease is a major cause of morbidity and mortality in MM patients and the development of new therapeutic strategies is of great interest. The proto-oncogene SRC is an attractive target for such a strategy. In the current study, we investigated the effect of treatment with the SRC inhibitor saracatinib (AZD0530) on osteoclast and osteoblast differentiation and function, and on the development of MM and its associated bone disease in the 5TGM.1 and 5T2MM murine MM models. In vitro data showed an inhibitory effect of saracatinib on osteoclast differentiation, polarization and resorptive function. In osteoblasts, collagen deposition and matrix mineralization were affected by saracatinib. MM cell proliferation and tumor burden remained unaltered following saracatinib treatment and we could not detect any synergistic effects with drugs that are part of standard care in MM. We observed a marked reduction of bone loss after treatment of MM-bearing mice with saracatinib as reflected by a restoration of trabecular bone parameters to levels observed in naive control mice. Histomorphometric analyses support that this occurs through an inhibition of bone resorption. In conclusion, these data further establish SRC inhibition as a promising therapeutic approach for the treatment of MM-associated osteolytic bone disease.", "author" : [ { "dropping-particle" : "", "family" : "Heusschen", "given" : "Roy", "non-dropping-particle" : "", "parse-names" : false, "suffix" : "" }, { "dropping-particle" : "", "family" : "Muller", "given" : "Jos\u00e9phine", "non-dropping-particle" : "", "parse-names" : false, "suffix" : "" }, { "dropping-particle" : "", "family" : "Binsfeld", "given" : "Maril\u00e8ne", "non-dropping-particle" : "", "parse-names" : false, "suffix" : "" }, { "dropping-particle" : "", "family" : "Marty", "given" : "Caroline", "non-dropping-particle" : "", "parse-names" : false, "suffix" : "" }, { "dropping-particle" : "", "family" : "Plougonven", "given" : "Erwan", "non-dropping-particle" : "", "parse-names" : false, "suffix" : "" }, { "dropping-particle" : "", "family" : "Dubois", "given" : "Sophie", "non-dropping-particle" : "", "parse-names" : false, "suffix" : "" }, { "dropping-particle" : "", "family" : "Mahli", "given" : "Nadia", "non-dropping-particle" : "", "parse-names" : false, "suffix" : "" }, { "dropping-particle" : "", "family" : "Moermans", "given" : "Karen", "non-dropping-particle" : "", "parse-names" : false, "suffix" : "" }, { "dropping-particle" : "", "family" : "Carmeliet", "given" : "Geert", "non-dropping-particle" : "", "parse-names" : false, "suffix" : "" }, { "dropping-particle" : "", "family" : "L\u00e9onard", "given" : "Ang\u00e9lique", "non-dropping-particle" : "", "parse-names" : false, "suffix" : "" }, { "dropping-particle" : "", "family" : "Baron", "given" : "Fr\u00e9d\u00e9ric", "non-dropping-particle" : "", "parse-names" : false, "suffix" : "" }, { "dropping-particle" : "", "family" : "Beguin", "given" : "Yves", "non-dropping-particle" : "", "parse-names" : false, "suffix" : "" }, { "dropping-particle" : "", "family" : "Menu", "given" : "Eline", "non-dropping-particle" : "", "parse-names" : false, "suffix" : "" }, { "dropping-particle" : "", "family" : "Cohen-Solal", "given" : "Martine", "non-dropping-particle" : "", "parse-names" : false, "suffix" : "" }, { "dropping-particle" : "", "family" : "Caers", "given" : "Jo", "non-dropping-particle" : "", "parse-names" : false, "suffix" : "" } ], "container-title" : "Oncotarget", "id" : "ITEM-1", "issue" : "21", "issued" : { "date-parts" : [ [ "2016" ] ] }, "page" : "30712-29", "title" : "SRC kinase inhibition with saracatinib limits the development of osteolytic bone disease in multiple myeloma.", "type" : "article-journal", "volume" : "7" }, "uris" : [ "http://www.mendeley.com/documents/?uuid=65ab51d3-c4cf-4d78-91fe-a9de7445e7e2" ] } ], "mendeley" : { "formattedCitation" : "(2)", "plainTextFormattedCitation" : "(2)", "previouslyFormattedCitation" : "(2)" }, "properties" : { "noteIndex" : 0 }, "schema" : "https://github.com/citation-style-language/schema/raw/master/csl-citation.json" }</w:instrText>
      </w:r>
      <w:r w:rsidRPr="00121767">
        <w:rPr>
          <w:lang w:val="en-US"/>
        </w:rPr>
        <w:fldChar w:fldCharType="separate"/>
      </w:r>
      <w:r w:rsidR="003A6020" w:rsidRPr="003A6020">
        <w:rPr>
          <w:noProof/>
          <w:lang w:val="en-US"/>
        </w:rPr>
        <w:t>(2)</w:t>
      </w:r>
      <w:r w:rsidRPr="00121767">
        <w:rPr>
          <w:lang w:val="en-US"/>
        </w:rPr>
        <w:fldChar w:fldCharType="end"/>
      </w:r>
      <w:r w:rsidRPr="00121767">
        <w:rPr>
          <w:lang w:val="en-US"/>
        </w:rPr>
        <w:t xml:space="preserve"> 3D models of bones were generated using </w:t>
      </w:r>
      <w:proofErr w:type="spellStart"/>
      <w:r w:rsidRPr="00121767">
        <w:rPr>
          <w:lang w:val="en-US"/>
        </w:rPr>
        <w:t>CTVol</w:t>
      </w:r>
      <w:proofErr w:type="spellEnd"/>
      <w:r w:rsidRPr="00121767">
        <w:rPr>
          <w:lang w:val="en-US"/>
        </w:rPr>
        <w:t xml:space="preserve"> software (Bruker). </w:t>
      </w:r>
    </w:p>
    <w:p w14:paraId="421405E3" w14:textId="77777777" w:rsidR="00F025F9" w:rsidRPr="00567376" w:rsidRDefault="00F025F9" w:rsidP="00F025F9">
      <w:pPr>
        <w:spacing w:line="480" w:lineRule="auto"/>
        <w:jc w:val="both"/>
        <w:rPr>
          <w:u w:val="single"/>
          <w:lang w:val="en-US"/>
        </w:rPr>
      </w:pPr>
      <w:r w:rsidRPr="00567376">
        <w:rPr>
          <w:u w:val="single"/>
          <w:lang w:val="en-US"/>
        </w:rPr>
        <w:t>Western Blotting</w:t>
      </w:r>
    </w:p>
    <w:p w14:paraId="1532B766" w14:textId="77777777" w:rsidR="00F025F9" w:rsidRPr="00567376" w:rsidRDefault="00F025F9" w:rsidP="00F025F9">
      <w:pPr>
        <w:spacing w:line="480" w:lineRule="auto"/>
        <w:jc w:val="both"/>
        <w:rPr>
          <w:lang w:val="en-US"/>
        </w:rPr>
      </w:pPr>
      <w:r w:rsidRPr="00567376">
        <w:rPr>
          <w:lang w:val="en-US"/>
        </w:rPr>
        <w:t xml:space="preserve">MC3T3-E1 were seeded in 6-well plates and differentiated for 14 days using osteogenic medium. After 14 days, medium was replaced with control medium, 5TGM1 conditioned medium or 5TGM1 </w:t>
      </w:r>
      <w:proofErr w:type="spellStart"/>
      <w:r w:rsidRPr="00567376">
        <w:rPr>
          <w:lang w:val="en-US"/>
        </w:rPr>
        <w:t>sEVs</w:t>
      </w:r>
      <w:proofErr w:type="spellEnd"/>
      <w:r w:rsidRPr="00567376">
        <w:rPr>
          <w:lang w:val="en-US"/>
        </w:rPr>
        <w:t xml:space="preserve"> during 48 hours after which cells were lysed in lysis buffer containing 50mM Tris, 150mM </w:t>
      </w:r>
      <w:proofErr w:type="spellStart"/>
      <w:r w:rsidRPr="00567376">
        <w:rPr>
          <w:lang w:val="en-US"/>
        </w:rPr>
        <w:t>NaCl</w:t>
      </w:r>
      <w:proofErr w:type="spellEnd"/>
      <w:r w:rsidRPr="00567376">
        <w:rPr>
          <w:lang w:val="en-US"/>
        </w:rPr>
        <w:t xml:space="preserve">, 1% </w:t>
      </w:r>
      <w:proofErr w:type="spellStart"/>
      <w:r w:rsidRPr="00567376">
        <w:rPr>
          <w:lang w:val="en-US"/>
        </w:rPr>
        <w:t>Nonidet</w:t>
      </w:r>
      <w:proofErr w:type="spellEnd"/>
      <w:r w:rsidRPr="00567376">
        <w:rPr>
          <w:lang w:val="en-US"/>
        </w:rPr>
        <w:t xml:space="preserve"> P40, and 0.25% sodium deoxycholate. The following protease and phosphatase inhibitors were added: 4mM Na3VO4, 1mM Na4P2O7, 2 µg/mL aprotinin, 50 µg/mL leupeptin, 500 µg/mL trypsin inhibitor, 10µMbenzamidine, 2.5mM </w:t>
      </w:r>
      <w:proofErr w:type="spellStart"/>
      <w:r w:rsidRPr="00567376">
        <w:rPr>
          <w:lang w:val="en-US"/>
        </w:rPr>
        <w:t>pnp</w:t>
      </w:r>
      <w:proofErr w:type="spellEnd"/>
      <w:r w:rsidRPr="00567376">
        <w:rPr>
          <w:lang w:val="en-US"/>
        </w:rPr>
        <w:t xml:space="preserve"> benzoate (all from Sigma-Aldrich), 50mM NaF,5mMethylenediaminetetraacetic acid (both from VWR International), 1mM 4-(2-aminoethyl) </w:t>
      </w:r>
      <w:proofErr w:type="spellStart"/>
      <w:r w:rsidRPr="00567376">
        <w:rPr>
          <w:lang w:val="en-US"/>
        </w:rPr>
        <w:t>benzenesulfonyl</w:t>
      </w:r>
      <w:proofErr w:type="spellEnd"/>
      <w:r w:rsidRPr="00567376">
        <w:rPr>
          <w:lang w:val="en-US"/>
        </w:rPr>
        <w:t xml:space="preserve"> fluoride hydrochloride, and 50µg/mL </w:t>
      </w:r>
      <w:proofErr w:type="spellStart"/>
      <w:r w:rsidRPr="00567376">
        <w:rPr>
          <w:lang w:val="en-US"/>
        </w:rPr>
        <w:t>pepstatin</w:t>
      </w:r>
      <w:proofErr w:type="spellEnd"/>
      <w:r w:rsidRPr="00567376">
        <w:rPr>
          <w:lang w:val="en-US"/>
        </w:rPr>
        <w:t xml:space="preserve"> A (both from ICN). </w:t>
      </w:r>
    </w:p>
    <w:p w14:paraId="55B2870A" w14:textId="54DD3EAE" w:rsidR="00F025F9" w:rsidRPr="00567376" w:rsidRDefault="00F025F9" w:rsidP="00F025F9">
      <w:pPr>
        <w:spacing w:line="480" w:lineRule="auto"/>
        <w:jc w:val="both"/>
        <w:rPr>
          <w:lang w:val="en-US"/>
        </w:rPr>
      </w:pPr>
      <w:r w:rsidRPr="00567376">
        <w:rPr>
          <w:lang w:val="en-US"/>
        </w:rPr>
        <w:t xml:space="preserve">Western Blot analysis on these cell lysates was performed as previously described </w:t>
      </w:r>
      <w:r w:rsidRPr="00567376">
        <w:rPr>
          <w:lang w:val="en-US"/>
        </w:rPr>
        <w:fldChar w:fldCharType="begin" w:fldLock="1"/>
      </w:r>
      <w:r w:rsidR="003A6020">
        <w:rPr>
          <w:lang w:val="en-US"/>
        </w:rPr>
        <w:instrText>ADDIN CSL_CITATION { "citationItems" : [ { "id" : "ITEM-1", "itemData" : { "DOI" : "10.1182/blood-2009-07-232801", "ISBN" : "0006-4971", "ISSN" : "00064971", "PMID" : "20086250", "abstract" : "Insulin-like growth factor-1 (IGF-1) is an important growth and survival factor in multiple myeloma (MM). Here, we demonstrate that IGF-1 induces significant down-regulation of the proapoptotic BH3-only protein Bim in MM cells. Reduced Bim levels by RNA interference (RNAi) protected cells from drug-induced cell death. The IGF-1-mediated down-regulation of Bim was the result of (1) reduced transcription by activation of the Akt pathway and inactivation of the transcription factor FoxO3a, (2) increased proteasome-mediated degradation of the Bim extra-long protein by activation of the mitogen-activated protein kinase pathway, and (3) epigenetic regulation of both the Bim and the FoxO3a promoter. Treatment of cells with the histone deacetylase inhibitor LBH589 resulted in a clear up-regulation in the expression of Bim. Furthermore, the methylation inhibitor 5-aza-2'deoxycytidine (decitabine) significantly increased the effects of LBH589. On IGF-1 treatment, the Bim promoter region was found to be unmethylated, whereas chromatin immunoprecipitation analysis of the IGF-1-treated cells showed both a reduced histone H3 tail Lys9 (H3K9) acetylation and an increased H3K9 dimethylation, which contributed actively to its silencing. These data identify a new mechanism in the IGF-1-dependent survival of MM cells and emphasize the need for IGF-1-targeted drug therapy.", "author" : [ { "dropping-particle" : "", "family" : "Bruyne", "given" : "Elke", "non-dropping-particle" : "De", "parse-names" : false, "suffix" : "" }, { "dropping-particle" : "", "family" : "Bos", "given" : "Tomas J.", "non-dropping-particle" : "", "parse-names" : false, "suffix" : "" }, { "dropping-particle" : "", "family" : "Schuit", "given" : "Frans", "non-dropping-particle" : "", "parse-names" : false, "suffix" : "" }, { "dropping-particle" : "", "family" : "Valckenborgh", "given" : "Els", "non-dropping-particle" : "Van", "parse-names" : false, "suffix" : "" }, { "dropping-particle" : "", "family" : "Menu", "given" : "Eline", "non-dropping-particle" : "", "parse-names" : false, "suffix" : "" }, { "dropping-particle" : "", "family" : "Thorrez", "given" : "Lieven", "non-dropping-particle" : "", "parse-names" : false, "suffix" : "" }, { "dropping-particle" : "", "family" : "Atadja", "given" : "Peter", "non-dropping-particle" : "", "parse-names" : false, "suffix" : "" }, { "dropping-particle" : "", "family" : "Jernberg-Wiklund", "given" : "Helena", "non-dropping-particle" : "", "parse-names" : false, "suffix" : "" }, { "dropping-particle" : "", "family" : "Vanderkerken", "given" : "Karin", "non-dropping-particle" : "", "parse-names" : false, "suffix" : "" } ], "container-title" : "Blood", "id" : "ITEM-1", "issue" : "12", "issued" : { "date-parts" : [ [ "2010" ] ] }, "page" : "2430-2440", "title" : "IGF-1 suppresses Bim expression in multiple myeloma via epigenetic and posttranslational mechanisms", "type" : "article-journal", "volume" : "115" }, "uris" : [ "http://www.mendeley.com/documents/?uuid=1ad946c3-dd3c-46fc-855d-00c928bb9b0c" ] } ], "mendeley" : { "formattedCitation" : "(3)", "plainTextFormattedCitation" : "(3)", "previouslyFormattedCitation" : "(3)" }, "properties" : { "noteIndex" : 0 }, "schema" : "https://github.com/citation-style-language/schema/raw/master/csl-citation.json" }</w:instrText>
      </w:r>
      <w:r w:rsidRPr="00567376">
        <w:rPr>
          <w:lang w:val="en-US"/>
        </w:rPr>
        <w:fldChar w:fldCharType="separate"/>
      </w:r>
      <w:r w:rsidR="003A6020" w:rsidRPr="003A6020">
        <w:rPr>
          <w:noProof/>
          <w:lang w:val="en-US"/>
        </w:rPr>
        <w:t>(3)</w:t>
      </w:r>
      <w:r w:rsidRPr="00567376">
        <w:rPr>
          <w:lang w:val="en-US"/>
        </w:rPr>
        <w:fldChar w:fldCharType="end"/>
      </w:r>
      <w:r w:rsidRPr="00567376">
        <w:rPr>
          <w:lang w:val="en-US"/>
        </w:rPr>
        <w:t>. Chemiluminescence was visualized and analyzed using Li-Cor Odyssey Fc (</w:t>
      </w:r>
      <w:proofErr w:type="spellStart"/>
      <w:r w:rsidRPr="00567376">
        <w:rPr>
          <w:lang w:val="en-US"/>
        </w:rPr>
        <w:t>Westburg</w:t>
      </w:r>
      <w:proofErr w:type="spellEnd"/>
      <w:r w:rsidRPr="00567376">
        <w:rPr>
          <w:lang w:val="en-US"/>
        </w:rPr>
        <w:t xml:space="preserve">, </w:t>
      </w:r>
      <w:proofErr w:type="spellStart"/>
      <w:r w:rsidRPr="00567376">
        <w:rPr>
          <w:lang w:val="en-US"/>
        </w:rPr>
        <w:t>Leusden</w:t>
      </w:r>
      <w:proofErr w:type="spellEnd"/>
      <w:r w:rsidRPr="00567376">
        <w:rPr>
          <w:lang w:val="en-US"/>
        </w:rPr>
        <w:t xml:space="preserve">, Netherlands). </w:t>
      </w:r>
    </w:p>
    <w:p w14:paraId="3CF3734F" w14:textId="65B8B684" w:rsidR="00F025F9" w:rsidRPr="00567376" w:rsidRDefault="00F025F9" w:rsidP="00F025F9">
      <w:pPr>
        <w:spacing w:line="480" w:lineRule="auto"/>
        <w:jc w:val="both"/>
        <w:rPr>
          <w:u w:val="single"/>
          <w:lang w:val="en-US"/>
        </w:rPr>
      </w:pPr>
      <w:r w:rsidRPr="00567376">
        <w:rPr>
          <w:lang w:val="en-US"/>
        </w:rPr>
        <w:t xml:space="preserve">Antibodies used for osteoblast analysis were: RUNX2 (D1L7F, #12556), SMAD5 (#9517), </w:t>
      </w:r>
      <w:r w:rsidRPr="00567376">
        <w:rPr>
          <w:rFonts w:ascii="Times New Roman" w:hAnsi="Times New Roman" w:cs="Times New Roman"/>
          <w:lang w:val="en-US"/>
        </w:rPr>
        <w:t>β</w:t>
      </w:r>
      <w:r w:rsidRPr="00567376">
        <w:rPr>
          <w:lang w:val="en-US"/>
        </w:rPr>
        <w:t>-CATENIN (D10A8, #8480) and NON-PHOSPHO-</w:t>
      </w:r>
      <w:r w:rsidRPr="00567376">
        <w:rPr>
          <w:rFonts w:ascii="Times New Roman" w:hAnsi="Times New Roman" w:cs="Times New Roman"/>
          <w:lang w:val="en-US"/>
        </w:rPr>
        <w:t>β</w:t>
      </w:r>
      <w:r w:rsidRPr="00567376">
        <w:rPr>
          <w:lang w:val="en-US"/>
        </w:rPr>
        <w:t xml:space="preserve">CATENIN (Ser33/37/Thr41, D13A1, #8814), and </w:t>
      </w:r>
      <w:r w:rsidRPr="00567376">
        <w:rPr>
          <w:rFonts w:ascii="Times New Roman" w:hAnsi="Times New Roman" w:cs="Times New Roman"/>
          <w:lang w:val="en-US"/>
        </w:rPr>
        <w:t>β</w:t>
      </w:r>
      <w:r w:rsidRPr="00567376">
        <w:rPr>
          <w:lang w:val="en-US"/>
        </w:rPr>
        <w:t xml:space="preserve">-ACTIN (#4967, all from Cell Signaling Technology, and </w:t>
      </w:r>
      <w:r w:rsidR="004E6A09">
        <w:rPr>
          <w:lang w:val="en-US"/>
        </w:rPr>
        <w:t xml:space="preserve">DKK-1 (PA5-23187) </w:t>
      </w:r>
      <w:r w:rsidRPr="0044742C">
        <w:rPr>
          <w:lang w:val="en-US"/>
        </w:rPr>
        <w:t xml:space="preserve">from </w:t>
      </w:r>
      <w:proofErr w:type="spellStart"/>
      <w:r w:rsidR="004E6A09">
        <w:rPr>
          <w:lang w:val="en-US"/>
        </w:rPr>
        <w:t>Thermo</w:t>
      </w:r>
      <w:proofErr w:type="spellEnd"/>
      <w:r w:rsidR="004E6A09">
        <w:rPr>
          <w:lang w:val="en-US"/>
        </w:rPr>
        <w:t xml:space="preserve"> Fisher Scientific</w:t>
      </w:r>
      <w:r w:rsidRPr="00567376">
        <w:rPr>
          <w:lang w:val="en-US"/>
        </w:rPr>
        <w:t xml:space="preserve">. For exosome characterization we used TSG101 (C-2, sc7964), CD63 (H-193, sc-15363), CD81 (B-11, sc-166029) from </w:t>
      </w:r>
      <w:r w:rsidRPr="00567376">
        <w:rPr>
          <w:lang w:val="en-US"/>
        </w:rPr>
        <w:lastRenderedPageBreak/>
        <w:t xml:space="preserve">Santa Cruz Biotechnology, SYNTENIN (ab 19903, Abcam) and CALRETICULIN (#2891, Cell Signaling Technology). </w:t>
      </w:r>
    </w:p>
    <w:p w14:paraId="6C6689DA" w14:textId="77777777" w:rsidR="00F025F9" w:rsidRDefault="00F025F9" w:rsidP="00F025F9">
      <w:pPr>
        <w:spacing w:line="480" w:lineRule="auto"/>
        <w:jc w:val="both"/>
        <w:rPr>
          <w:u w:val="single"/>
          <w:lang w:val="en-US"/>
        </w:rPr>
      </w:pPr>
      <w:r>
        <w:rPr>
          <w:u w:val="single"/>
          <w:lang w:val="en-US"/>
        </w:rPr>
        <w:t>Viability, apoptosis and proliferation assay</w:t>
      </w:r>
    </w:p>
    <w:p w14:paraId="34C3702D" w14:textId="55A7ABD4" w:rsidR="00F025F9" w:rsidRDefault="00F025F9" w:rsidP="00F025F9">
      <w:pPr>
        <w:spacing w:line="480" w:lineRule="auto"/>
        <w:jc w:val="both"/>
        <w:rPr>
          <w:lang w:val="en-US"/>
        </w:rPr>
      </w:pPr>
      <w:r>
        <w:rPr>
          <w:lang w:val="en-US"/>
        </w:rPr>
        <w:t xml:space="preserve">MC3T3-E1 </w:t>
      </w:r>
      <w:r w:rsidR="00DA265C" w:rsidRPr="002B0AAB">
        <w:rPr>
          <w:lang w:val="en-US"/>
        </w:rPr>
        <w:t xml:space="preserve">or differentiated RAW264.7 </w:t>
      </w:r>
      <w:r w:rsidRPr="002B0AAB">
        <w:rPr>
          <w:lang w:val="en-US"/>
        </w:rPr>
        <w:t>cells</w:t>
      </w:r>
      <w:r>
        <w:rPr>
          <w:lang w:val="en-US"/>
        </w:rPr>
        <w:t xml:space="preserve"> were seeded in a 96-well plate and cultured in either no serum medium, 5TGM1 </w:t>
      </w:r>
      <w:r w:rsidR="00ED1279">
        <w:rPr>
          <w:lang w:val="en-US"/>
        </w:rPr>
        <w:t xml:space="preserve">concentrated </w:t>
      </w:r>
      <w:r>
        <w:rPr>
          <w:lang w:val="en-US"/>
        </w:rPr>
        <w:t>conditioned no serum medium</w:t>
      </w:r>
      <w:r w:rsidR="00ED1279">
        <w:rPr>
          <w:lang w:val="en-US"/>
        </w:rPr>
        <w:t xml:space="preserve"> (CCM), 5TGM1 CCM depleted of </w:t>
      </w:r>
      <w:proofErr w:type="spellStart"/>
      <w:r w:rsidR="00ED1279">
        <w:rPr>
          <w:lang w:val="en-US"/>
        </w:rPr>
        <w:t>sEVs</w:t>
      </w:r>
      <w:proofErr w:type="spellEnd"/>
      <w:r w:rsidR="00ED1279">
        <w:rPr>
          <w:lang w:val="en-US"/>
        </w:rPr>
        <w:t xml:space="preserve">, </w:t>
      </w:r>
      <w:r>
        <w:rPr>
          <w:lang w:val="en-US"/>
        </w:rPr>
        <w:t xml:space="preserve">or no serum medium containing 5TGM1 </w:t>
      </w:r>
      <w:proofErr w:type="spellStart"/>
      <w:r>
        <w:rPr>
          <w:lang w:val="en-US"/>
        </w:rPr>
        <w:t>sEVs</w:t>
      </w:r>
      <w:proofErr w:type="spellEnd"/>
      <w:r>
        <w:rPr>
          <w:lang w:val="en-US"/>
        </w:rPr>
        <w:t xml:space="preserve"> (100µg/ml). </w:t>
      </w:r>
    </w:p>
    <w:p w14:paraId="48B32B1D" w14:textId="1007757C" w:rsidR="00F025F9" w:rsidRPr="001A1470" w:rsidRDefault="00F025F9" w:rsidP="00F025F9">
      <w:pPr>
        <w:spacing w:line="480" w:lineRule="auto"/>
        <w:jc w:val="both"/>
        <w:rPr>
          <w:lang w:val="en-US"/>
        </w:rPr>
      </w:pPr>
      <w:r>
        <w:rPr>
          <w:lang w:val="en-US"/>
        </w:rPr>
        <w:t xml:space="preserve">Viability was measured after 48h by a </w:t>
      </w:r>
      <w:proofErr w:type="spellStart"/>
      <w:r>
        <w:rPr>
          <w:lang w:val="en-US"/>
        </w:rPr>
        <w:t>CellTiter</w:t>
      </w:r>
      <w:proofErr w:type="spellEnd"/>
      <w:r>
        <w:rPr>
          <w:lang w:val="en-US"/>
        </w:rPr>
        <w:t xml:space="preserve"> </w:t>
      </w:r>
      <w:proofErr w:type="spellStart"/>
      <w:r>
        <w:rPr>
          <w:lang w:val="en-US"/>
        </w:rPr>
        <w:t>Glo</w:t>
      </w:r>
      <w:proofErr w:type="spellEnd"/>
      <w:r w:rsidR="004610D7">
        <w:rPr>
          <w:lang w:val="en-US"/>
        </w:rPr>
        <w:t>®</w:t>
      </w:r>
      <w:r>
        <w:rPr>
          <w:lang w:val="en-US"/>
        </w:rPr>
        <w:t xml:space="preserve"> Luminescent Cell Viability Assay (Promega, Madison, WI, USA). Apoptosis was measured after 24h by a Caspase-</w:t>
      </w:r>
      <w:proofErr w:type="spellStart"/>
      <w:r>
        <w:rPr>
          <w:lang w:val="en-US"/>
        </w:rPr>
        <w:t>Glo</w:t>
      </w:r>
      <w:proofErr w:type="spellEnd"/>
      <w:r>
        <w:rPr>
          <w:lang w:val="en-US"/>
        </w:rPr>
        <w:t xml:space="preserve"> 3/7 Assay (Promega). Luminescence was </w:t>
      </w:r>
      <w:r w:rsidRPr="001A123B">
        <w:rPr>
          <w:lang w:val="en-US"/>
        </w:rPr>
        <w:t xml:space="preserve">measured using a </w:t>
      </w:r>
      <w:proofErr w:type="spellStart"/>
      <w:r w:rsidRPr="001A123B">
        <w:rPr>
          <w:lang w:val="en-US"/>
        </w:rPr>
        <w:t>Glomax</w:t>
      </w:r>
      <w:proofErr w:type="spellEnd"/>
      <w:r w:rsidRPr="001A123B">
        <w:rPr>
          <w:lang w:val="en-US"/>
        </w:rPr>
        <w:t xml:space="preserve"> luminometer (Promega).</w:t>
      </w:r>
      <w:r>
        <w:rPr>
          <w:lang w:val="en-US"/>
        </w:rPr>
        <w:t xml:space="preserve"> Viable cells were quantified after 24h by </w:t>
      </w:r>
      <w:proofErr w:type="gramStart"/>
      <w:r>
        <w:rPr>
          <w:lang w:val="en-US"/>
        </w:rPr>
        <w:t>a</w:t>
      </w:r>
      <w:proofErr w:type="gramEnd"/>
      <w:r>
        <w:rPr>
          <w:lang w:val="en-US"/>
        </w:rPr>
        <w:t xml:space="preserve"> </w:t>
      </w:r>
      <w:proofErr w:type="spellStart"/>
      <w:r>
        <w:rPr>
          <w:lang w:val="en-US"/>
        </w:rPr>
        <w:t>AnnexinV</w:t>
      </w:r>
      <w:proofErr w:type="spellEnd"/>
      <w:r>
        <w:rPr>
          <w:lang w:val="en-US"/>
        </w:rPr>
        <w:t xml:space="preserve">-FITC and 7-AAD staining (Becton Dickinson) by flow cytometry analysis on a </w:t>
      </w:r>
      <w:proofErr w:type="spellStart"/>
      <w:r>
        <w:rPr>
          <w:lang w:val="en-US"/>
        </w:rPr>
        <w:t>FACSCanto</w:t>
      </w:r>
      <w:proofErr w:type="spellEnd"/>
      <w:r>
        <w:rPr>
          <w:lang w:val="en-US"/>
        </w:rPr>
        <w:t xml:space="preserve"> flow cytometer (BD Biosciences, Belgium)</w:t>
      </w:r>
    </w:p>
    <w:p w14:paraId="1C89DD4A" w14:textId="77777777" w:rsidR="00F025F9" w:rsidRDefault="00F025F9" w:rsidP="00F025F9">
      <w:pPr>
        <w:spacing w:line="480" w:lineRule="auto"/>
        <w:jc w:val="both"/>
        <w:rPr>
          <w:lang w:val="en-US"/>
        </w:rPr>
      </w:pPr>
      <w:r>
        <w:rPr>
          <w:lang w:val="en-US"/>
        </w:rPr>
        <w:t xml:space="preserve">MC3T3-E1 proliferation was determined by using the </w:t>
      </w:r>
      <w:proofErr w:type="spellStart"/>
      <w:r>
        <w:rPr>
          <w:lang w:val="en-US"/>
        </w:rPr>
        <w:t>BrdU</w:t>
      </w:r>
      <w:proofErr w:type="spellEnd"/>
      <w:r>
        <w:rPr>
          <w:lang w:val="en-US"/>
        </w:rPr>
        <w:t xml:space="preserve"> Cell Proliferation Assay Kit (#6813, Cell Signaling Technology). </w:t>
      </w:r>
      <w:proofErr w:type="spellStart"/>
      <w:r>
        <w:rPr>
          <w:lang w:val="en-US"/>
        </w:rPr>
        <w:t>BrdU</w:t>
      </w:r>
      <w:proofErr w:type="spellEnd"/>
      <w:r>
        <w:rPr>
          <w:lang w:val="en-US"/>
        </w:rPr>
        <w:t xml:space="preserve"> was added after 24h of adding 5TGM1 conditioned medium or 5TGM1 </w:t>
      </w:r>
      <w:proofErr w:type="spellStart"/>
      <w:r>
        <w:rPr>
          <w:lang w:val="en-US"/>
        </w:rPr>
        <w:t>sEVs</w:t>
      </w:r>
      <w:proofErr w:type="spellEnd"/>
      <w:r>
        <w:rPr>
          <w:lang w:val="en-US"/>
        </w:rPr>
        <w:t xml:space="preserve">. The assay was started 24h after adding </w:t>
      </w:r>
      <w:proofErr w:type="spellStart"/>
      <w:r>
        <w:rPr>
          <w:lang w:val="en-US"/>
        </w:rPr>
        <w:t>BrdU</w:t>
      </w:r>
      <w:proofErr w:type="spellEnd"/>
      <w:r>
        <w:rPr>
          <w:lang w:val="en-US"/>
        </w:rPr>
        <w:t xml:space="preserve">, according to manufacturer’s instructions. Absorbance was read at 450 nm using the </w:t>
      </w:r>
      <w:proofErr w:type="spellStart"/>
      <w:r>
        <w:rPr>
          <w:lang w:val="en-US"/>
        </w:rPr>
        <w:t>BioRad</w:t>
      </w:r>
      <w:proofErr w:type="spellEnd"/>
      <w:r>
        <w:rPr>
          <w:lang w:val="en-US"/>
        </w:rPr>
        <w:t xml:space="preserve"> </w:t>
      </w:r>
      <w:proofErr w:type="spellStart"/>
      <w:r>
        <w:rPr>
          <w:lang w:val="en-US"/>
        </w:rPr>
        <w:t>iMark</w:t>
      </w:r>
      <w:proofErr w:type="spellEnd"/>
      <w:r>
        <w:rPr>
          <w:lang w:val="en-US"/>
        </w:rPr>
        <w:t>™ Microplate Absorbance reader (</w:t>
      </w:r>
      <w:proofErr w:type="spellStart"/>
      <w:r>
        <w:rPr>
          <w:lang w:val="en-US"/>
        </w:rPr>
        <w:t>BioRad</w:t>
      </w:r>
      <w:proofErr w:type="spellEnd"/>
      <w:r>
        <w:rPr>
          <w:lang w:val="en-US"/>
        </w:rPr>
        <w:t xml:space="preserve"> laboratories, </w:t>
      </w:r>
      <w:proofErr w:type="spellStart"/>
      <w:r>
        <w:rPr>
          <w:lang w:val="en-US"/>
        </w:rPr>
        <w:t>Temse</w:t>
      </w:r>
      <w:proofErr w:type="spellEnd"/>
      <w:r>
        <w:rPr>
          <w:lang w:val="en-US"/>
        </w:rPr>
        <w:t xml:space="preserve">, Belgium). </w:t>
      </w:r>
    </w:p>
    <w:p w14:paraId="55857D96" w14:textId="77777777" w:rsidR="00F025F9" w:rsidRPr="00F025F9" w:rsidRDefault="00F025F9" w:rsidP="00F025F9">
      <w:pPr>
        <w:spacing w:line="480" w:lineRule="auto"/>
        <w:jc w:val="both"/>
        <w:rPr>
          <w:u w:val="single"/>
          <w:lang w:val="en-US"/>
        </w:rPr>
      </w:pPr>
      <w:r w:rsidRPr="00F025F9">
        <w:rPr>
          <w:u w:val="single"/>
          <w:lang w:val="en-US"/>
        </w:rPr>
        <w:t xml:space="preserve">Quantitative real-time PCR </w:t>
      </w:r>
    </w:p>
    <w:p w14:paraId="7D2FBE3A" w14:textId="02F891E7" w:rsidR="00F025F9" w:rsidRDefault="00F025F9" w:rsidP="00F025F9">
      <w:pPr>
        <w:spacing w:line="480" w:lineRule="auto"/>
        <w:jc w:val="both"/>
        <w:rPr>
          <w:lang w:val="en-US"/>
        </w:rPr>
      </w:pPr>
      <w:r w:rsidRPr="00F025F9">
        <w:rPr>
          <w:lang w:val="en-US"/>
        </w:rPr>
        <w:t>RNA was isolated using the RNeasy kit (Qiagen</w:t>
      </w:r>
      <w:r w:rsidR="0044742C">
        <w:rPr>
          <w:lang w:val="en-US"/>
        </w:rPr>
        <w:t>, Antwerp, Belgium</w:t>
      </w:r>
      <w:r w:rsidRPr="00F025F9">
        <w:rPr>
          <w:lang w:val="en-US"/>
        </w:rPr>
        <w:t>) and converted to cDNA by the Verso cDNA Synthesis Kit (</w:t>
      </w:r>
      <w:proofErr w:type="spellStart"/>
      <w:r w:rsidRPr="00F025F9">
        <w:rPr>
          <w:lang w:val="en-US"/>
        </w:rPr>
        <w:t>ThermoFisher</w:t>
      </w:r>
      <w:proofErr w:type="spellEnd"/>
      <w:r w:rsidRPr="00F025F9">
        <w:rPr>
          <w:lang w:val="en-US"/>
        </w:rPr>
        <w:t xml:space="preserve"> Scientific, Waltham, MA, USA). Gene-specific primer sequences were as follows, Runx2: forward (5’ – </w:t>
      </w:r>
      <w:r w:rsidRPr="00F025F9">
        <w:rPr>
          <w:rFonts w:ascii="Calibri" w:eastAsia="Times New Roman" w:hAnsi="Calibri" w:cs="Times New Roman"/>
          <w:lang w:val="en-US" w:eastAsia="nl-BE"/>
        </w:rPr>
        <w:t xml:space="preserve">ACT CTT CTG GAG CCG TTT ATG – 3’), reverse ( 5’ – GTG AAT CTG GCC ATG TTT GTG – 3’), mouse </w:t>
      </w:r>
      <w:proofErr w:type="spellStart"/>
      <w:r w:rsidRPr="00F025F9">
        <w:rPr>
          <w:rFonts w:ascii="Calibri" w:eastAsia="Times New Roman" w:hAnsi="Calibri" w:cs="Times New Roman"/>
          <w:lang w:val="en-US" w:eastAsia="nl-BE"/>
        </w:rPr>
        <w:t>Osterix</w:t>
      </w:r>
      <w:proofErr w:type="spellEnd"/>
      <w:r w:rsidRPr="00F025F9">
        <w:rPr>
          <w:rFonts w:ascii="Calibri" w:eastAsia="Times New Roman" w:hAnsi="Calibri" w:cs="Times New Roman"/>
          <w:lang w:val="en-US" w:eastAsia="nl-BE"/>
        </w:rPr>
        <w:t xml:space="preserve">: forward (5’ – TGC GCC AGG AGT AAA GAA TAG – 3’), reverse (5’ – CCT GAC CCG TCA </w:t>
      </w:r>
      <w:proofErr w:type="spellStart"/>
      <w:r w:rsidRPr="00F025F9">
        <w:rPr>
          <w:rFonts w:ascii="Calibri" w:eastAsia="Times New Roman" w:hAnsi="Calibri" w:cs="Times New Roman"/>
          <w:lang w:val="en-US" w:eastAsia="nl-BE"/>
        </w:rPr>
        <w:t>TCA</w:t>
      </w:r>
      <w:proofErr w:type="spellEnd"/>
      <w:r w:rsidRPr="00F025F9">
        <w:rPr>
          <w:rFonts w:ascii="Calibri" w:eastAsia="Times New Roman" w:hAnsi="Calibri" w:cs="Times New Roman"/>
          <w:lang w:val="en-US" w:eastAsia="nl-BE"/>
        </w:rPr>
        <w:t xml:space="preserve"> TAA CTT AG 3’), mouse ALP: forward (5’ – GGA ATA CGA ACR GGA TGA GAA GG -3’), reverse (5’- GGT TCC AGA CAT AGT GGG AAT G – 3’-), mouse Collagen 1A1: forward (5’ – TTC TAG TTC CTG GGC CTA TCT - 3’), reverse (5’ – GAT GCA GGA CAG ACC AAG AG – 3’)</w:t>
      </w:r>
      <w:r w:rsidRPr="00F025F9">
        <w:rPr>
          <w:lang w:val="en-US"/>
        </w:rPr>
        <w:t xml:space="preserve">; mouse DKK1: </w:t>
      </w:r>
      <w:r w:rsidRPr="00F025F9">
        <w:rPr>
          <w:lang w:val="en-US"/>
        </w:rPr>
        <w:lastRenderedPageBreak/>
        <w:t xml:space="preserve">forward (5’ – CCA TTC TGG CCA ACT CTT TCT A – 3’), reverse (5’ – GCA TTC CCT CCC TTC CAA TAA – 3’); all from Integrated DNA Technologies. Expression level of mRNA was quantified by </w:t>
      </w:r>
      <w:proofErr w:type="spellStart"/>
      <w:r w:rsidRPr="00F025F9">
        <w:rPr>
          <w:lang w:val="en-US"/>
        </w:rPr>
        <w:t>qRT</w:t>
      </w:r>
      <w:proofErr w:type="spellEnd"/>
      <w:r w:rsidRPr="00F025F9">
        <w:rPr>
          <w:lang w:val="en-US"/>
        </w:rPr>
        <w:t xml:space="preserve">-PCR </w:t>
      </w:r>
      <w:r w:rsidR="00A11A46">
        <w:rPr>
          <w:lang w:val="en-US"/>
        </w:rPr>
        <w:t xml:space="preserve">with </w:t>
      </w:r>
      <w:proofErr w:type="spellStart"/>
      <w:r w:rsidR="00A11A46">
        <w:rPr>
          <w:lang w:val="en-US"/>
        </w:rPr>
        <w:t>PowerUp</w:t>
      </w:r>
      <w:proofErr w:type="spellEnd"/>
      <w:r w:rsidR="00A11A46">
        <w:rPr>
          <w:lang w:val="en-US"/>
        </w:rPr>
        <w:t>™ SYBR® Green Master Mix (</w:t>
      </w:r>
      <w:proofErr w:type="spellStart"/>
      <w:r w:rsidR="00A11A46">
        <w:rPr>
          <w:lang w:val="en-US"/>
        </w:rPr>
        <w:t>Thermo</w:t>
      </w:r>
      <w:proofErr w:type="spellEnd"/>
      <w:r w:rsidR="00A11A46">
        <w:rPr>
          <w:lang w:val="en-US"/>
        </w:rPr>
        <w:t xml:space="preserve"> Fisher Scientific) </w:t>
      </w:r>
      <w:r w:rsidRPr="00F025F9">
        <w:rPr>
          <w:lang w:val="en-US"/>
        </w:rPr>
        <w:t>using the ABI 7900TH Real-Time PCR System (Applied Biosystems). ABL was included as an internal control. Relative mRNA expression normalized to ABL was carried out using the 2-ΔΔCt method.</w:t>
      </w:r>
    </w:p>
    <w:p w14:paraId="1502043E" w14:textId="6F7ABD58" w:rsidR="009D098B" w:rsidRPr="009D098B" w:rsidRDefault="009D098B" w:rsidP="00F025F9">
      <w:pPr>
        <w:spacing w:line="480" w:lineRule="auto"/>
        <w:jc w:val="both"/>
        <w:rPr>
          <w:u w:val="single"/>
          <w:lang w:val="en-US"/>
        </w:rPr>
      </w:pPr>
      <w:r w:rsidRPr="009D098B">
        <w:rPr>
          <w:u w:val="single"/>
          <w:lang w:val="en-US"/>
        </w:rPr>
        <w:t>CD31+ staining</w:t>
      </w:r>
      <w:r>
        <w:rPr>
          <w:u w:val="single"/>
          <w:lang w:val="en-US"/>
        </w:rPr>
        <w:t xml:space="preserve"> and </w:t>
      </w:r>
      <w:proofErr w:type="spellStart"/>
      <w:r>
        <w:rPr>
          <w:u w:val="single"/>
          <w:lang w:val="en-US"/>
        </w:rPr>
        <w:t>microvessel</w:t>
      </w:r>
      <w:proofErr w:type="spellEnd"/>
      <w:r>
        <w:rPr>
          <w:u w:val="single"/>
          <w:lang w:val="en-US"/>
        </w:rPr>
        <w:t xml:space="preserve"> density</w:t>
      </w:r>
    </w:p>
    <w:p w14:paraId="33E764D9" w14:textId="67FC80E1" w:rsidR="009D098B" w:rsidRDefault="009D098B" w:rsidP="009D098B">
      <w:pPr>
        <w:spacing w:line="480" w:lineRule="auto"/>
        <w:jc w:val="both"/>
        <w:rPr>
          <w:color w:val="000000"/>
          <w:shd w:val="clear" w:color="auto" w:fill="FFFFFF"/>
          <w:lang w:val="en-US"/>
        </w:rPr>
      </w:pPr>
      <w:r>
        <w:rPr>
          <w:lang w:val="en-US"/>
        </w:rPr>
        <w:t xml:space="preserve">The contralateral femur of 5TGM1 mice </w:t>
      </w:r>
      <w:proofErr w:type="gramStart"/>
      <w:r>
        <w:rPr>
          <w:lang w:val="en-US"/>
        </w:rPr>
        <w:t xml:space="preserve">was </w:t>
      </w:r>
      <w:r w:rsidRPr="00484102">
        <w:rPr>
          <w:color w:val="000000"/>
          <w:shd w:val="clear" w:color="auto" w:fill="FFFFFF"/>
          <w:lang w:val="en-US"/>
        </w:rPr>
        <w:t> </w:t>
      </w:r>
      <w:r>
        <w:rPr>
          <w:color w:val="000000"/>
          <w:shd w:val="clear" w:color="auto" w:fill="FFFFFF"/>
          <w:lang w:val="en-US"/>
        </w:rPr>
        <w:t>i</w:t>
      </w:r>
      <w:r w:rsidRPr="00484102">
        <w:rPr>
          <w:color w:val="000000"/>
          <w:shd w:val="clear" w:color="auto" w:fill="FFFFFF"/>
          <w:lang w:val="en-US"/>
        </w:rPr>
        <w:t>ncubated</w:t>
      </w:r>
      <w:proofErr w:type="gramEnd"/>
      <w:r w:rsidRPr="00484102">
        <w:rPr>
          <w:color w:val="000000"/>
          <w:shd w:val="clear" w:color="auto" w:fill="FFFFFF"/>
          <w:lang w:val="en-US"/>
        </w:rPr>
        <w:t xml:space="preserve"> in zinc fixative (0.1 </w:t>
      </w:r>
      <w:r w:rsidRPr="00484102">
        <w:rPr>
          <w:rStyle w:val="small-caps"/>
          <w:smallCaps/>
          <w:color w:val="000000"/>
          <w:spacing w:val="5"/>
          <w:shd w:val="clear" w:color="auto" w:fill="FFFFFF"/>
          <w:lang w:val="en-US"/>
        </w:rPr>
        <w:t>m</w:t>
      </w:r>
      <w:r w:rsidRPr="00484102">
        <w:rPr>
          <w:color w:val="000000"/>
          <w:shd w:val="clear" w:color="auto" w:fill="FFFFFF"/>
          <w:lang w:val="en-US"/>
        </w:rPr>
        <w:t> Tris, 3 </w:t>
      </w:r>
      <w:proofErr w:type="spellStart"/>
      <w:r w:rsidRPr="00484102">
        <w:rPr>
          <w:color w:val="000000"/>
          <w:shd w:val="clear" w:color="auto" w:fill="FFFFFF"/>
          <w:lang w:val="en-US"/>
        </w:rPr>
        <w:t>mM</w:t>
      </w:r>
      <w:proofErr w:type="spellEnd"/>
      <w:r w:rsidRPr="00484102">
        <w:rPr>
          <w:color w:val="000000"/>
          <w:shd w:val="clear" w:color="auto" w:fill="FFFFFF"/>
          <w:lang w:val="en-US"/>
        </w:rPr>
        <w:t xml:space="preserve"> calcium acetate, 0.27 </w:t>
      </w:r>
      <w:r w:rsidRPr="00484102">
        <w:rPr>
          <w:rStyle w:val="small-caps"/>
          <w:smallCaps/>
          <w:color w:val="000000"/>
          <w:spacing w:val="5"/>
          <w:shd w:val="clear" w:color="auto" w:fill="FFFFFF"/>
          <w:lang w:val="en-US"/>
        </w:rPr>
        <w:t>m</w:t>
      </w:r>
      <w:r w:rsidRPr="00484102">
        <w:rPr>
          <w:color w:val="000000"/>
          <w:shd w:val="clear" w:color="auto" w:fill="FFFFFF"/>
          <w:lang w:val="en-US"/>
        </w:rPr>
        <w:t> zinc acetate, and 0.037 </w:t>
      </w:r>
      <w:r w:rsidRPr="00484102">
        <w:rPr>
          <w:rStyle w:val="small-caps"/>
          <w:smallCaps/>
          <w:color w:val="000000"/>
          <w:spacing w:val="5"/>
          <w:shd w:val="clear" w:color="auto" w:fill="FFFFFF"/>
          <w:lang w:val="en-US"/>
        </w:rPr>
        <w:t>m</w:t>
      </w:r>
      <w:r w:rsidRPr="00484102">
        <w:rPr>
          <w:color w:val="000000"/>
          <w:shd w:val="clear" w:color="auto" w:fill="FFFFFF"/>
          <w:lang w:val="en-US"/>
        </w:rPr>
        <w:t> zinc chloride), decalcified in FE10 (0.27 </w:t>
      </w:r>
      <w:r w:rsidRPr="00484102">
        <w:rPr>
          <w:rStyle w:val="small-caps"/>
          <w:smallCaps/>
          <w:color w:val="000000"/>
          <w:spacing w:val="5"/>
          <w:shd w:val="clear" w:color="auto" w:fill="FFFFFF"/>
          <w:lang w:val="en-US"/>
        </w:rPr>
        <w:t>m</w:t>
      </w:r>
      <w:r w:rsidRPr="00484102">
        <w:rPr>
          <w:color w:val="000000"/>
          <w:shd w:val="clear" w:color="auto" w:fill="FFFFFF"/>
          <w:lang w:val="en-US"/>
        </w:rPr>
        <w:t> EDTA, 0.3 </w:t>
      </w:r>
      <w:r w:rsidRPr="00484102">
        <w:rPr>
          <w:rStyle w:val="small-caps"/>
          <w:smallCaps/>
          <w:color w:val="000000"/>
          <w:spacing w:val="5"/>
          <w:shd w:val="clear" w:color="auto" w:fill="FFFFFF"/>
          <w:lang w:val="en-US"/>
        </w:rPr>
        <w:t>m</w:t>
      </w:r>
      <w:r w:rsidRPr="00484102">
        <w:rPr>
          <w:color w:val="000000"/>
          <w:shd w:val="clear" w:color="auto" w:fill="FFFFFF"/>
          <w:lang w:val="en-US"/>
        </w:rPr>
        <w:t> </w:t>
      </w:r>
      <w:proofErr w:type="spellStart"/>
      <w:r w:rsidRPr="00484102">
        <w:rPr>
          <w:color w:val="000000"/>
          <w:shd w:val="clear" w:color="auto" w:fill="FFFFFF"/>
          <w:lang w:val="en-US"/>
        </w:rPr>
        <w:t>NaOH</w:t>
      </w:r>
      <w:proofErr w:type="spellEnd"/>
      <w:r w:rsidRPr="00484102">
        <w:rPr>
          <w:color w:val="000000"/>
          <w:shd w:val="clear" w:color="auto" w:fill="FFFFFF"/>
          <w:lang w:val="en-US"/>
        </w:rPr>
        <w:t>, 2% formalin), embedded in paraffin and 5 </w:t>
      </w:r>
      <w:r>
        <w:rPr>
          <w:rStyle w:val="Emphasis"/>
          <w:color w:val="000000"/>
          <w:shd w:val="clear" w:color="auto" w:fill="FFFFFF"/>
        </w:rPr>
        <w:t>μ</w:t>
      </w:r>
      <w:r w:rsidRPr="00484102">
        <w:rPr>
          <w:color w:val="000000"/>
          <w:shd w:val="clear" w:color="auto" w:fill="FFFFFF"/>
          <w:lang w:val="en-US"/>
        </w:rPr>
        <w:t xml:space="preserve">m sections were cut. Sections were stained for the presence of CD31 (PECAM-1) to identify the presence of </w:t>
      </w:r>
      <w:proofErr w:type="spellStart"/>
      <w:r w:rsidRPr="00484102">
        <w:rPr>
          <w:color w:val="000000"/>
          <w:shd w:val="clear" w:color="auto" w:fill="FFFFFF"/>
          <w:lang w:val="en-US"/>
        </w:rPr>
        <w:t>microvessels</w:t>
      </w:r>
      <w:proofErr w:type="spellEnd"/>
      <w:r>
        <w:rPr>
          <w:color w:val="000000"/>
          <w:shd w:val="clear" w:color="auto" w:fill="FFFFFF"/>
          <w:lang w:val="en-US"/>
        </w:rPr>
        <w:t xml:space="preserve">. </w:t>
      </w:r>
      <w:r w:rsidRPr="00484102">
        <w:rPr>
          <w:color w:val="000000"/>
          <w:shd w:val="clear" w:color="auto" w:fill="FFFFFF"/>
          <w:lang w:val="en-US"/>
        </w:rPr>
        <w:t xml:space="preserve">For CD31 retrieval, sections were incubated in </w:t>
      </w:r>
      <w:proofErr w:type="spellStart"/>
      <w:r w:rsidRPr="00484102">
        <w:rPr>
          <w:color w:val="000000"/>
          <w:shd w:val="clear" w:color="auto" w:fill="FFFFFF"/>
          <w:lang w:val="en-US"/>
        </w:rPr>
        <w:t>trypsinand</w:t>
      </w:r>
      <w:proofErr w:type="spellEnd"/>
      <w:r w:rsidRPr="00484102">
        <w:rPr>
          <w:color w:val="000000"/>
          <w:shd w:val="clear" w:color="auto" w:fill="FFFFFF"/>
          <w:lang w:val="en-US"/>
        </w:rPr>
        <w:t xml:space="preserve"> blocked with normal goat serum for 30 min. Sections were then incubated with a rat anti-CD31 antibody (PECAM-1; BD Biosciences), or an appropriate isotype control, at 4°C overnight. The sections were washed and incubated with a goat anti-rat antibody conjugated with biotin (1/100 dilution; BD Biosciences). The presence of bound antibody was detected with </w:t>
      </w:r>
      <w:r>
        <w:rPr>
          <w:color w:val="000000"/>
          <w:shd w:val="clear" w:color="auto" w:fill="FFFFFF"/>
          <w:lang w:val="en-US"/>
        </w:rPr>
        <w:t xml:space="preserve">a </w:t>
      </w:r>
      <w:r w:rsidRPr="00484102">
        <w:rPr>
          <w:color w:val="000000"/>
          <w:shd w:val="clear" w:color="auto" w:fill="FFFFFF"/>
          <w:lang w:val="en-US"/>
        </w:rPr>
        <w:t xml:space="preserve">streptavidin–HRP conjugate in combination with </w:t>
      </w:r>
      <w:proofErr w:type="spellStart"/>
      <w:r w:rsidRPr="00484102">
        <w:rPr>
          <w:color w:val="000000"/>
          <w:shd w:val="clear" w:color="auto" w:fill="FFFFFF"/>
          <w:lang w:val="en-US"/>
        </w:rPr>
        <w:t>tyramide</w:t>
      </w:r>
      <w:proofErr w:type="spellEnd"/>
      <w:r w:rsidRPr="00484102">
        <w:rPr>
          <w:color w:val="000000"/>
          <w:shd w:val="clear" w:color="auto" w:fill="FFFFFF"/>
          <w:lang w:val="en-US"/>
        </w:rPr>
        <w:t xml:space="preserve"> signal amplification (NEN Life Science Products, Boston, MA, USA). Diaminobenzidine was used as substrate. The number of blood vessels and sinusoids (per 0.22 mm</w:t>
      </w:r>
      <w:r w:rsidRPr="00484102">
        <w:rPr>
          <w:color w:val="000000"/>
          <w:sz w:val="20"/>
          <w:szCs w:val="20"/>
          <w:shd w:val="clear" w:color="auto" w:fill="FFFFFF"/>
          <w:vertAlign w:val="superscript"/>
          <w:lang w:val="en-US"/>
        </w:rPr>
        <w:t>2</w:t>
      </w:r>
      <w:r w:rsidRPr="00484102">
        <w:rPr>
          <w:color w:val="000000"/>
          <w:shd w:val="clear" w:color="auto" w:fill="FFFFFF"/>
          <w:lang w:val="en-US"/>
        </w:rPr>
        <w:t xml:space="preserve">) were counted in a </w:t>
      </w:r>
      <w:proofErr w:type="spellStart"/>
      <w:r w:rsidRPr="00484102">
        <w:rPr>
          <w:color w:val="000000"/>
          <w:shd w:val="clear" w:color="auto" w:fill="FFFFFF"/>
          <w:lang w:val="en-US"/>
        </w:rPr>
        <w:t>tumour</w:t>
      </w:r>
      <w:proofErr w:type="spellEnd"/>
      <w:r w:rsidRPr="00484102">
        <w:rPr>
          <w:color w:val="000000"/>
          <w:shd w:val="clear" w:color="auto" w:fill="FFFFFF"/>
          <w:lang w:val="en-US"/>
        </w:rPr>
        <w:t xml:space="preserve">-infiltrated area with the highest </w:t>
      </w:r>
      <w:proofErr w:type="spellStart"/>
      <w:r w:rsidRPr="00484102">
        <w:rPr>
          <w:color w:val="000000"/>
          <w:shd w:val="clear" w:color="auto" w:fill="FFFFFF"/>
          <w:lang w:val="en-US"/>
        </w:rPr>
        <w:t>microvessel</w:t>
      </w:r>
      <w:proofErr w:type="spellEnd"/>
      <w:r w:rsidRPr="00484102">
        <w:rPr>
          <w:color w:val="000000"/>
          <w:shd w:val="clear" w:color="auto" w:fill="FFFFFF"/>
          <w:lang w:val="en-US"/>
        </w:rPr>
        <w:t xml:space="preserve"> density (hot spot).</w:t>
      </w:r>
      <w:r>
        <w:rPr>
          <w:color w:val="000000"/>
          <w:shd w:val="clear" w:color="auto" w:fill="FFFFFF"/>
          <w:lang w:val="en-US"/>
        </w:rPr>
        <w:fldChar w:fldCharType="begin" w:fldLock="1"/>
      </w:r>
      <w:r>
        <w:rPr>
          <w:color w:val="000000"/>
          <w:shd w:val="clear" w:color="auto" w:fill="FFFFFF"/>
          <w:lang w:val="en-US"/>
        </w:rPr>
        <w:instrText>ADDIN CSL_CITATION { "citationItems" : [ { "id" : "ITEM-1", "itemData" : { "DOI" : "10.1007/s00428-004-1028-y", "ISBN" : "0945-6317 (Print)\\r0945-6317 (Linking)", "ISSN" : "09456317", "PMID" : "15168117", "abstract" : "The aim of the study was to compare the angiogenic status, potential qualitative differences in microvessels and carbonic anhydrase IX expression in bone-marrow (BM) metastases and different haematological tumours at time of diagnosis. The microvessel density (MVD), endothelial-cell proliferation (ECP) and carbonic anhydrase IX (CA IX) immunoreactivity were determined on 210 trephine biopsies from 57 patients with multiple myeloma (MM), 13 with acute myeloid leukaemia (AML), 48 with chronic myeloproliferative syndrome (CMPS), 26 with chronic lymphocytic leukaemia (CLL), 25 with epithelial BM metastases, 18 with monoclonal gammopathy of undetermined significance (MGUS) and from a control group composed of 23 patients without haematological neoplasm. There was an increased MVD and ECP in epithelial BM metastases, MM, AML, CMPS and in a part of CLL. While an ECP greater than 0 was detected in 72% of MM, 75% of CMPS and 92% of AML, it was invariably observed (100%) in the BM metastases. The absence of ECP together with a MVD comparable with the control group in our MGUS cases supports the view that MGUS is a pre-angiogenic condition. Qualitative differences in microvessels were associated with growth patterns in MM and CLL and were observed between the different entities of CMPS. In one-third of the epithelial BM metastases, there was a focal CA IX immunoreactivity, which was never observed in the haematological diseases.", "author" : [ { "dropping-particle" : "", "family" : "Raeve", "given" : "H. R.", "non-dropping-particle" : "De", "parse-names" : false, "suffix" : "" }, { "dropping-particle" : "", "family" : "Vermeulen", "given" : "P. B.", "non-dropping-particle" : "", "parse-names" : false, "suffix" : "" }, { "dropping-particle" : "", "family" : "Vanderkerken", "given" : "K.", "non-dropping-particle" : "", "parse-names" : false, "suffix" : "" }, { "dropping-particle" : "", "family" : "Harris", "given" : "A. L.", "non-dropping-particle" : "", "parse-names" : false, "suffix" : "" }, { "dropping-particle" : "", "family" : "Marck", "given" : "E.", "non-dropping-particle" : "Van", "parse-names" : false, "suffix" : "" } ], "container-title" : "Virchows Archiv", "id" : "ITEM-1", "issue" : "1", "issued" : { "date-parts" : [ [ "2004" ] ] }, "page" : "27-35", "title" : "Microvessel density, endothelial-cell proliferation and carbonic anhydrase IX expression in haematological malignancies, bone-marrow metastases and monoclonal gammopathy of undetermined significance", "type" : "article-journal", "volume" : "445" }, "uris" : [ "http://www.mendeley.com/documents/?uuid=0f274dbf-454d-4efe-aa32-9beae276bf6d" ] } ], "mendeley" : { "formattedCitation" : "(4)", "plainTextFormattedCitation" : "(4)", "previouslyFormattedCitation" : "(18)" }, "properties" : { "noteIndex" : 0 }, "schema" : "https://github.com/citation-style-language/schema/raw/master/csl-citation.json" }</w:instrText>
      </w:r>
      <w:r>
        <w:rPr>
          <w:color w:val="000000"/>
          <w:shd w:val="clear" w:color="auto" w:fill="FFFFFF"/>
          <w:lang w:val="en-US"/>
        </w:rPr>
        <w:fldChar w:fldCharType="separate"/>
      </w:r>
      <w:r w:rsidRPr="009D098B">
        <w:rPr>
          <w:noProof/>
          <w:color w:val="000000"/>
          <w:shd w:val="clear" w:color="auto" w:fill="FFFFFF"/>
          <w:lang w:val="en-US"/>
        </w:rPr>
        <w:t>(4)</w:t>
      </w:r>
      <w:r>
        <w:rPr>
          <w:color w:val="000000"/>
          <w:shd w:val="clear" w:color="auto" w:fill="FFFFFF"/>
          <w:lang w:val="en-US"/>
        </w:rPr>
        <w:fldChar w:fldCharType="end"/>
      </w:r>
    </w:p>
    <w:p w14:paraId="17ACE647" w14:textId="77777777" w:rsidR="00906626" w:rsidRDefault="00906626" w:rsidP="00906626">
      <w:pPr>
        <w:spacing w:line="480" w:lineRule="auto"/>
        <w:jc w:val="both"/>
        <w:rPr>
          <w:u w:val="single"/>
          <w:lang w:val="en-US"/>
        </w:rPr>
      </w:pPr>
      <w:r>
        <w:rPr>
          <w:u w:val="single"/>
          <w:lang w:val="en-US"/>
        </w:rPr>
        <w:t>Fluorescent labeling and confocal microscopy</w:t>
      </w:r>
    </w:p>
    <w:p w14:paraId="63487083" w14:textId="77777777" w:rsidR="004F6DA3" w:rsidRDefault="00906626" w:rsidP="004F6DA3">
      <w:pPr>
        <w:spacing w:line="480" w:lineRule="auto"/>
        <w:jc w:val="both"/>
        <w:rPr>
          <w:lang w:val="en-US"/>
        </w:rPr>
      </w:pPr>
      <w:r>
        <w:rPr>
          <w:lang w:val="en-US"/>
        </w:rPr>
        <w:t xml:space="preserve">5TGM1 CCM was incubated with 1µM </w:t>
      </w:r>
      <w:proofErr w:type="spellStart"/>
      <w:r>
        <w:rPr>
          <w:lang w:val="en-US"/>
        </w:rPr>
        <w:t>DiO</w:t>
      </w:r>
      <w:proofErr w:type="spellEnd"/>
      <w:r>
        <w:rPr>
          <w:lang w:val="en-US"/>
        </w:rPr>
        <w:t xml:space="preserve"> (green fluorescence) (V-22887, Invitrogen, </w:t>
      </w:r>
      <w:proofErr w:type="spellStart"/>
      <w:r>
        <w:rPr>
          <w:lang w:val="en-US"/>
        </w:rPr>
        <w:t>Thermo</w:t>
      </w:r>
      <w:proofErr w:type="spellEnd"/>
      <w:r>
        <w:rPr>
          <w:lang w:val="en-US"/>
        </w:rPr>
        <w:t xml:space="preserve"> Fisher Scientific) for 15 minutes at room temperature prior to EV isolation by </w:t>
      </w:r>
      <w:proofErr w:type="spellStart"/>
      <w:r>
        <w:rPr>
          <w:lang w:val="en-US"/>
        </w:rPr>
        <w:t>ExoQuick</w:t>
      </w:r>
      <w:proofErr w:type="spellEnd"/>
      <w:r>
        <w:rPr>
          <w:lang w:val="en-US"/>
        </w:rPr>
        <w:t xml:space="preserve"> as described above.</w:t>
      </w:r>
      <w:r w:rsidRPr="0051382A">
        <w:rPr>
          <w:lang w:val="en-US"/>
        </w:rPr>
        <w:t xml:space="preserve"> </w:t>
      </w:r>
      <w:r>
        <w:rPr>
          <w:lang w:val="en-US"/>
        </w:rPr>
        <w:t xml:space="preserve">As a negative control, we added </w:t>
      </w:r>
      <w:proofErr w:type="spellStart"/>
      <w:r>
        <w:rPr>
          <w:lang w:val="en-US"/>
        </w:rPr>
        <w:t>DiO</w:t>
      </w:r>
      <w:proofErr w:type="spellEnd"/>
      <w:r>
        <w:rPr>
          <w:lang w:val="en-US"/>
        </w:rPr>
        <w:t xml:space="preserve"> to 10x concentrated serum-free medium, then followed the same steps of EV isolation as for 5TGM1 CCM. MC3T3-E1 c</w:t>
      </w:r>
      <w:r w:rsidRPr="0051382A">
        <w:rPr>
          <w:lang w:val="en-US"/>
        </w:rPr>
        <w:t xml:space="preserve">ellular nuclei were stained using </w:t>
      </w:r>
      <w:r>
        <w:rPr>
          <w:lang w:val="en-US"/>
        </w:rPr>
        <w:t xml:space="preserve">Hoechst staining (10µg/ml) and membranes were colored with Rhodamine Wheat Germ Agglutinin (Victor Laboratories, CA, USA) (25 µg/ml). After incubation of </w:t>
      </w:r>
      <w:proofErr w:type="spellStart"/>
      <w:r>
        <w:rPr>
          <w:lang w:val="en-US"/>
        </w:rPr>
        <w:t>DiO</w:t>
      </w:r>
      <w:proofErr w:type="spellEnd"/>
      <w:r>
        <w:rPr>
          <w:lang w:val="en-US"/>
        </w:rPr>
        <w:t>-</w:t>
      </w:r>
      <w:r w:rsidRPr="0051382A">
        <w:rPr>
          <w:lang w:val="en-US"/>
        </w:rPr>
        <w:t xml:space="preserve">labeled exosomes with </w:t>
      </w:r>
      <w:r>
        <w:rPr>
          <w:lang w:val="en-US"/>
        </w:rPr>
        <w:t xml:space="preserve">MC3T3-E1 </w:t>
      </w:r>
      <w:r w:rsidRPr="0051382A">
        <w:rPr>
          <w:lang w:val="en-US"/>
        </w:rPr>
        <w:t>cells</w:t>
      </w:r>
      <w:r>
        <w:rPr>
          <w:lang w:val="en-US"/>
        </w:rPr>
        <w:t xml:space="preserve"> for 24h</w:t>
      </w:r>
      <w:r w:rsidRPr="0051382A">
        <w:rPr>
          <w:lang w:val="en-US"/>
        </w:rPr>
        <w:t xml:space="preserve">, images of </w:t>
      </w:r>
      <w:proofErr w:type="spellStart"/>
      <w:r>
        <w:rPr>
          <w:lang w:val="en-US"/>
        </w:rPr>
        <w:lastRenderedPageBreak/>
        <w:t>sEV</w:t>
      </w:r>
      <w:proofErr w:type="spellEnd"/>
      <w:r w:rsidRPr="0051382A">
        <w:rPr>
          <w:lang w:val="en-US"/>
        </w:rPr>
        <w:t xml:space="preserve"> uptake were acquired with a confocal laser scanning microscope LSM 710, using ZEN software (Carl Zeiss).</w:t>
      </w:r>
      <w:r>
        <w:rPr>
          <w:lang w:val="en-US"/>
        </w:rPr>
        <w:t xml:space="preserve"> </w:t>
      </w:r>
    </w:p>
    <w:p w14:paraId="1496E872" w14:textId="1CD99C28" w:rsidR="004F6DA3" w:rsidRPr="00730D94" w:rsidRDefault="004F6DA3" w:rsidP="004F6DA3">
      <w:pPr>
        <w:spacing w:line="480" w:lineRule="auto"/>
        <w:jc w:val="both"/>
        <w:rPr>
          <w:u w:val="single"/>
          <w:lang w:val="en-US"/>
        </w:rPr>
      </w:pPr>
      <w:r w:rsidRPr="00730D94">
        <w:rPr>
          <w:u w:val="single"/>
          <w:lang w:val="en-US"/>
        </w:rPr>
        <w:t xml:space="preserve">Collagen C-terminal Telopeptide concentration </w:t>
      </w:r>
    </w:p>
    <w:p w14:paraId="711F60E0" w14:textId="5CB4C013" w:rsidR="00EE7C43" w:rsidRPr="00A24408" w:rsidRDefault="004F6DA3" w:rsidP="00A24408">
      <w:pPr>
        <w:spacing w:line="360" w:lineRule="auto"/>
        <w:jc w:val="both"/>
        <w:rPr>
          <w:u w:val="single"/>
          <w:lang w:val="en-US"/>
        </w:rPr>
      </w:pPr>
      <w:r>
        <w:rPr>
          <w:lang w:val="en-US"/>
        </w:rPr>
        <w:t>Serum was collected from mice for measurement of circulating collagen type I degradation product, using the Mouse CTX/Collagen C-Terminal telopeptide ELISA kit (</w:t>
      </w:r>
      <w:proofErr w:type="spellStart"/>
      <w:r>
        <w:rPr>
          <w:lang w:val="en-US"/>
        </w:rPr>
        <w:t>LifeSpan</w:t>
      </w:r>
      <w:proofErr w:type="spellEnd"/>
      <w:r>
        <w:rPr>
          <w:lang w:val="en-US"/>
        </w:rPr>
        <w:t xml:space="preserve"> </w:t>
      </w:r>
      <w:proofErr w:type="spellStart"/>
      <w:r>
        <w:rPr>
          <w:lang w:val="en-US"/>
        </w:rPr>
        <w:t>BioSciences</w:t>
      </w:r>
      <w:proofErr w:type="spellEnd"/>
      <w:r>
        <w:rPr>
          <w:lang w:val="en-US"/>
        </w:rPr>
        <w:t xml:space="preserve">, Inc., Seattle, WA, USA) according to manufacturer’s instructions. Samples were diluted 1:10. Absorbance was read at 450 nm using the </w:t>
      </w:r>
      <w:proofErr w:type="spellStart"/>
      <w:r>
        <w:rPr>
          <w:lang w:val="en-US"/>
        </w:rPr>
        <w:t>BioRad</w:t>
      </w:r>
      <w:proofErr w:type="spellEnd"/>
      <w:r>
        <w:rPr>
          <w:lang w:val="en-US"/>
        </w:rPr>
        <w:t xml:space="preserve"> </w:t>
      </w:r>
      <w:proofErr w:type="spellStart"/>
      <w:r>
        <w:rPr>
          <w:lang w:val="en-US"/>
        </w:rPr>
        <w:t>iMark</w:t>
      </w:r>
      <w:proofErr w:type="spellEnd"/>
      <w:r>
        <w:rPr>
          <w:lang w:val="en-US"/>
        </w:rPr>
        <w:t>™ Microplate Absorbance reader (</w:t>
      </w:r>
      <w:proofErr w:type="spellStart"/>
      <w:r>
        <w:rPr>
          <w:lang w:val="en-US"/>
        </w:rPr>
        <w:t>BioRad</w:t>
      </w:r>
      <w:proofErr w:type="spellEnd"/>
      <w:r>
        <w:rPr>
          <w:lang w:val="en-US"/>
        </w:rPr>
        <w:t xml:space="preserve"> laboratories, </w:t>
      </w:r>
      <w:proofErr w:type="spellStart"/>
      <w:r>
        <w:rPr>
          <w:lang w:val="en-US"/>
        </w:rPr>
        <w:t>Temse</w:t>
      </w:r>
      <w:proofErr w:type="spellEnd"/>
      <w:r>
        <w:rPr>
          <w:lang w:val="en-US"/>
        </w:rPr>
        <w:t>, Belgium).</w:t>
      </w:r>
      <w:bookmarkStart w:id="5" w:name="_GoBack"/>
      <w:bookmarkEnd w:id="5"/>
    </w:p>
    <w:p w14:paraId="5BD46271" w14:textId="3B7CA7EA" w:rsidR="00EE7C43" w:rsidRPr="00EE7C43" w:rsidRDefault="00EE7C43" w:rsidP="00EE7C43">
      <w:pPr>
        <w:spacing w:line="480" w:lineRule="auto"/>
        <w:jc w:val="both"/>
        <w:rPr>
          <w:u w:val="single"/>
          <w:lang w:val="en-US"/>
        </w:rPr>
      </w:pPr>
      <w:r w:rsidRPr="00EE7C43">
        <w:rPr>
          <w:u w:val="single"/>
          <w:lang w:val="en-US"/>
        </w:rPr>
        <w:t xml:space="preserve">Design of the animal </w:t>
      </w:r>
      <w:r w:rsidR="001047E8">
        <w:rPr>
          <w:u w:val="single"/>
          <w:lang w:val="en-US"/>
        </w:rPr>
        <w:t xml:space="preserve">treatment </w:t>
      </w:r>
      <w:r w:rsidRPr="00EE7C43">
        <w:rPr>
          <w:u w:val="single"/>
          <w:lang w:val="en-US"/>
        </w:rPr>
        <w:t>experiment</w:t>
      </w:r>
    </w:p>
    <w:p w14:paraId="05DC57C2" w14:textId="370E526B" w:rsidR="00EE7C43" w:rsidRPr="00E85107" w:rsidRDefault="00EE7C43" w:rsidP="00EE7C43">
      <w:pPr>
        <w:spacing w:line="480" w:lineRule="auto"/>
        <w:jc w:val="both"/>
        <w:rPr>
          <w:lang w:val="en-US"/>
        </w:rPr>
      </w:pPr>
      <w:r>
        <w:rPr>
          <w:lang w:val="en-US"/>
        </w:rPr>
        <w:t xml:space="preserve">A power analysis was performed (Bonferroni correction, power: 0.8; effect size 1.6 and alpha error 0.0083) to determine the number of mice necessary in each group (n=10). </w:t>
      </w:r>
      <w:r w:rsidR="001047E8">
        <w:rPr>
          <w:lang w:val="en-US"/>
        </w:rPr>
        <w:t xml:space="preserve">Randomization occurred by allocating mice blindly to the different experimental groups. </w:t>
      </w:r>
      <w:r>
        <w:rPr>
          <w:lang w:val="en-US"/>
        </w:rPr>
        <w:t>In the GW4869 group, three mice were excluded from analysis: one mouse died from myeloma before sacrifice and two mice were excluded based on a negative protein electrophoresis, indicating that there was no tumor inoculation.</w:t>
      </w:r>
    </w:p>
    <w:p w14:paraId="15C165FD" w14:textId="3AB13103" w:rsidR="00F74BA5" w:rsidRPr="00F74BA5" w:rsidRDefault="00F74BA5" w:rsidP="00F74BA5">
      <w:pPr>
        <w:spacing w:line="360" w:lineRule="auto"/>
        <w:jc w:val="both"/>
        <w:rPr>
          <w:u w:val="single"/>
          <w:lang w:val="en-US"/>
        </w:rPr>
      </w:pPr>
      <w:r w:rsidRPr="00F74BA5">
        <w:rPr>
          <w:u w:val="single"/>
          <w:lang w:val="en-US"/>
        </w:rPr>
        <w:t>Supplemental figure 1</w:t>
      </w:r>
    </w:p>
    <w:p w14:paraId="377257FA" w14:textId="77777777" w:rsidR="00F74BA5" w:rsidRDefault="00F74BA5" w:rsidP="00F74BA5">
      <w:pPr>
        <w:spacing w:line="360" w:lineRule="auto"/>
        <w:jc w:val="both"/>
        <w:rPr>
          <w:lang w:val="en-US"/>
        </w:rPr>
      </w:pPr>
      <w:r>
        <w:rPr>
          <w:lang w:val="en-US"/>
        </w:rPr>
        <w:t xml:space="preserve">A. Relative changes in trabecular bone volume, induced by 5TGM1 </w:t>
      </w:r>
      <w:proofErr w:type="spellStart"/>
      <w:r>
        <w:rPr>
          <w:lang w:val="en-US"/>
        </w:rPr>
        <w:t>sEVs</w:t>
      </w:r>
      <w:proofErr w:type="spellEnd"/>
      <w:r>
        <w:rPr>
          <w:lang w:val="en-US"/>
        </w:rPr>
        <w:t xml:space="preserve"> compared to 5TGM1 inoculation</w:t>
      </w:r>
    </w:p>
    <w:p w14:paraId="077C5298" w14:textId="1C367316" w:rsidR="00F74BA5" w:rsidRDefault="00F74BA5" w:rsidP="00F74BA5">
      <w:pPr>
        <w:spacing w:line="360" w:lineRule="auto"/>
        <w:jc w:val="both"/>
        <w:rPr>
          <w:lang w:val="en-US"/>
        </w:rPr>
      </w:pPr>
      <w:r>
        <w:rPr>
          <w:lang w:val="en-US"/>
        </w:rPr>
        <w:t xml:space="preserve">B. </w:t>
      </w:r>
      <w:r w:rsidR="00B34286">
        <w:rPr>
          <w:lang w:val="en-US"/>
        </w:rPr>
        <w:t xml:space="preserve">Viability </w:t>
      </w:r>
      <w:r w:rsidR="00AD41D6">
        <w:rPr>
          <w:lang w:val="en-US"/>
        </w:rPr>
        <w:t xml:space="preserve">of 5TGM1 cells </w:t>
      </w:r>
      <w:r w:rsidR="00AD41D6" w:rsidRPr="002B0AAB">
        <w:rPr>
          <w:lang w:val="en-US"/>
        </w:rPr>
        <w:t xml:space="preserve">and </w:t>
      </w:r>
      <w:r w:rsidR="004E0BB4" w:rsidRPr="002B0AAB">
        <w:rPr>
          <w:lang w:val="en-US"/>
        </w:rPr>
        <w:t>differentiated RAW264.7 cells</w:t>
      </w:r>
      <w:r w:rsidR="00377986" w:rsidRPr="002B0AAB">
        <w:rPr>
          <w:lang w:val="en-US"/>
        </w:rPr>
        <w:t xml:space="preserve"> (osteoclasts)</w:t>
      </w:r>
      <w:r w:rsidR="004E0BB4">
        <w:rPr>
          <w:lang w:val="en-US"/>
        </w:rPr>
        <w:t xml:space="preserve"> </w:t>
      </w:r>
      <w:r w:rsidR="00B34286">
        <w:rPr>
          <w:lang w:val="en-US"/>
        </w:rPr>
        <w:t xml:space="preserve">after treatment with 10 µM GW4869 for 24h. </w:t>
      </w:r>
    </w:p>
    <w:p w14:paraId="38A5ED15" w14:textId="4E908FB2" w:rsidR="00F74BA5" w:rsidRDefault="00F74BA5" w:rsidP="00F74BA5">
      <w:pPr>
        <w:spacing w:line="360" w:lineRule="auto"/>
        <w:jc w:val="both"/>
        <w:rPr>
          <w:lang w:val="en-US"/>
        </w:rPr>
      </w:pPr>
      <w:r>
        <w:rPr>
          <w:lang w:val="en-US"/>
        </w:rPr>
        <w:t xml:space="preserve">C. </w:t>
      </w:r>
      <w:r w:rsidR="00B34286">
        <w:rPr>
          <w:lang w:val="en-US"/>
        </w:rPr>
        <w:t xml:space="preserve">Measurement of </w:t>
      </w:r>
      <w:proofErr w:type="spellStart"/>
      <w:r w:rsidR="00B34286">
        <w:rPr>
          <w:lang w:val="en-US"/>
        </w:rPr>
        <w:t>microvessel</w:t>
      </w:r>
      <w:proofErr w:type="spellEnd"/>
      <w:r w:rsidR="00B34286">
        <w:rPr>
          <w:lang w:val="en-US"/>
        </w:rPr>
        <w:t xml:space="preserve"> density </w:t>
      </w:r>
      <w:r w:rsidR="004F6DA3">
        <w:rPr>
          <w:lang w:val="en-US"/>
        </w:rPr>
        <w:t xml:space="preserve">(MVD) </w:t>
      </w:r>
      <w:r w:rsidR="00B34286">
        <w:rPr>
          <w:lang w:val="en-US"/>
        </w:rPr>
        <w:t>by counting CD31+ cells on BM sections</w:t>
      </w:r>
    </w:p>
    <w:p w14:paraId="4A7DDA50" w14:textId="39684FC4" w:rsidR="00F74BA5" w:rsidRDefault="00F74BA5" w:rsidP="00BA0840">
      <w:pPr>
        <w:spacing w:line="360" w:lineRule="auto"/>
        <w:jc w:val="both"/>
        <w:rPr>
          <w:lang w:val="en-US"/>
        </w:rPr>
      </w:pPr>
      <w:r>
        <w:rPr>
          <w:lang w:val="en-US"/>
        </w:rPr>
        <w:t xml:space="preserve">D. </w:t>
      </w:r>
      <w:r w:rsidR="00B34286">
        <w:rPr>
          <w:lang w:val="en-US"/>
        </w:rPr>
        <w:t xml:space="preserve">Verification of effects of 5TGM1 </w:t>
      </w:r>
      <w:proofErr w:type="spellStart"/>
      <w:r w:rsidR="00B34286">
        <w:rPr>
          <w:lang w:val="en-US"/>
        </w:rPr>
        <w:t>sEVs</w:t>
      </w:r>
      <w:proofErr w:type="spellEnd"/>
      <w:r w:rsidR="00B34286">
        <w:rPr>
          <w:lang w:val="en-US"/>
        </w:rPr>
        <w:t xml:space="preserve"> isolated by </w:t>
      </w:r>
      <w:proofErr w:type="spellStart"/>
      <w:r w:rsidR="00B34286">
        <w:rPr>
          <w:lang w:val="en-US"/>
        </w:rPr>
        <w:t>Optiprep</w:t>
      </w:r>
      <w:proofErr w:type="spellEnd"/>
      <w:r w:rsidR="00B34286">
        <w:rPr>
          <w:lang w:val="en-US"/>
        </w:rPr>
        <w:t xml:space="preserve"> Gradient ultracentrifugation on viability of MC3T3-E1</w:t>
      </w:r>
    </w:p>
    <w:p w14:paraId="051F1DA8" w14:textId="1E67357D" w:rsidR="00F74BA5" w:rsidRPr="00730D94" w:rsidRDefault="00F74BA5" w:rsidP="00906626">
      <w:pPr>
        <w:spacing w:line="480" w:lineRule="auto"/>
        <w:jc w:val="both"/>
        <w:rPr>
          <w:u w:val="single"/>
        </w:rPr>
      </w:pPr>
      <w:r w:rsidRPr="00730D94">
        <w:rPr>
          <w:u w:val="single"/>
        </w:rPr>
        <w:t>References:</w:t>
      </w:r>
    </w:p>
    <w:p w14:paraId="3F85A6AE" w14:textId="2C9F2DB1" w:rsidR="009D098B" w:rsidRPr="004E6A09" w:rsidRDefault="003A6020" w:rsidP="009D098B">
      <w:pPr>
        <w:widowControl w:val="0"/>
        <w:autoSpaceDE w:val="0"/>
        <w:autoSpaceDN w:val="0"/>
        <w:adjustRightInd w:val="0"/>
        <w:spacing w:line="240" w:lineRule="auto"/>
        <w:ind w:left="640" w:hanging="640"/>
        <w:rPr>
          <w:rFonts w:ascii="Calibri" w:hAnsi="Calibri" w:cs="Times New Roman"/>
          <w:noProof/>
          <w:szCs w:val="24"/>
          <w:lang w:val="en-US"/>
        </w:rPr>
      </w:pPr>
      <w:r>
        <w:rPr>
          <w:lang w:val="en-US"/>
        </w:rPr>
        <w:fldChar w:fldCharType="begin" w:fldLock="1"/>
      </w:r>
      <w:r w:rsidRPr="00730D94">
        <w:instrText xml:space="preserve">ADDIN Mendeley Bibliography CSL_BIBLIOGRAPHY </w:instrText>
      </w:r>
      <w:r>
        <w:rPr>
          <w:lang w:val="en-US"/>
        </w:rPr>
        <w:fldChar w:fldCharType="separate"/>
      </w:r>
      <w:r w:rsidR="004F6DA3">
        <w:rPr>
          <w:rFonts w:ascii="Calibri" w:hAnsi="Calibri" w:cs="Times New Roman"/>
          <w:noProof/>
          <w:szCs w:val="24"/>
        </w:rPr>
        <w:t xml:space="preserve">1. </w:t>
      </w:r>
      <w:r w:rsidR="004F6DA3">
        <w:rPr>
          <w:rFonts w:ascii="Calibri" w:hAnsi="Calibri" w:cs="Times New Roman"/>
          <w:noProof/>
          <w:szCs w:val="24"/>
        </w:rPr>
        <w:tab/>
        <w:t xml:space="preserve">Van Deun J </w:t>
      </w:r>
      <w:r w:rsidR="009D098B" w:rsidRPr="00730D94">
        <w:rPr>
          <w:rFonts w:ascii="Calibri" w:hAnsi="Calibri" w:cs="Times New Roman"/>
          <w:noProof/>
          <w:szCs w:val="24"/>
        </w:rPr>
        <w:t xml:space="preserve">et al. </w:t>
      </w:r>
      <w:r w:rsidR="009D098B" w:rsidRPr="004E6A09">
        <w:rPr>
          <w:rFonts w:ascii="Calibri" w:hAnsi="Calibri" w:cs="Times New Roman"/>
          <w:noProof/>
          <w:szCs w:val="24"/>
          <w:lang w:val="en-US"/>
        </w:rPr>
        <w:t xml:space="preserve">The impact of disparate isolation methods for extracellular vesicles on downstream RNA profiling. J Extracell Vesicles. 2014;3(1):1–14. </w:t>
      </w:r>
    </w:p>
    <w:p w14:paraId="05582FF7" w14:textId="5543DD3B" w:rsidR="009D098B" w:rsidRPr="004E6A09" w:rsidRDefault="004F6DA3" w:rsidP="009D098B">
      <w:pPr>
        <w:widowControl w:val="0"/>
        <w:autoSpaceDE w:val="0"/>
        <w:autoSpaceDN w:val="0"/>
        <w:adjustRightInd w:val="0"/>
        <w:spacing w:line="240" w:lineRule="auto"/>
        <w:ind w:left="640" w:hanging="640"/>
        <w:rPr>
          <w:rFonts w:ascii="Calibri" w:hAnsi="Calibri" w:cs="Times New Roman"/>
          <w:noProof/>
          <w:szCs w:val="24"/>
          <w:lang w:val="en-US"/>
        </w:rPr>
      </w:pPr>
      <w:r>
        <w:rPr>
          <w:rFonts w:ascii="Calibri" w:hAnsi="Calibri" w:cs="Times New Roman"/>
          <w:noProof/>
          <w:szCs w:val="24"/>
          <w:lang w:val="en-US"/>
        </w:rPr>
        <w:t xml:space="preserve">2. </w:t>
      </w:r>
      <w:r>
        <w:rPr>
          <w:rFonts w:ascii="Calibri" w:hAnsi="Calibri" w:cs="Times New Roman"/>
          <w:noProof/>
          <w:szCs w:val="24"/>
          <w:lang w:val="en-US"/>
        </w:rPr>
        <w:tab/>
        <w:t xml:space="preserve">Heusschen R </w:t>
      </w:r>
      <w:r w:rsidR="009D098B" w:rsidRPr="004E6A09">
        <w:rPr>
          <w:rFonts w:ascii="Calibri" w:hAnsi="Calibri" w:cs="Times New Roman"/>
          <w:noProof/>
          <w:szCs w:val="24"/>
          <w:lang w:val="en-US"/>
        </w:rPr>
        <w:t xml:space="preserve">et al. SRC kinase inhibition with saracatinib limits the development of osteolytic </w:t>
      </w:r>
      <w:r w:rsidR="009D098B" w:rsidRPr="004E6A09">
        <w:rPr>
          <w:rFonts w:ascii="Calibri" w:hAnsi="Calibri" w:cs="Times New Roman"/>
          <w:noProof/>
          <w:szCs w:val="24"/>
          <w:lang w:val="en-US"/>
        </w:rPr>
        <w:lastRenderedPageBreak/>
        <w:t xml:space="preserve">bone disease in multiple myeloma. Oncotarget. 2016;7(21):30712–29. </w:t>
      </w:r>
    </w:p>
    <w:p w14:paraId="2334C689" w14:textId="205C1438" w:rsidR="009D098B" w:rsidRPr="004E6A09" w:rsidRDefault="009D098B" w:rsidP="009D098B">
      <w:pPr>
        <w:widowControl w:val="0"/>
        <w:autoSpaceDE w:val="0"/>
        <w:autoSpaceDN w:val="0"/>
        <w:adjustRightInd w:val="0"/>
        <w:spacing w:line="240" w:lineRule="auto"/>
        <w:ind w:left="640" w:hanging="640"/>
        <w:rPr>
          <w:rFonts w:ascii="Calibri" w:hAnsi="Calibri" w:cs="Times New Roman"/>
          <w:noProof/>
          <w:szCs w:val="24"/>
          <w:lang w:val="en-US"/>
        </w:rPr>
      </w:pPr>
      <w:r w:rsidRPr="00730D94">
        <w:rPr>
          <w:rFonts w:ascii="Calibri" w:hAnsi="Calibri" w:cs="Times New Roman"/>
          <w:noProof/>
          <w:szCs w:val="24"/>
          <w:lang w:val="en-US"/>
        </w:rPr>
        <w:t xml:space="preserve">3. </w:t>
      </w:r>
      <w:r w:rsidRPr="00730D94">
        <w:rPr>
          <w:rFonts w:ascii="Calibri" w:hAnsi="Calibri" w:cs="Times New Roman"/>
          <w:noProof/>
          <w:szCs w:val="24"/>
          <w:lang w:val="en-US"/>
        </w:rPr>
        <w:tab/>
      </w:r>
      <w:r w:rsidRPr="00AD41D6">
        <w:rPr>
          <w:rFonts w:ascii="Calibri" w:hAnsi="Calibri" w:cs="Times New Roman"/>
          <w:noProof/>
          <w:szCs w:val="24"/>
          <w:lang w:val="en-US"/>
        </w:rPr>
        <w:t xml:space="preserve">De Bruyne E et al. </w:t>
      </w:r>
      <w:r w:rsidRPr="004E6A09">
        <w:rPr>
          <w:rFonts w:ascii="Calibri" w:hAnsi="Calibri" w:cs="Times New Roman"/>
          <w:noProof/>
          <w:szCs w:val="24"/>
          <w:lang w:val="en-US"/>
        </w:rPr>
        <w:t xml:space="preserve">IGF-1 suppresses Bim expression in multiple myeloma via epigenetic and posttranslational mechanisms. Blood. 2010;115(12):2430–40. </w:t>
      </w:r>
    </w:p>
    <w:p w14:paraId="3AB14B43" w14:textId="77777777" w:rsidR="009D098B" w:rsidRPr="009D098B" w:rsidRDefault="009D098B" w:rsidP="009D098B">
      <w:pPr>
        <w:widowControl w:val="0"/>
        <w:autoSpaceDE w:val="0"/>
        <w:autoSpaceDN w:val="0"/>
        <w:adjustRightInd w:val="0"/>
        <w:spacing w:line="240" w:lineRule="auto"/>
        <w:ind w:left="640" w:hanging="640"/>
        <w:rPr>
          <w:rFonts w:ascii="Calibri" w:hAnsi="Calibri"/>
          <w:noProof/>
        </w:rPr>
      </w:pPr>
      <w:r w:rsidRPr="004E6A09">
        <w:rPr>
          <w:rFonts w:ascii="Calibri" w:hAnsi="Calibri" w:cs="Times New Roman"/>
          <w:noProof/>
          <w:szCs w:val="24"/>
          <w:lang w:val="en-US"/>
        </w:rPr>
        <w:t xml:space="preserve">4. </w:t>
      </w:r>
      <w:r w:rsidRPr="004E6A09">
        <w:rPr>
          <w:rFonts w:ascii="Calibri" w:hAnsi="Calibri" w:cs="Times New Roman"/>
          <w:noProof/>
          <w:szCs w:val="24"/>
          <w:lang w:val="en-US"/>
        </w:rPr>
        <w:tab/>
        <w:t xml:space="preserve">De Raeve HR, Vermeulen PB, Vanderkerken K, Harris AL, Van Marck E. Microvessel density, endothelial-cell proliferation and carbonic anhydrase IX expression in haematological malignancies, bone-marrow metastases and monoclonal gammopathy of undetermined significance. </w:t>
      </w:r>
      <w:r w:rsidRPr="009D098B">
        <w:rPr>
          <w:rFonts w:ascii="Calibri" w:hAnsi="Calibri" w:cs="Times New Roman"/>
          <w:noProof/>
          <w:szCs w:val="24"/>
        </w:rPr>
        <w:t xml:space="preserve">Virchows Arch. 2004;445(1):27–35. </w:t>
      </w:r>
    </w:p>
    <w:p w14:paraId="76E1124F" w14:textId="68D68CA4" w:rsidR="00856E33" w:rsidRPr="00F025F9" w:rsidRDefault="003A6020">
      <w:pPr>
        <w:rPr>
          <w:lang w:val="en-US"/>
        </w:rPr>
      </w:pPr>
      <w:r>
        <w:rPr>
          <w:lang w:val="en-US"/>
        </w:rPr>
        <w:fldChar w:fldCharType="end"/>
      </w:r>
    </w:p>
    <w:sectPr w:rsidR="00856E33" w:rsidRPr="00F025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E33"/>
    <w:rsid w:val="0005711C"/>
    <w:rsid w:val="001047E8"/>
    <w:rsid w:val="002B0AAB"/>
    <w:rsid w:val="00377986"/>
    <w:rsid w:val="003A6020"/>
    <w:rsid w:val="0044742C"/>
    <w:rsid w:val="004610D7"/>
    <w:rsid w:val="004912B6"/>
    <w:rsid w:val="004E0BB4"/>
    <w:rsid w:val="004E6A09"/>
    <w:rsid w:val="004F6DA3"/>
    <w:rsid w:val="00522B91"/>
    <w:rsid w:val="00716E0A"/>
    <w:rsid w:val="00730D94"/>
    <w:rsid w:val="00856E33"/>
    <w:rsid w:val="009015CA"/>
    <w:rsid w:val="00906626"/>
    <w:rsid w:val="009B49E1"/>
    <w:rsid w:val="009D098B"/>
    <w:rsid w:val="009D75A2"/>
    <w:rsid w:val="00A11A46"/>
    <w:rsid w:val="00A24408"/>
    <w:rsid w:val="00AD41D6"/>
    <w:rsid w:val="00B34286"/>
    <w:rsid w:val="00BA0840"/>
    <w:rsid w:val="00BC5C6C"/>
    <w:rsid w:val="00C74969"/>
    <w:rsid w:val="00DA265C"/>
    <w:rsid w:val="00ED1279"/>
    <w:rsid w:val="00EE7C43"/>
    <w:rsid w:val="00F025F9"/>
    <w:rsid w:val="00F74BA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CC79B"/>
  <w15:chartTrackingRefBased/>
  <w15:docId w15:val="{18818123-4F3A-49E9-8C68-F17DED2D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025F9"/>
    <w:rPr>
      <w:sz w:val="16"/>
      <w:szCs w:val="16"/>
    </w:rPr>
  </w:style>
  <w:style w:type="paragraph" w:styleId="CommentText">
    <w:name w:val="annotation text"/>
    <w:basedOn w:val="Normal"/>
    <w:link w:val="CommentTextChar"/>
    <w:uiPriority w:val="99"/>
    <w:semiHidden/>
    <w:unhideWhenUsed/>
    <w:rsid w:val="00F025F9"/>
    <w:pPr>
      <w:spacing w:line="240" w:lineRule="auto"/>
    </w:pPr>
    <w:rPr>
      <w:sz w:val="20"/>
      <w:szCs w:val="20"/>
    </w:rPr>
  </w:style>
  <w:style w:type="character" w:customStyle="1" w:styleId="CommentTextChar">
    <w:name w:val="Comment Text Char"/>
    <w:basedOn w:val="DefaultParagraphFont"/>
    <w:link w:val="CommentText"/>
    <w:uiPriority w:val="99"/>
    <w:semiHidden/>
    <w:rsid w:val="00F025F9"/>
    <w:rPr>
      <w:sz w:val="20"/>
      <w:szCs w:val="20"/>
    </w:rPr>
  </w:style>
  <w:style w:type="paragraph" w:styleId="BalloonText">
    <w:name w:val="Balloon Text"/>
    <w:basedOn w:val="Normal"/>
    <w:link w:val="BalloonTextChar"/>
    <w:uiPriority w:val="99"/>
    <w:semiHidden/>
    <w:unhideWhenUsed/>
    <w:rsid w:val="00F025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5F9"/>
    <w:rPr>
      <w:rFonts w:ascii="Segoe UI" w:hAnsi="Segoe UI" w:cs="Segoe UI"/>
      <w:sz w:val="18"/>
      <w:szCs w:val="18"/>
    </w:rPr>
  </w:style>
  <w:style w:type="character" w:customStyle="1" w:styleId="small-caps">
    <w:name w:val="small-caps"/>
    <w:basedOn w:val="DefaultParagraphFont"/>
    <w:rsid w:val="009D098B"/>
  </w:style>
  <w:style w:type="character" w:styleId="Emphasis">
    <w:name w:val="Emphasis"/>
    <w:basedOn w:val="DefaultParagraphFont"/>
    <w:uiPriority w:val="20"/>
    <w:qFormat/>
    <w:rsid w:val="009D09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4166A-87E0-A14E-A446-4B9478205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3651</Words>
  <Characters>20811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Faict</dc:creator>
  <cp:keywords/>
  <dc:description/>
  <cp:lastModifiedBy>Sylvia FAICT</cp:lastModifiedBy>
  <cp:revision>4</cp:revision>
  <dcterms:created xsi:type="dcterms:W3CDTF">2018-09-24T12:59:00Z</dcterms:created>
  <dcterms:modified xsi:type="dcterms:W3CDTF">2018-09-24T13:00:00Z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bfd5cecd-fc85-332f-8f26-ada5a50c0f39</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