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342" w:rsidRPr="00611BC5" w:rsidRDefault="00AE3342" w:rsidP="00524CF4">
      <w:pPr>
        <w:spacing w:afterLines="10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611BC5">
        <w:rPr>
          <w:rFonts w:ascii="Arial" w:hAnsi="Arial" w:cs="Arial" w:hint="eastAsia"/>
          <w:b/>
          <w:color w:val="000000" w:themeColor="text1"/>
          <w:sz w:val="24"/>
          <w:szCs w:val="24"/>
        </w:rPr>
        <w:t>S</w:t>
      </w:r>
      <w:r w:rsidRPr="00611BC5">
        <w:rPr>
          <w:rFonts w:ascii="Arial" w:hAnsi="Arial" w:cs="Arial"/>
          <w:b/>
          <w:color w:val="000000" w:themeColor="text1"/>
          <w:sz w:val="24"/>
          <w:szCs w:val="24"/>
        </w:rPr>
        <w:t>ever</w:t>
      </w:r>
      <w:r w:rsidRPr="00611BC5">
        <w:rPr>
          <w:rFonts w:ascii="Arial" w:hAnsi="Arial" w:cs="Arial" w:hint="eastAsia"/>
          <w:b/>
          <w:color w:val="000000" w:themeColor="text1"/>
          <w:sz w:val="24"/>
          <w:szCs w:val="24"/>
        </w:rPr>
        <w:t>e</w:t>
      </w:r>
      <w:r w:rsidRPr="00611BC5">
        <w:rPr>
          <w:rFonts w:ascii="Arial" w:hAnsi="Arial" w:cs="Arial"/>
          <w:b/>
          <w:color w:val="000000" w:themeColor="text1"/>
          <w:sz w:val="24"/>
          <w:szCs w:val="24"/>
        </w:rPr>
        <w:t xml:space="preserve"> ineffective erythropoiesis</w:t>
      </w:r>
      <w:r w:rsidRPr="00611BC5">
        <w:rPr>
          <w:rFonts w:ascii="Arial" w:hAnsi="Arial" w:cs="Arial"/>
          <w:b/>
          <w:color w:val="000000" w:themeColor="text1"/>
          <w:kern w:val="0"/>
          <w:sz w:val="24"/>
          <w:szCs w:val="24"/>
        </w:rPr>
        <w:t xml:space="preserve"> discriminates prognosis</w:t>
      </w:r>
      <w:r w:rsidRPr="00611BC5">
        <w:rPr>
          <w:rFonts w:ascii="Arial" w:hAnsi="Arial" w:cs="Arial" w:hint="eastAsia"/>
          <w:b/>
          <w:color w:val="000000" w:themeColor="text1"/>
          <w:kern w:val="0"/>
          <w:sz w:val="24"/>
          <w:szCs w:val="24"/>
        </w:rPr>
        <w:t xml:space="preserve"> </w:t>
      </w:r>
      <w:r w:rsidRPr="00611BC5">
        <w:rPr>
          <w:rFonts w:ascii="Arial" w:hAnsi="Arial" w:cs="Arial"/>
          <w:b/>
          <w:color w:val="000000" w:themeColor="text1"/>
          <w:sz w:val="24"/>
          <w:szCs w:val="24"/>
        </w:rPr>
        <w:t>in myelodysplastic syndromes</w:t>
      </w:r>
      <w:r w:rsidRPr="00611BC5">
        <w:rPr>
          <w:rFonts w:ascii="Arial" w:hAnsi="Times New Roman" w:cs="Arial"/>
          <w:b/>
          <w:color w:val="000000" w:themeColor="text1"/>
          <w:sz w:val="24"/>
          <w:szCs w:val="24"/>
        </w:rPr>
        <w:t>：</w:t>
      </w:r>
      <w:r w:rsidRPr="00611BC5">
        <w:rPr>
          <w:rFonts w:ascii="Arial" w:hAnsi="Arial" w:cs="Arial"/>
          <w:b/>
          <w:color w:val="000000" w:themeColor="text1"/>
          <w:sz w:val="24"/>
          <w:szCs w:val="24"/>
        </w:rPr>
        <w:t>analysis based on 776 patients from a single centre</w:t>
      </w:r>
    </w:p>
    <w:p w:rsidR="00AE3342" w:rsidRPr="00611BC5" w:rsidRDefault="00AE3342" w:rsidP="00AE3342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611BC5">
        <w:rPr>
          <w:rFonts w:ascii="Arial" w:hAnsi="Arial" w:cs="Arial" w:hint="eastAsia"/>
          <w:b/>
          <w:color w:val="000000" w:themeColor="text1"/>
          <w:sz w:val="24"/>
          <w:szCs w:val="24"/>
        </w:rPr>
        <w:t>Supplementary Information</w:t>
      </w:r>
    </w:p>
    <w:p w:rsidR="00E16D55" w:rsidRPr="00611BC5" w:rsidRDefault="00E16D55">
      <w:pPr>
        <w:rPr>
          <w:color w:val="000000" w:themeColor="text1"/>
        </w:rPr>
      </w:pPr>
    </w:p>
    <w:p w:rsidR="00AE3342" w:rsidRPr="00611BC5" w:rsidRDefault="00AE3342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611BC5">
        <w:rPr>
          <w:rFonts w:ascii="Arial" w:hAnsi="Arial" w:cs="Arial" w:hint="eastAsia"/>
          <w:b/>
          <w:color w:val="000000" w:themeColor="text1"/>
          <w:sz w:val="24"/>
          <w:szCs w:val="24"/>
        </w:rPr>
        <w:t>Supplementary Methods</w:t>
      </w:r>
    </w:p>
    <w:p w:rsidR="00AE3342" w:rsidRPr="00611BC5" w:rsidRDefault="00AE3342" w:rsidP="00AE3342">
      <w:pPr>
        <w:ind w:firstLineChars="49" w:firstLine="103"/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Cells sorting strategy for </w:t>
      </w:r>
      <w:r w:rsidRPr="00611BC5">
        <w:rPr>
          <w:rFonts w:ascii="Arial" w:eastAsia="宋体" w:hAnsi="Arial" w:cs="Arial" w:hint="eastAsia"/>
          <w:b/>
          <w:color w:val="000000" w:themeColor="text1"/>
          <w:szCs w:val="21"/>
        </w:rPr>
        <w:t>megakaryocytic-erythroid progenitors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(MEPs)</w:t>
      </w:r>
    </w:p>
    <w:p w:rsidR="00AE3342" w:rsidRPr="00611BC5" w:rsidRDefault="00AE3342">
      <w:pPr>
        <w:rPr>
          <w:rFonts w:ascii="Arial" w:hAnsi="Arial" w:cs="Arial"/>
          <w:b/>
          <w:bCs/>
          <w:color w:val="000000" w:themeColor="text1"/>
          <w:szCs w:val="21"/>
        </w:rPr>
      </w:pPr>
      <w:r w:rsidRPr="00611BC5">
        <w:rPr>
          <w:rFonts w:hint="eastAsia"/>
          <w:color w:val="000000" w:themeColor="text1"/>
          <w:szCs w:val="21"/>
        </w:rPr>
        <w:t xml:space="preserve"> </w:t>
      </w:r>
      <w:r w:rsidR="00EF65D7" w:rsidRPr="00611BC5">
        <w:rPr>
          <w:rFonts w:ascii="Arial" w:hAnsi="Arial" w:cs="Arial"/>
          <w:b/>
          <w:bCs/>
          <w:i/>
          <w:iCs/>
          <w:color w:val="000000" w:themeColor="text1"/>
          <w:szCs w:val="21"/>
        </w:rPr>
        <w:t>Ex vivo</w:t>
      </w:r>
      <w:r w:rsidR="00EF65D7" w:rsidRPr="00611BC5">
        <w:rPr>
          <w:rFonts w:ascii="Arial" w:hAnsi="Arial" w:cs="Arial"/>
          <w:b/>
          <w:bCs/>
          <w:color w:val="000000" w:themeColor="text1"/>
          <w:szCs w:val="21"/>
        </w:rPr>
        <w:t xml:space="preserve"> erythroid differentiation</w:t>
      </w:r>
    </w:p>
    <w:p w:rsidR="00AE3342" w:rsidRPr="00611BC5" w:rsidRDefault="00AE3342" w:rsidP="00AE3342">
      <w:pPr>
        <w:spacing w:line="360" w:lineRule="auto"/>
        <w:rPr>
          <w:rFonts w:ascii="Arial" w:hAnsi="Arial" w:cs="Arial"/>
          <w:b/>
          <w:bCs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</w:t>
      </w:r>
      <w:r w:rsidRPr="00611BC5">
        <w:rPr>
          <w:rFonts w:ascii="Arial" w:hAnsi="Arial" w:cs="Arial"/>
          <w:b/>
          <w:bCs/>
          <w:color w:val="000000" w:themeColor="text1"/>
          <w:szCs w:val="21"/>
        </w:rPr>
        <w:t>RNA-Seq</w:t>
      </w:r>
      <w:r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and </w:t>
      </w:r>
      <w:r w:rsidRPr="00611BC5">
        <w:rPr>
          <w:rFonts w:ascii="Arial" w:hAnsi="Arial" w:cs="Arial"/>
          <w:b/>
          <w:bCs/>
          <w:color w:val="000000" w:themeColor="text1"/>
          <w:szCs w:val="21"/>
        </w:rPr>
        <w:t>Gene sets enrichment analysis (GSEA)</w:t>
      </w:r>
    </w:p>
    <w:p w:rsidR="00AE3342" w:rsidRPr="00611BC5" w:rsidRDefault="00AE3342" w:rsidP="00AE3342">
      <w:pPr>
        <w:spacing w:line="360" w:lineRule="auto"/>
        <w:rPr>
          <w:rFonts w:ascii="Arial" w:hAnsi="Arial" w:cs="Arial"/>
          <w:b/>
          <w:bCs/>
          <w:color w:val="000000" w:themeColor="text1"/>
          <w:szCs w:val="21"/>
        </w:rPr>
      </w:pPr>
    </w:p>
    <w:p w:rsidR="00AE3342" w:rsidRPr="00611BC5" w:rsidRDefault="00AE3342" w:rsidP="00AE33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11BC5">
        <w:rPr>
          <w:rFonts w:ascii="Arial" w:hAnsi="Arial" w:cs="Arial"/>
          <w:b/>
          <w:bCs/>
          <w:color w:val="000000" w:themeColor="text1"/>
          <w:sz w:val="24"/>
          <w:szCs w:val="24"/>
        </w:rPr>
        <w:t>Supplementary</w:t>
      </w:r>
      <w:r w:rsidRPr="00611BC5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 xml:space="preserve"> Figures</w:t>
      </w:r>
    </w:p>
    <w:p w:rsidR="00AE3342" w:rsidRPr="00611BC5" w:rsidRDefault="003C555F" w:rsidP="001227C0">
      <w:pPr>
        <w:ind w:left="103" w:hangingChars="49" w:hanging="103"/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Supplementary Figure 1.</w:t>
      </w:r>
      <w:r w:rsidR="00E662A2"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Cell sorting strategy for hematopoietic stem cells (HSCs) (</w:t>
      </w:r>
      <w:r w:rsidRPr="00611BC5">
        <w:rPr>
          <w:rFonts w:ascii="Arial" w:hAnsi="Arial" w:cs="Arial"/>
          <w:b/>
          <w:color w:val="000000" w:themeColor="text1"/>
        </w:rPr>
        <w:t>Lin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b/>
          <w:color w:val="000000" w:themeColor="text1"/>
        </w:rPr>
        <w:t>CD34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+</w:t>
      </w:r>
      <w:r w:rsidRPr="00611BC5">
        <w:rPr>
          <w:rFonts w:ascii="Arial" w:hAnsi="Arial" w:cs="Arial"/>
          <w:b/>
          <w:color w:val="000000" w:themeColor="text1"/>
        </w:rPr>
        <w:t>CD38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b/>
          <w:color w:val="000000" w:themeColor="text1"/>
        </w:rPr>
        <w:t>CD45RA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b/>
          <w:color w:val="000000" w:themeColor="text1"/>
        </w:rPr>
        <w:t>CD123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) and </w:t>
      </w:r>
      <w:r w:rsidRPr="00611BC5">
        <w:rPr>
          <w:rFonts w:ascii="Arial" w:eastAsia="宋体" w:hAnsi="Arial" w:cs="Arial" w:hint="eastAsia"/>
          <w:b/>
          <w:color w:val="000000" w:themeColor="text1"/>
          <w:szCs w:val="21"/>
        </w:rPr>
        <w:t>megakaryocytic-erythroid progenitors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(MEPs) (</w:t>
      </w:r>
      <w:r w:rsidRPr="00611BC5">
        <w:rPr>
          <w:rFonts w:ascii="Arial" w:hAnsi="Arial" w:cs="Arial"/>
          <w:b/>
          <w:color w:val="000000" w:themeColor="text1"/>
        </w:rPr>
        <w:t>Lin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b/>
          <w:color w:val="000000" w:themeColor="text1"/>
        </w:rPr>
        <w:t>CD34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+</w:t>
      </w:r>
      <w:r w:rsidRPr="00611BC5">
        <w:rPr>
          <w:rFonts w:ascii="Arial" w:hAnsi="Arial" w:cs="Arial"/>
          <w:b/>
          <w:color w:val="000000" w:themeColor="text1"/>
        </w:rPr>
        <w:t>CD38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+</w:t>
      </w:r>
      <w:r w:rsidRPr="00611BC5">
        <w:rPr>
          <w:rFonts w:ascii="Arial" w:hAnsi="Arial" w:cs="Arial"/>
          <w:b/>
          <w:color w:val="000000" w:themeColor="text1"/>
        </w:rPr>
        <w:t>CD45RA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b/>
          <w:color w:val="000000" w:themeColor="text1"/>
        </w:rPr>
        <w:t>CD123</w:t>
      </w:r>
      <w:r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).</w:t>
      </w:r>
    </w:p>
    <w:p w:rsidR="001227C0" w:rsidRPr="00611BC5" w:rsidRDefault="001227C0" w:rsidP="001227C0">
      <w:pPr>
        <w:ind w:left="103" w:hangingChars="49" w:hanging="103"/>
        <w:rPr>
          <w:rFonts w:ascii="Arial" w:hAnsi="Arial" w:cs="Arial"/>
          <w:b/>
          <w:bCs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Supplementary Figue 2.</w:t>
      </w:r>
      <w:r w:rsidR="00470377"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 </w:t>
      </w:r>
      <w:r w:rsidR="00470377" w:rsidRPr="00611BC5">
        <w:rPr>
          <w:rFonts w:ascii="Arial" w:hAnsi="Arial" w:cs="Arial"/>
          <w:b/>
          <w:color w:val="000000" w:themeColor="text1"/>
          <w:kern w:val="0"/>
          <w:szCs w:val="21"/>
        </w:rPr>
        <w:t xml:space="preserve">Quantitative analysis </w:t>
      </w:r>
      <w:r w:rsidR="00470377" w:rsidRPr="00611BC5">
        <w:rPr>
          <w:rFonts w:ascii="Arial" w:hAnsi="Arial" w:cs="Arial"/>
          <w:b/>
          <w:color w:val="000000" w:themeColor="text1"/>
          <w:szCs w:val="21"/>
        </w:rPr>
        <w:t xml:space="preserve">of </w:t>
      </w:r>
      <w:r w:rsidR="00EE67D1" w:rsidRPr="00611BC5">
        <w:rPr>
          <w:rFonts w:ascii="Arial" w:hAnsi="Arial" w:cs="Arial"/>
          <w:b/>
          <w:color w:val="000000" w:themeColor="text1"/>
          <w:szCs w:val="21"/>
        </w:rPr>
        <w:t>HSCs</w:t>
      </w:r>
      <w:r w:rsidR="00470377" w:rsidRPr="00611BC5">
        <w:rPr>
          <w:rFonts w:ascii="Arial" w:hAnsi="Arial" w:cs="Arial"/>
          <w:b/>
          <w:color w:val="000000" w:themeColor="text1"/>
          <w:szCs w:val="21"/>
        </w:rPr>
        <w:t xml:space="preserve">, </w:t>
      </w:r>
      <w:r w:rsidR="00E6310F" w:rsidRPr="00611BC5">
        <w:rPr>
          <w:rFonts w:ascii="Arial" w:hAnsi="Arial" w:cs="Arial"/>
          <w:b/>
          <w:color w:val="000000" w:themeColor="text1"/>
          <w:szCs w:val="21"/>
        </w:rPr>
        <w:t>MEPs</w:t>
      </w:r>
      <w:r w:rsidR="00470377" w:rsidRPr="00611BC5">
        <w:rPr>
          <w:rFonts w:ascii="Arial" w:hAnsi="Arial" w:cs="Arial"/>
          <w:b/>
          <w:color w:val="000000" w:themeColor="text1"/>
          <w:szCs w:val="21"/>
        </w:rPr>
        <w:t xml:space="preserve"> and erythroid progenitors from MDS patients and healthy donors (HD).</w:t>
      </w:r>
    </w:p>
    <w:p w:rsidR="00AE3342" w:rsidRPr="00611BC5" w:rsidRDefault="00AE3342">
      <w:pPr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</w:t>
      </w:r>
      <w:r w:rsidR="00470377"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Supplementary Figure 3.  </w:t>
      </w:r>
      <w:r w:rsidR="00A07CDA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Hemoglobin synthesis analysis and </w:t>
      </w:r>
      <w:r w:rsidR="00A07CDA" w:rsidRPr="00611BC5">
        <w:rPr>
          <w:rFonts w:ascii="Arial" w:hAnsi="Arial" w:cs="Arial" w:hint="eastAsia"/>
          <w:b/>
          <w:color w:val="000000" w:themeColor="text1"/>
          <w:szCs w:val="21"/>
        </w:rPr>
        <w:t>s</w:t>
      </w:r>
      <w:r w:rsidR="00A07CDA" w:rsidRPr="00611BC5">
        <w:rPr>
          <w:rFonts w:ascii="Arial" w:hAnsi="Arial" w:cs="Arial"/>
          <w:b/>
          <w:color w:val="000000" w:themeColor="text1"/>
          <w:szCs w:val="21"/>
        </w:rPr>
        <w:t>enescent cells</w:t>
      </w:r>
      <w:r w:rsidR="00A07CDA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counting of erythroid cells derived from MDS patients and HD.</w:t>
      </w:r>
    </w:p>
    <w:p w:rsidR="007B439A" w:rsidRPr="00611BC5" w:rsidRDefault="007B439A">
      <w:pPr>
        <w:rPr>
          <w:rFonts w:ascii="Arial" w:hAnsi="Arial" w:cs="Arial"/>
          <w:b/>
          <w:color w:val="000000" w:themeColor="text1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Supplementary Figure 4.  </w:t>
      </w:r>
      <w:r w:rsidR="005F70F2" w:rsidRPr="00611BC5">
        <w:rPr>
          <w:rFonts w:ascii="Arial" w:hAnsi="Arial" w:cs="Arial"/>
          <w:b/>
          <w:bCs/>
          <w:color w:val="000000" w:themeColor="text1"/>
          <w:szCs w:val="21"/>
        </w:rPr>
        <w:t>HALLMARK gene sets enrichment analysis between MDS patients and HD at different differentiation stages.</w:t>
      </w:r>
    </w:p>
    <w:p w:rsidR="00BE3EDB" w:rsidRPr="00611BC5" w:rsidRDefault="00111186" w:rsidP="00111186">
      <w:pPr>
        <w:ind w:firstLineChars="49" w:firstLine="103"/>
        <w:rPr>
          <w:rFonts w:ascii="Arial" w:hAnsi="Arial" w:cs="Arial"/>
          <w:b/>
          <w:color w:val="000000" w:themeColor="text1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Supplementary Figure 5</w:t>
      </w:r>
      <w:r w:rsidR="00757DE3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.  </w:t>
      </w:r>
      <w:r w:rsidR="00CD5BC5" w:rsidRPr="00611BC5">
        <w:rPr>
          <w:rFonts w:ascii="Arial" w:hAnsi="Arial" w:cs="Arial" w:hint="eastAsia"/>
          <w:b/>
          <w:color w:val="000000" w:themeColor="text1"/>
        </w:rPr>
        <w:t>A</w:t>
      </w:r>
      <w:r w:rsidR="00CD5BC5" w:rsidRPr="00611BC5">
        <w:rPr>
          <w:rFonts w:ascii="Arial" w:hAnsi="Arial" w:cs="Arial"/>
          <w:b/>
          <w:color w:val="000000" w:themeColor="text1"/>
        </w:rPr>
        <w:t>ging</w:t>
      </w:r>
      <w:r w:rsidR="00CD5BC5" w:rsidRPr="00611BC5">
        <w:rPr>
          <w:rFonts w:ascii="Arial" w:hAnsi="Arial" w:cs="Arial" w:hint="eastAsia"/>
          <w:b/>
          <w:color w:val="000000" w:themeColor="text1"/>
        </w:rPr>
        <w:t>-</w:t>
      </w:r>
      <w:r w:rsidR="00CD5BC5" w:rsidRPr="00611BC5">
        <w:rPr>
          <w:rFonts w:ascii="Arial" w:hAnsi="Arial" w:cs="Arial"/>
          <w:b/>
          <w:color w:val="000000" w:themeColor="text1"/>
        </w:rPr>
        <w:t xml:space="preserve">associated genes were induced in </w:t>
      </w:r>
      <w:r w:rsidR="00CD5BC5" w:rsidRPr="00611BC5">
        <w:rPr>
          <w:rFonts w:ascii="Arial" w:hAnsi="Arial" w:cs="Arial" w:hint="eastAsia"/>
          <w:b/>
          <w:color w:val="000000" w:themeColor="text1"/>
        </w:rPr>
        <w:t xml:space="preserve">MDS </w:t>
      </w:r>
      <w:r w:rsidR="00CD5BC5" w:rsidRPr="00611BC5">
        <w:rPr>
          <w:rFonts w:ascii="Arial" w:hAnsi="Arial" w:cs="Arial"/>
          <w:b/>
          <w:color w:val="000000" w:themeColor="text1"/>
        </w:rPr>
        <w:t>patient cells</w:t>
      </w:r>
      <w:r w:rsidR="00CD5BC5" w:rsidRPr="00611BC5">
        <w:rPr>
          <w:rFonts w:ascii="Arial" w:hAnsi="Arial" w:cs="Arial" w:hint="eastAsia"/>
          <w:b/>
          <w:color w:val="000000" w:themeColor="text1"/>
        </w:rPr>
        <w:t xml:space="preserve"> compared with HD.</w:t>
      </w:r>
      <w:r w:rsidR="00BE3EDB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</w:t>
      </w:r>
    </w:p>
    <w:p w:rsidR="00C527D4" w:rsidRPr="00611BC5" w:rsidRDefault="00111186">
      <w:pPr>
        <w:rPr>
          <w:rFonts w:ascii="Arial" w:hAnsi="Arial" w:cs="Arial"/>
          <w:b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Supplementary Figure 6</w:t>
      </w:r>
      <w:r w:rsidR="00BE3EDB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.  </w:t>
      </w:r>
      <w:r w:rsidR="005163EE" w:rsidRPr="00611BC5">
        <w:rPr>
          <w:rFonts w:ascii="Arial" w:hAnsi="Arial" w:cs="Arial" w:hint="eastAsia"/>
          <w:b/>
          <w:color w:val="000000" w:themeColor="text1"/>
          <w:szCs w:val="21"/>
        </w:rPr>
        <w:t>Downregulation</w:t>
      </w:r>
      <w:r w:rsidR="000C050E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of </w:t>
      </w:r>
      <w:r w:rsidR="000C050E" w:rsidRPr="00611BC5">
        <w:rPr>
          <w:rFonts w:ascii="Arial" w:hAnsi="Arial" w:cs="Arial" w:hint="eastAsia"/>
          <w:b/>
          <w:i/>
          <w:color w:val="000000" w:themeColor="text1"/>
          <w:szCs w:val="21"/>
        </w:rPr>
        <w:t>ERCC1</w:t>
      </w:r>
      <w:r w:rsidR="000C050E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expression could inhibit aging </w:t>
      </w:r>
      <w:r w:rsidR="00525B48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process </w:t>
      </w:r>
      <w:r w:rsidR="000C050E" w:rsidRPr="00611BC5">
        <w:rPr>
          <w:rFonts w:ascii="Arial" w:hAnsi="Arial" w:cs="Arial" w:hint="eastAsia"/>
          <w:b/>
          <w:color w:val="000000" w:themeColor="text1"/>
          <w:szCs w:val="21"/>
        </w:rPr>
        <w:t>and promote proliferation of K562 cells</w:t>
      </w:r>
      <w:r w:rsidR="00DA6D96" w:rsidRPr="00611BC5">
        <w:rPr>
          <w:rFonts w:ascii="Arial" w:hAnsi="Arial" w:cs="Arial" w:hint="eastAsia"/>
          <w:b/>
          <w:color w:val="000000" w:themeColor="text1"/>
          <w:szCs w:val="21"/>
        </w:rPr>
        <w:t>.</w:t>
      </w:r>
    </w:p>
    <w:p w:rsidR="00E15838" w:rsidRPr="00611BC5" w:rsidRDefault="00E30A79">
      <w:pPr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</w:t>
      </w:r>
      <w:r w:rsidR="00111186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Supplementary Figure </w:t>
      </w:r>
      <w:r w:rsidR="00B80A57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7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.  </w:t>
      </w:r>
      <w:r w:rsidR="00E15838" w:rsidRPr="00611BC5">
        <w:rPr>
          <w:rFonts w:ascii="Arial" w:hAnsi="Arial" w:cs="Arial"/>
          <w:b/>
          <w:bCs/>
          <w:color w:val="000000" w:themeColor="text1"/>
          <w:kern w:val="0"/>
          <w:szCs w:val="21"/>
        </w:rPr>
        <w:t>D</w:t>
      </w:r>
      <w:r w:rsidR="00E15838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istributions of </w:t>
      </w:r>
      <w:r w:rsidR="00E15838" w:rsidRPr="00611BC5">
        <w:rPr>
          <w:rFonts w:ascii="Arial" w:hAnsi="Arial" w:cs="Arial"/>
          <w:b/>
          <w:bCs/>
          <w:color w:val="000000" w:themeColor="text1"/>
          <w:kern w:val="0"/>
          <w:szCs w:val="21"/>
        </w:rPr>
        <w:t xml:space="preserve">absolute reticulocyte counts </w:t>
      </w:r>
      <w:r w:rsidR="00E15838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(ARC), which was shown by mean and standard deviation, among different WHO diagnostic categories and IPSS-R risk groups.</w:t>
      </w:r>
    </w:p>
    <w:p w:rsidR="00214351" w:rsidRPr="00611BC5" w:rsidRDefault="00B80A57">
      <w:pPr>
        <w:rPr>
          <w:rFonts w:ascii="Arial" w:hAnsi="Arial" w:cs="Arial"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Supplementary Figure 8</w:t>
      </w:r>
      <w:r w:rsidR="00214351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.  </w:t>
      </w:r>
      <w:r w:rsidR="007B6783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The percentage of bone marrow (BM) erythroblasts, numbers of </w:t>
      </w:r>
      <w:r w:rsidR="007B6783" w:rsidRPr="00611BC5">
        <w:rPr>
          <w:rFonts w:ascii="Arial" w:hAnsi="Arial" w:cs="Arial"/>
          <w:b/>
          <w:color w:val="000000" w:themeColor="text1"/>
          <w:szCs w:val="21"/>
        </w:rPr>
        <w:t>colony-forming unit cell</w:t>
      </w:r>
      <w:r w:rsidR="007B6783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(CFU-C) and distributions of erythropoietin (EPO) levels between patients with </w:t>
      </w:r>
      <w:r w:rsidR="008D3AA9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ARC&lt;20</w:t>
      </w:r>
      <w:r w:rsidR="008D3AA9"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="008D3AA9"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="008D3AA9"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="008D3AA9"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and </w:t>
      </w:r>
      <w:r w:rsidR="008D3AA9" w:rsidRPr="00611BC5">
        <w:rPr>
          <w:rFonts w:ascii="Arial" w:hAnsi="Arial" w:cs="Arial"/>
          <w:b/>
          <w:color w:val="000000" w:themeColor="text1"/>
          <w:kern w:val="0"/>
          <w:szCs w:val="21"/>
        </w:rPr>
        <w:t>≥</w:t>
      </w:r>
      <w:r w:rsidR="008D3AA9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20</w:t>
      </w:r>
      <w:r w:rsidR="008D3AA9"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="008D3AA9"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="008D3AA9"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="007B6783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.</w:t>
      </w:r>
    </w:p>
    <w:p w:rsidR="00E87E8D" w:rsidRPr="00611BC5" w:rsidRDefault="00B80A57" w:rsidP="00E87E8D">
      <w:pPr>
        <w:ind w:firstLineChars="49" w:firstLine="103"/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Supplementary Figure 9</w:t>
      </w:r>
      <w:r w:rsidR="00214351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.</w:t>
      </w:r>
      <w:r w:rsidR="00B54155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</w:t>
      </w:r>
      <w:r w:rsidR="00360870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</w:t>
      </w:r>
      <w:r w:rsidR="00E87E8D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Overall survival of patients with ARC&lt;20</w:t>
      </w:r>
      <w:r w:rsidR="00E87E8D"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="00E87E8D"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="00E87E8D"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="00E87E8D"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and </w:t>
      </w:r>
      <w:r w:rsidR="00E87E8D" w:rsidRPr="00611BC5">
        <w:rPr>
          <w:rFonts w:ascii="Arial" w:hAnsi="Arial" w:cs="Arial"/>
          <w:b/>
          <w:color w:val="000000" w:themeColor="text1"/>
          <w:kern w:val="0"/>
          <w:szCs w:val="21"/>
        </w:rPr>
        <w:t>≥</w:t>
      </w:r>
      <w:r w:rsidR="00E87E8D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20</w:t>
      </w:r>
      <w:r w:rsidR="00E87E8D"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="00E87E8D"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="00E87E8D"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="00E87E8D"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in different IPSS-R risk groups.</w:t>
      </w:r>
      <w:r w:rsidR="00C527D4"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</w:t>
      </w:r>
      <w:r w:rsidR="00BE3EDB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</w:t>
      </w:r>
    </w:p>
    <w:p w:rsidR="00E87E8D" w:rsidRPr="00611BC5" w:rsidRDefault="00B80A57" w:rsidP="00031086">
      <w:pPr>
        <w:ind w:firstLineChars="49" w:firstLine="103"/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lastRenderedPageBreak/>
        <w:t>Supplementary Figure 10</w:t>
      </w:r>
      <w:r w:rsidR="00E87E8D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. The percentage of BM erythroblasts, numbers of CFU-C and distributions of EPO levels among three subgroups of patients according to ARC.</w:t>
      </w:r>
    </w:p>
    <w:p w:rsidR="00E86C81" w:rsidRPr="00611BC5" w:rsidRDefault="00B80A57" w:rsidP="00031086">
      <w:pPr>
        <w:ind w:firstLineChars="49" w:firstLine="103"/>
        <w:rPr>
          <w:rFonts w:ascii="Arial" w:eastAsia="宋体" w:hAnsi="Arial" w:cs="Arial"/>
          <w:b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Supplementary Figure 11</w:t>
      </w:r>
      <w:r w:rsidR="00E87E8D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. </w:t>
      </w:r>
      <w:r w:rsidR="00E86C81" w:rsidRPr="00611BC5">
        <w:rPr>
          <w:rFonts w:ascii="Arial" w:eastAsia="宋体" w:hAnsi="Arial" w:cs="Arial" w:hint="eastAsia"/>
          <w:b/>
          <w:color w:val="000000" w:themeColor="text1"/>
          <w:kern w:val="0"/>
          <w:szCs w:val="21"/>
        </w:rPr>
        <w:t>The percentage of complex karyotype among three subgroups.</w:t>
      </w:r>
    </w:p>
    <w:p w:rsidR="00E86C81" w:rsidRPr="00611BC5" w:rsidRDefault="00E86C81" w:rsidP="00031086">
      <w:pPr>
        <w:ind w:firstLineChars="49" w:firstLine="103"/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eastAsia="宋体" w:hAnsi="Arial" w:cs="Arial" w:hint="eastAsia"/>
          <w:b/>
          <w:color w:val="000000" w:themeColor="text1"/>
          <w:kern w:val="0"/>
          <w:szCs w:val="21"/>
        </w:rPr>
        <w:t>Supplement</w:t>
      </w:r>
      <w:r w:rsidR="00B80A57" w:rsidRPr="00611BC5">
        <w:rPr>
          <w:rFonts w:ascii="Arial" w:eastAsia="宋体" w:hAnsi="Arial" w:cs="Arial" w:hint="eastAsia"/>
          <w:b/>
          <w:color w:val="000000" w:themeColor="text1"/>
          <w:kern w:val="0"/>
          <w:szCs w:val="21"/>
        </w:rPr>
        <w:t>ary Figure 12</w:t>
      </w:r>
      <w:r w:rsidRPr="00611BC5">
        <w:rPr>
          <w:rFonts w:ascii="Arial" w:eastAsia="宋体" w:hAnsi="Arial" w:cs="Arial" w:hint="eastAsia"/>
          <w:b/>
          <w:color w:val="000000" w:themeColor="text1"/>
          <w:kern w:val="0"/>
          <w:szCs w:val="21"/>
        </w:rPr>
        <w:t xml:space="preserve">. 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>M</w:t>
      </w:r>
      <w:r w:rsidRPr="00611BC5">
        <w:rPr>
          <w:rFonts w:ascii="Arial" w:hAnsi="Arial" w:cs="Arial"/>
          <w:b/>
          <w:color w:val="000000" w:themeColor="text1"/>
          <w:szCs w:val="21"/>
          <w:shd w:val="clear" w:color="auto" w:fill="FFFFFF"/>
        </w:rPr>
        <w:t>utation topography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of patients among three groups.</w:t>
      </w:r>
    </w:p>
    <w:p w:rsidR="00E87E8D" w:rsidRPr="00611BC5" w:rsidRDefault="00B80A57" w:rsidP="00031086">
      <w:pPr>
        <w:ind w:firstLineChars="49" w:firstLine="103"/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t>Supplementary Figure 13</w:t>
      </w:r>
      <w:r w:rsidR="00E86C81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="00E86C81" w:rsidRPr="00611BC5">
        <w:rPr>
          <w:rFonts w:ascii="Arial" w:hAnsi="Arial" w:cs="Arial"/>
          <w:b/>
          <w:color w:val="000000" w:themeColor="text1"/>
          <w:szCs w:val="21"/>
        </w:rPr>
        <w:t xml:space="preserve">Prognostic impact of </w:t>
      </w:r>
      <w:r w:rsidR="00E86C81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different </w:t>
      </w:r>
      <w:r w:rsidR="00E86C81" w:rsidRPr="00611BC5">
        <w:rPr>
          <w:rFonts w:ascii="Arial" w:hAnsi="Arial" w:cs="Arial"/>
          <w:b/>
          <w:color w:val="000000" w:themeColor="text1"/>
          <w:szCs w:val="21"/>
        </w:rPr>
        <w:t>ARC</w:t>
      </w:r>
      <w:r w:rsidR="00E86C81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</w:t>
      </w:r>
      <w:r w:rsidR="003944B4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levels </w:t>
      </w:r>
      <w:r w:rsidR="00E86C81" w:rsidRPr="00611BC5">
        <w:rPr>
          <w:rFonts w:ascii="Arial" w:hAnsi="Arial" w:cs="Arial"/>
          <w:b/>
          <w:color w:val="000000" w:themeColor="text1"/>
          <w:szCs w:val="21"/>
        </w:rPr>
        <w:t>in MDS patients.</w:t>
      </w:r>
    </w:p>
    <w:p w:rsidR="00CB1D50" w:rsidRPr="00611BC5" w:rsidRDefault="00CB1D50" w:rsidP="00E87E8D">
      <w:pPr>
        <w:ind w:firstLineChars="49" w:firstLine="103"/>
        <w:rPr>
          <w:rFonts w:ascii="Arial" w:hAnsi="Arial" w:cs="Arial"/>
          <w:b/>
          <w:bCs/>
          <w:color w:val="000000" w:themeColor="text1"/>
          <w:kern w:val="0"/>
          <w:szCs w:val="21"/>
        </w:rPr>
      </w:pPr>
    </w:p>
    <w:p w:rsidR="00E42207" w:rsidRPr="00611BC5" w:rsidRDefault="00E42207">
      <w:pPr>
        <w:rPr>
          <w:rFonts w:ascii="Arial" w:hAnsi="Arial" w:cs="Arial"/>
          <w:b/>
          <w:bCs/>
          <w:color w:val="000000" w:themeColor="text1"/>
          <w:kern w:val="0"/>
          <w:szCs w:val="21"/>
        </w:rPr>
      </w:pPr>
    </w:p>
    <w:p w:rsidR="00E42207" w:rsidRPr="00611BC5" w:rsidRDefault="00E42207">
      <w:pPr>
        <w:rPr>
          <w:rFonts w:ascii="Arial" w:hAnsi="Arial" w:cs="Arial"/>
          <w:b/>
          <w:bCs/>
          <w:color w:val="000000" w:themeColor="text1"/>
          <w:kern w:val="0"/>
          <w:sz w:val="24"/>
          <w:szCs w:val="24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 w:val="24"/>
          <w:szCs w:val="24"/>
        </w:rPr>
        <w:t>Supplementary Table</w:t>
      </w:r>
      <w:r w:rsidR="00AE1858" w:rsidRPr="00611BC5">
        <w:rPr>
          <w:rFonts w:ascii="Arial" w:hAnsi="Arial" w:cs="Arial" w:hint="eastAsia"/>
          <w:b/>
          <w:bCs/>
          <w:color w:val="000000" w:themeColor="text1"/>
          <w:kern w:val="0"/>
          <w:sz w:val="24"/>
          <w:szCs w:val="24"/>
        </w:rPr>
        <w:t>s</w:t>
      </w:r>
    </w:p>
    <w:p w:rsidR="00E42207" w:rsidRPr="00611BC5" w:rsidRDefault="00E42207">
      <w:pPr>
        <w:rPr>
          <w:rFonts w:ascii="Arial" w:eastAsia="宋体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kern w:val="0"/>
          <w:sz w:val="24"/>
          <w:szCs w:val="24"/>
        </w:rPr>
        <w:t xml:space="preserve">  </w:t>
      </w:r>
      <w:r w:rsidRPr="00611BC5">
        <w:rPr>
          <w:rFonts w:ascii="Arial" w:hAnsi="Arial" w:cs="Arial"/>
          <w:b/>
          <w:bCs/>
          <w:color w:val="000000" w:themeColor="text1"/>
          <w:kern w:val="0"/>
          <w:szCs w:val="21"/>
        </w:rPr>
        <w:t>S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upplementary table 1. </w:t>
      </w:r>
      <w:r w:rsidR="003527AF" w:rsidRPr="00611BC5">
        <w:rPr>
          <w:rFonts w:ascii="Arial" w:hAnsi="Arial" w:cs="Arial"/>
          <w:b/>
          <w:color w:val="000000" w:themeColor="text1"/>
          <w:szCs w:val="21"/>
        </w:rPr>
        <w:t>Clinical characteristics of 3</w:t>
      </w:r>
      <w:r w:rsidR="003527AF" w:rsidRPr="00611BC5">
        <w:rPr>
          <w:rFonts w:ascii="Arial" w:hAnsi="Arial" w:cs="Arial" w:hint="eastAsia"/>
          <w:b/>
          <w:color w:val="000000" w:themeColor="text1"/>
          <w:szCs w:val="21"/>
        </w:rPr>
        <w:t>1</w:t>
      </w:r>
      <w:r w:rsidR="003527AF" w:rsidRPr="00611BC5">
        <w:rPr>
          <w:rFonts w:ascii="Arial" w:hAnsi="Arial" w:cs="Arial"/>
          <w:b/>
          <w:color w:val="000000" w:themeColor="text1"/>
          <w:szCs w:val="21"/>
        </w:rPr>
        <w:t xml:space="preserve"> MDS</w:t>
      </w:r>
      <w:r w:rsidR="003527AF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patients </w:t>
      </w:r>
      <w:r w:rsidR="003527AF" w:rsidRPr="00611BC5">
        <w:rPr>
          <w:rFonts w:ascii="Arial" w:eastAsia="宋体" w:hAnsi="Arial" w:cs="Arial" w:hint="eastAsia"/>
          <w:b/>
          <w:color w:val="000000" w:themeColor="text1"/>
          <w:szCs w:val="21"/>
        </w:rPr>
        <w:t xml:space="preserve">enrolled in the functional studies and </w:t>
      </w:r>
      <w:r w:rsidR="002B40AF" w:rsidRPr="00611BC5">
        <w:rPr>
          <w:rFonts w:ascii="Arial" w:eastAsia="宋体" w:hAnsi="Arial" w:cs="Arial" w:hint="eastAsia"/>
          <w:b/>
          <w:color w:val="000000" w:themeColor="text1"/>
          <w:szCs w:val="21"/>
        </w:rPr>
        <w:t xml:space="preserve">RNA-Seq </w:t>
      </w:r>
      <w:r w:rsidR="003527AF" w:rsidRPr="00611BC5">
        <w:rPr>
          <w:rFonts w:ascii="Arial" w:eastAsia="宋体" w:hAnsi="Arial" w:cs="Arial" w:hint="eastAsia"/>
          <w:b/>
          <w:color w:val="000000" w:themeColor="text1"/>
          <w:szCs w:val="21"/>
        </w:rPr>
        <w:t>analysis</w:t>
      </w:r>
      <w:r w:rsidR="002B40AF" w:rsidRPr="00611BC5">
        <w:rPr>
          <w:rFonts w:ascii="Arial" w:eastAsia="宋体" w:hAnsi="Arial" w:cs="Arial" w:hint="eastAsia"/>
          <w:b/>
          <w:color w:val="000000" w:themeColor="text1"/>
          <w:szCs w:val="21"/>
        </w:rPr>
        <w:t>.</w:t>
      </w:r>
    </w:p>
    <w:p w:rsidR="00CD7615" w:rsidRPr="00611BC5" w:rsidRDefault="00CD7615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eastAsia="宋体" w:hAnsi="Arial" w:cs="Arial" w:hint="eastAsia"/>
          <w:b/>
          <w:color w:val="000000" w:themeColor="text1"/>
          <w:szCs w:val="21"/>
        </w:rPr>
        <w:t xml:space="preserve">  </w:t>
      </w:r>
      <w:r w:rsidRPr="00611BC5">
        <w:rPr>
          <w:rFonts w:ascii="Arial" w:hAnsi="Arial" w:cs="Arial"/>
          <w:b/>
          <w:bCs/>
          <w:color w:val="000000" w:themeColor="text1"/>
          <w:kern w:val="0"/>
          <w:szCs w:val="21"/>
        </w:rPr>
        <w:t>S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upplementary table 2.</w:t>
      </w:r>
      <w:r w:rsidR="007820B3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</w:t>
      </w:r>
      <w:r w:rsidR="0000221A" w:rsidRPr="00611BC5">
        <w:rPr>
          <w:rFonts w:ascii="Arial" w:hAnsi="Arial" w:cs="Arial" w:hint="eastAsia"/>
          <w:b/>
          <w:color w:val="000000" w:themeColor="text1"/>
          <w:szCs w:val="21"/>
        </w:rPr>
        <w:t>The primers used for real-time PCR or the short hairpin RNA sequences</w:t>
      </w:r>
      <w:r w:rsidR="007820B3" w:rsidRPr="00611BC5">
        <w:rPr>
          <w:rFonts w:ascii="Arial" w:hAnsi="Arial" w:cs="Arial" w:hint="eastAsia"/>
          <w:b/>
          <w:color w:val="000000" w:themeColor="text1"/>
          <w:szCs w:val="21"/>
        </w:rPr>
        <w:t>.</w:t>
      </w:r>
      <w:r w:rsidR="00AE1858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</w:t>
      </w:r>
    </w:p>
    <w:p w:rsidR="006E66BE" w:rsidRPr="00611BC5" w:rsidRDefault="00045C70" w:rsidP="00524CF4">
      <w:pPr>
        <w:spacing w:afterLines="50"/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 </w:t>
      </w:r>
      <w:r w:rsidRPr="00611BC5">
        <w:rPr>
          <w:rFonts w:ascii="Arial" w:hAnsi="Arial" w:cs="Arial"/>
          <w:b/>
          <w:bCs/>
          <w:color w:val="000000" w:themeColor="text1"/>
          <w:kern w:val="0"/>
          <w:szCs w:val="21"/>
        </w:rPr>
        <w:t>S</w:t>
      </w:r>
      <w:r w:rsidR="0099106C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upplementary table 3.</w:t>
      </w:r>
      <w:r w:rsidR="009B781E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</w:t>
      </w:r>
      <w:r w:rsidR="00766706" w:rsidRPr="00611BC5">
        <w:rPr>
          <w:rFonts w:ascii="Arial" w:eastAsia="宋体" w:hAnsi="Arial" w:cs="Arial" w:hint="eastAsia"/>
          <w:b/>
          <w:color w:val="000000" w:themeColor="text1"/>
          <w:kern w:val="0"/>
          <w:szCs w:val="21"/>
        </w:rPr>
        <w:t xml:space="preserve">Comparisons of </w:t>
      </w:r>
      <w:r w:rsidR="00766706" w:rsidRPr="00611BC5">
        <w:rPr>
          <w:rFonts w:ascii="Arial" w:hAnsi="Arial" w:cs="Arial" w:hint="eastAsia"/>
          <w:b/>
          <w:color w:val="000000" w:themeColor="text1"/>
          <w:szCs w:val="21"/>
        </w:rPr>
        <w:t>c</w:t>
      </w:r>
      <w:r w:rsidR="00766706" w:rsidRPr="00611BC5">
        <w:rPr>
          <w:rFonts w:ascii="Arial" w:hAnsi="Arial" w:cs="Arial"/>
          <w:b/>
          <w:color w:val="000000" w:themeColor="text1"/>
          <w:szCs w:val="21"/>
        </w:rPr>
        <w:t>linical and laboratory characteristics of</w:t>
      </w:r>
      <w:r w:rsidR="00766706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MDS </w:t>
      </w:r>
      <w:r w:rsidR="00766706" w:rsidRPr="00611BC5">
        <w:rPr>
          <w:rFonts w:ascii="Arial" w:hAnsi="Arial" w:cs="Arial"/>
          <w:b/>
          <w:color w:val="000000" w:themeColor="text1"/>
          <w:szCs w:val="21"/>
        </w:rPr>
        <w:t>patients</w:t>
      </w:r>
      <w:r w:rsidR="00766706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grouped by ARC of 19.4 and 43</w:t>
      </w:r>
      <w:r w:rsidR="00766706"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="00766706"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="00766706"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="00766706" w:rsidRPr="00611BC5">
        <w:rPr>
          <w:rFonts w:ascii="Arial" w:hAnsi="Arial" w:cs="Arial" w:hint="eastAsia"/>
          <w:b/>
          <w:color w:val="000000" w:themeColor="text1"/>
          <w:szCs w:val="21"/>
        </w:rPr>
        <w:t>.</w:t>
      </w:r>
    </w:p>
    <w:p w:rsidR="00766706" w:rsidRPr="00611BC5" w:rsidRDefault="00766706" w:rsidP="00524CF4">
      <w:pPr>
        <w:spacing w:afterLines="50"/>
        <w:rPr>
          <w:rFonts w:ascii="Arial" w:hAnsi="Arial" w:cs="Arial"/>
          <w:b/>
          <w:color w:val="000000" w:themeColor="text1"/>
          <w:szCs w:val="21"/>
          <w:shd w:val="clear" w:color="auto" w:fill="FFFFFF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 Supplementary table 4. </w:t>
      </w:r>
      <w:r w:rsidRPr="00611BC5">
        <w:rPr>
          <w:rFonts w:ascii="Arial" w:hAnsi="Arial" w:cs="Arial"/>
          <w:b/>
          <w:color w:val="000000" w:themeColor="text1"/>
          <w:szCs w:val="21"/>
          <w:shd w:val="clear" w:color="auto" w:fill="FFFFFF"/>
        </w:rPr>
        <w:t>Univariate and multivariate analys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>i</w:t>
      </w:r>
      <w:r w:rsidRPr="00611BC5">
        <w:rPr>
          <w:rFonts w:ascii="Arial" w:hAnsi="Arial" w:cs="Arial"/>
          <w:b/>
          <w:color w:val="000000" w:themeColor="text1"/>
          <w:szCs w:val="21"/>
          <w:shd w:val="clear" w:color="auto" w:fill="FFFFFF"/>
        </w:rPr>
        <w:t xml:space="preserve">s 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 xml:space="preserve">of overall survival </w:t>
      </w:r>
      <w:r w:rsidRPr="00611BC5">
        <w:rPr>
          <w:rFonts w:ascii="Arial" w:hAnsi="Arial" w:cs="Arial"/>
          <w:b/>
          <w:color w:val="000000" w:themeColor="text1"/>
          <w:szCs w:val="21"/>
          <w:shd w:val="clear" w:color="auto" w:fill="FFFFFF"/>
        </w:rPr>
        <w:t xml:space="preserve">in 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 xml:space="preserve">the total cohort (using ARC of 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>19.4 and 43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as cutoff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>).</w:t>
      </w:r>
    </w:p>
    <w:p w:rsidR="001A1A43" w:rsidRPr="00611BC5" w:rsidRDefault="001A1A43">
      <w:pPr>
        <w:rPr>
          <w:rFonts w:ascii="Arial" w:hAnsi="Arial" w:cs="Arial"/>
          <w:b/>
          <w:bCs/>
          <w:color w:val="000000" w:themeColor="text1"/>
          <w:kern w:val="0"/>
          <w:szCs w:val="21"/>
        </w:rPr>
      </w:pPr>
    </w:p>
    <w:p w:rsidR="0064124D" w:rsidRPr="00611BC5" w:rsidRDefault="0064124D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64124D" w:rsidRPr="00611BC5" w:rsidRDefault="0064124D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64124D" w:rsidRPr="00611BC5" w:rsidRDefault="0064124D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64124D" w:rsidRPr="00611BC5" w:rsidRDefault="0064124D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64124D" w:rsidRPr="00611BC5" w:rsidRDefault="0064124D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64124D" w:rsidRPr="00611BC5" w:rsidRDefault="0064124D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757226" w:rsidRPr="00611BC5" w:rsidRDefault="00757226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C311CE" w:rsidRPr="00611BC5" w:rsidRDefault="00C311CE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>Supplementary Methods</w:t>
      </w:r>
    </w:p>
    <w:p w:rsidR="00C311CE" w:rsidRPr="00611BC5" w:rsidRDefault="00C311CE" w:rsidP="00C311CE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Cells sorting strategy for </w:t>
      </w:r>
      <w:r w:rsidRPr="00611BC5">
        <w:rPr>
          <w:rFonts w:ascii="Arial" w:eastAsia="宋体" w:hAnsi="Arial" w:cs="Arial" w:hint="eastAsia"/>
          <w:b/>
          <w:color w:val="000000" w:themeColor="text1"/>
          <w:szCs w:val="21"/>
        </w:rPr>
        <w:t>megakaryocytic-erythroid progenitors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(MEPs) </w:t>
      </w:r>
    </w:p>
    <w:p w:rsidR="00C311CE" w:rsidRPr="00611BC5" w:rsidRDefault="00C311CE" w:rsidP="00C311CE">
      <w:pPr>
        <w:spacing w:line="360" w:lineRule="auto"/>
        <w:rPr>
          <w:rFonts w:ascii="Arial" w:hAnsi="Arial" w:cs="Arial"/>
          <w:color w:val="000000" w:themeColor="text1"/>
          <w:szCs w:val="21"/>
        </w:rPr>
      </w:pPr>
      <w:r w:rsidRPr="00611BC5">
        <w:rPr>
          <w:rFonts w:ascii="Arial" w:hAnsi="Arial" w:cs="Arial"/>
          <w:color w:val="000000" w:themeColor="text1"/>
          <w:szCs w:val="21"/>
        </w:rPr>
        <w:t>Cells were stained with a lineage-marker cocktail (biotinylated anti-CD2, -CD3, -CD11b, -CD14, -CD15, -CD16, -CD19, -CD56, -CD123, and -CD235a) and subsequently magnetically labeled with Anti-Biotin MicroBeads (MiltenyiBiotec, Cat#130-092-211). For each assay, 1 × 10</w:t>
      </w:r>
      <w:r w:rsidRPr="00611BC5">
        <w:rPr>
          <w:rFonts w:ascii="Arial" w:hAnsi="Arial" w:cs="Arial"/>
          <w:color w:val="000000" w:themeColor="text1"/>
          <w:szCs w:val="21"/>
          <w:vertAlign w:val="superscript"/>
        </w:rPr>
        <w:t>6</w:t>
      </w:r>
      <w:r w:rsidRPr="00611BC5">
        <w:rPr>
          <w:rFonts w:ascii="Arial" w:hAnsi="Arial" w:cs="Arial"/>
          <w:color w:val="000000" w:themeColor="text1"/>
          <w:szCs w:val="21"/>
        </w:rPr>
        <w:t>Lin</w:t>
      </w:r>
      <w:r w:rsidRPr="00611BC5">
        <w:rPr>
          <w:rFonts w:ascii="Arial" w:hAnsi="Arial" w:cs="Arial"/>
          <w:color w:val="000000" w:themeColor="text1"/>
          <w:szCs w:val="21"/>
          <w:vertAlign w:val="superscript"/>
        </w:rPr>
        <w:t>-</w:t>
      </w:r>
      <w:r w:rsidRPr="00611BC5">
        <w:rPr>
          <w:rFonts w:ascii="Arial" w:hAnsi="Arial" w:cs="Arial"/>
          <w:color w:val="000000" w:themeColor="text1"/>
          <w:szCs w:val="21"/>
        </w:rPr>
        <w:t xml:space="preserve">cells were stained with APC-H7-conjugated anti-CD45RA (BD Biosciences, Cat# 560674), PerCP-Cy5.5-conjugated anti-CD123 (BD Biosciences, Cat# 560904), PE-Cy7-conjugated anti-CD38 (BD Biosciences, Cat#335790) and APC-conjugated anti-CD34 (BD Biosciences, Cat#555824) antibody at 4 °C for 30 minutes in the dark. </w:t>
      </w:r>
      <w:r w:rsidR="0085509F" w:rsidRPr="00611BC5">
        <w:rPr>
          <w:rFonts w:ascii="Arial" w:hAnsi="Arial" w:cs="Arial"/>
          <w:color w:val="000000" w:themeColor="text1"/>
          <w:szCs w:val="21"/>
        </w:rPr>
        <w:t>HSCs (CD34+CD38-CD45RA-CD123-) and MEPs (CD34+CD38+CD45RA-CD123-) were sorted with</w:t>
      </w:r>
      <w:r w:rsidRPr="00611BC5">
        <w:rPr>
          <w:rFonts w:ascii="Arial" w:hAnsi="Arial" w:cs="Arial"/>
          <w:color w:val="000000" w:themeColor="text1"/>
          <w:szCs w:val="21"/>
        </w:rPr>
        <w:t xml:space="preserve"> </w:t>
      </w:r>
      <w:r w:rsidR="00210E09" w:rsidRPr="00611BC5">
        <w:rPr>
          <w:rFonts w:ascii="Arial" w:hAnsi="Arial" w:cs="Arial"/>
          <w:color w:val="000000" w:themeColor="text1"/>
          <w:szCs w:val="21"/>
        </w:rPr>
        <w:t>an Aria III instrument</w:t>
      </w:r>
      <w:r w:rsidRPr="00611BC5">
        <w:rPr>
          <w:rFonts w:ascii="Arial" w:hAnsi="Arial" w:cs="Arial"/>
          <w:color w:val="000000" w:themeColor="text1"/>
          <w:szCs w:val="21"/>
        </w:rPr>
        <w:t xml:space="preserve"> (BD Biosciences). Data were analyzed with FlowJo (version 7.6.1).</w:t>
      </w:r>
    </w:p>
    <w:p w:rsidR="004F6BC2" w:rsidRPr="00611BC5" w:rsidRDefault="004F6BC2" w:rsidP="00C311CE">
      <w:pPr>
        <w:spacing w:line="360" w:lineRule="auto"/>
        <w:rPr>
          <w:rFonts w:ascii="Arial" w:hAnsi="Arial" w:cs="Arial"/>
          <w:color w:val="000000" w:themeColor="text1"/>
          <w:szCs w:val="21"/>
        </w:rPr>
      </w:pPr>
    </w:p>
    <w:p w:rsidR="00C311CE" w:rsidRPr="00611BC5" w:rsidRDefault="00C04484" w:rsidP="00C311CE">
      <w:pPr>
        <w:spacing w:line="360" w:lineRule="auto"/>
        <w:rPr>
          <w:rFonts w:ascii="Arial" w:hAnsi="Arial" w:cs="Arial"/>
          <w:b/>
          <w:bCs/>
          <w:color w:val="000000" w:themeColor="text1"/>
          <w:szCs w:val="21"/>
        </w:rPr>
      </w:pPr>
      <w:r w:rsidRPr="00611BC5">
        <w:rPr>
          <w:rFonts w:ascii="Arial" w:hAnsi="Arial" w:cs="Arial"/>
          <w:b/>
          <w:bCs/>
          <w:i/>
          <w:iCs/>
          <w:color w:val="000000" w:themeColor="text1"/>
          <w:szCs w:val="21"/>
        </w:rPr>
        <w:t>Ex vivo</w:t>
      </w:r>
      <w:r w:rsidRPr="00611BC5">
        <w:rPr>
          <w:rFonts w:ascii="Arial" w:hAnsi="Arial" w:cs="Arial"/>
          <w:b/>
          <w:bCs/>
          <w:color w:val="000000" w:themeColor="text1"/>
          <w:szCs w:val="21"/>
        </w:rPr>
        <w:t xml:space="preserve"> erythroid differentiation</w:t>
      </w:r>
      <w:r w:rsidR="00D86135"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</w:t>
      </w:r>
    </w:p>
    <w:p w:rsidR="00C311CE" w:rsidRPr="00611BC5" w:rsidRDefault="003F1C52" w:rsidP="00C311CE">
      <w:pPr>
        <w:spacing w:line="360" w:lineRule="auto"/>
        <w:rPr>
          <w:rFonts w:ascii="Arial" w:hAnsi="Arial" w:cs="Arial"/>
          <w:color w:val="000000" w:themeColor="text1"/>
          <w:szCs w:val="21"/>
        </w:rPr>
      </w:pPr>
      <w:r w:rsidRPr="00611BC5">
        <w:rPr>
          <w:rFonts w:ascii="Arial" w:hAnsi="Arial" w:cs="Arial"/>
          <w:color w:val="000000" w:themeColor="text1"/>
          <w:szCs w:val="21"/>
        </w:rPr>
        <w:t xml:space="preserve">The </w:t>
      </w:r>
      <w:r w:rsidRPr="00611BC5">
        <w:rPr>
          <w:rFonts w:ascii="Arial" w:hAnsi="Arial" w:cs="Arial" w:hint="eastAsia"/>
          <w:color w:val="000000" w:themeColor="text1"/>
          <w:szCs w:val="21"/>
        </w:rPr>
        <w:t>purified CD34</w:t>
      </w:r>
      <w:r w:rsidRPr="00611BC5">
        <w:rPr>
          <w:rFonts w:ascii="Arial" w:hAnsi="Arial" w:cs="Arial" w:hint="eastAsia"/>
          <w:color w:val="000000" w:themeColor="text1"/>
          <w:szCs w:val="21"/>
          <w:vertAlign w:val="superscript"/>
        </w:rPr>
        <w:t>+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cells</w:t>
      </w:r>
      <w:r w:rsidRPr="00611BC5">
        <w:rPr>
          <w:rFonts w:ascii="Arial" w:hAnsi="Arial" w:cs="Arial"/>
          <w:color w:val="000000" w:themeColor="text1"/>
          <w:szCs w:val="21"/>
        </w:rPr>
        <w:t xml:space="preserve"> or FACS sorted BM MEPs</w:t>
      </w:r>
      <w:r w:rsidR="00C311CE" w:rsidRPr="00611BC5">
        <w:rPr>
          <w:rFonts w:ascii="Arial" w:hAnsi="Arial" w:cs="Arial"/>
          <w:color w:val="000000" w:themeColor="text1"/>
          <w:szCs w:val="21"/>
        </w:rPr>
        <w:t xml:space="preserve"> were cultured in the basic Iscove’s modified Dulbecco’s medium (IMDM) (Sigma, Cat# 13390) supplemented with inositol (Sigma, Cat#I5125), 20% BIT (v/v) (StemCell Technologies, Cat# 9500), monothioglycerol (Sigma, Cat# M6145), folic acid (Sigma, Cat# F7876), ferrous sulfate (Sigma, Cat# F8633), ferrous nitrate (Sigma, Cat# 8508),  glutamine (Gibco, Cat# 25030) and 1% penicillin and streptomycin (v/v). From day 0 to 8, recombinant human stem cell factor (SCF)(Prospec, Cat# CYT-255), recombinant human interleukin-3 (IL-3) (Sigma, Cat# I1646), recombinant human erythropoetinalfa (EPO) (ProTech, Cat# 100-64) and hydrocortisone (Sigma, Cat# H2270) was supplemented to the culture medium. From day 8 through 14, SCF and EPO were included in the culture medium, and only EPO was included during day 14 to 18.</w:t>
      </w:r>
    </w:p>
    <w:p w:rsidR="004F6BC2" w:rsidRPr="00611BC5" w:rsidRDefault="004F6BC2" w:rsidP="00C311CE">
      <w:pPr>
        <w:spacing w:line="360" w:lineRule="auto"/>
        <w:rPr>
          <w:rFonts w:ascii="Arial" w:hAnsi="Arial" w:cs="Arial"/>
          <w:color w:val="000000" w:themeColor="text1"/>
          <w:szCs w:val="21"/>
        </w:rPr>
      </w:pPr>
    </w:p>
    <w:p w:rsidR="004F6BC2" w:rsidRPr="00611BC5" w:rsidRDefault="00C311CE" w:rsidP="00524CF4">
      <w:pPr>
        <w:spacing w:afterLines="50" w:line="360" w:lineRule="auto"/>
        <w:rPr>
          <w:rFonts w:ascii="Arial" w:hAnsi="Arial" w:cs="Arial"/>
          <w:b/>
          <w:bCs/>
          <w:color w:val="000000" w:themeColor="text1"/>
          <w:szCs w:val="21"/>
        </w:rPr>
      </w:pPr>
      <w:r w:rsidRPr="00611BC5">
        <w:rPr>
          <w:rFonts w:ascii="Arial" w:hAnsi="Arial" w:cs="Arial"/>
          <w:b/>
          <w:bCs/>
          <w:color w:val="000000" w:themeColor="text1"/>
          <w:szCs w:val="21"/>
        </w:rPr>
        <w:lastRenderedPageBreak/>
        <w:t>RNA-Seq</w:t>
      </w:r>
      <w:r w:rsidRPr="00611BC5">
        <w:rPr>
          <w:rFonts w:ascii="Arial" w:hAnsi="Arial" w:cs="Arial" w:hint="eastAsia"/>
          <w:b/>
          <w:bCs/>
          <w:color w:val="000000" w:themeColor="text1"/>
          <w:szCs w:val="21"/>
        </w:rPr>
        <w:t xml:space="preserve"> and </w:t>
      </w:r>
      <w:r w:rsidRPr="00611BC5">
        <w:rPr>
          <w:rFonts w:ascii="Arial" w:hAnsi="Arial" w:cs="Arial"/>
          <w:b/>
          <w:bCs/>
          <w:color w:val="000000" w:themeColor="text1"/>
          <w:szCs w:val="21"/>
        </w:rPr>
        <w:t>Gene sets enrichment analysis (GSEA)</w:t>
      </w:r>
    </w:p>
    <w:p w:rsidR="00C311CE" w:rsidRPr="00611BC5" w:rsidRDefault="00C311CE" w:rsidP="00524CF4">
      <w:pPr>
        <w:spacing w:afterLines="50" w:line="360" w:lineRule="auto"/>
        <w:rPr>
          <w:rFonts w:ascii="Arial" w:hAnsi="Arial" w:cs="Arial"/>
          <w:color w:val="000000" w:themeColor="text1"/>
          <w:szCs w:val="21"/>
        </w:rPr>
      </w:pPr>
      <w:r w:rsidRPr="00611BC5">
        <w:rPr>
          <w:rFonts w:ascii="Arial" w:hAnsi="Arial" w:cs="Arial" w:hint="eastAsia"/>
          <w:color w:val="000000" w:themeColor="text1"/>
          <w:szCs w:val="21"/>
        </w:rPr>
        <w:t xml:space="preserve">Rawdata of RNA-seq </w:t>
      </w:r>
      <w:r w:rsidRPr="00611BC5">
        <w:rPr>
          <w:rFonts w:ascii="Arial" w:hAnsi="Arial" w:cs="Arial"/>
          <w:color w:val="000000" w:themeColor="text1"/>
          <w:szCs w:val="21"/>
        </w:rPr>
        <w:t xml:space="preserve">were aligned to the 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human </w:t>
      </w:r>
      <w:r w:rsidRPr="00611BC5">
        <w:rPr>
          <w:rFonts w:ascii="Arial" w:hAnsi="Arial" w:cs="Arial"/>
          <w:color w:val="000000" w:themeColor="text1"/>
          <w:szCs w:val="21"/>
        </w:rPr>
        <w:t>genome using HISAT2</w: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begin"/>
      </w:r>
      <w:r w:rsidR="00653278" w:rsidRPr="00611BC5">
        <w:rPr>
          <w:rFonts w:ascii="Arial" w:hAnsi="Arial" w:cs="Arial"/>
          <w:color w:val="000000" w:themeColor="text1"/>
          <w:szCs w:val="21"/>
          <w:vertAlign w:val="superscript"/>
        </w:rPr>
        <w:instrText xml:space="preserve"> ADDIN NE.Ref.{095018F9-9713-4425-BCD8-F7875D1DF659}</w:instrTex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separate"/>
      </w:r>
      <w:r w:rsidR="00653278" w:rsidRPr="00611BC5">
        <w:rPr>
          <w:rFonts w:ascii="Arial" w:hAnsi="Arial" w:cs="Arial"/>
          <w:color w:val="000000" w:themeColor="text1"/>
          <w:kern w:val="0"/>
          <w:szCs w:val="21"/>
        </w:rPr>
        <w:t>(1)</w: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end"/>
      </w:r>
      <w:r w:rsidRPr="00611BC5">
        <w:rPr>
          <w:rFonts w:ascii="Arial" w:hAnsi="Arial" w:cs="Arial"/>
          <w:color w:val="000000" w:themeColor="text1"/>
          <w:szCs w:val="21"/>
        </w:rPr>
        <w:t>.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611BC5">
        <w:rPr>
          <w:rFonts w:ascii="Arial" w:hAnsi="Arial" w:cs="Arial"/>
          <w:color w:val="000000" w:themeColor="text1"/>
          <w:szCs w:val="21"/>
        </w:rPr>
        <w:t>The genes was annotated by GENCODE version 29 (</w:t>
      </w:r>
      <w:hyperlink r:id="rId7" w:history="1">
        <w:r w:rsidRPr="00611BC5">
          <w:rPr>
            <w:rStyle w:val="a4"/>
            <w:rFonts w:ascii="Arial" w:hAnsi="Arial" w:cs="Arial"/>
            <w:color w:val="000000" w:themeColor="text1"/>
            <w:szCs w:val="21"/>
          </w:rPr>
          <w:t>https://www.gencodegenes.org/</w:t>
        </w:r>
      </w:hyperlink>
      <w:r w:rsidRPr="00611BC5">
        <w:rPr>
          <w:rStyle w:val="a4"/>
          <w:rFonts w:ascii="Arial" w:hAnsi="Arial" w:cs="Arial"/>
          <w:color w:val="000000" w:themeColor="text1"/>
          <w:szCs w:val="21"/>
        </w:rPr>
        <w:t>)</w:t>
      </w:r>
      <w:r w:rsidRPr="00611BC5">
        <w:rPr>
          <w:rFonts w:ascii="Arial" w:hAnsi="Arial" w:cs="Arial"/>
          <w:color w:val="000000" w:themeColor="text1"/>
          <w:szCs w:val="21"/>
        </w:rPr>
        <w:t>.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611BC5">
        <w:rPr>
          <w:rFonts w:ascii="Arial" w:hAnsi="Arial" w:cs="Arial"/>
          <w:color w:val="000000" w:themeColor="text1"/>
          <w:szCs w:val="21"/>
        </w:rPr>
        <w:t>To distinguish the first-strand-specific cDNA library, the parameter (--rna-strandness RF) was applied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611BC5">
        <w:rPr>
          <w:rFonts w:ascii="Arial" w:hAnsi="Arial" w:cs="Arial"/>
          <w:color w:val="000000" w:themeColor="text1"/>
          <w:szCs w:val="21"/>
        </w:rPr>
        <w:t>in HISAT2. Aligned reads were used to quantify gene expression by StringTie</w: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begin"/>
      </w:r>
      <w:r w:rsidR="00653278" w:rsidRPr="00611BC5">
        <w:rPr>
          <w:rFonts w:ascii="Arial" w:hAnsi="Arial" w:cs="Arial"/>
          <w:color w:val="000000" w:themeColor="text1"/>
          <w:szCs w:val="21"/>
          <w:vertAlign w:val="superscript"/>
        </w:rPr>
        <w:instrText xml:space="preserve"> ADDIN NE.Ref.{1A6BA6E3-7486-4D1A-A5E5-F4623ED1BB2B}</w:instrTex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separate"/>
      </w:r>
      <w:r w:rsidR="00653278" w:rsidRPr="00611BC5">
        <w:rPr>
          <w:rFonts w:ascii="Arial" w:hAnsi="Arial" w:cs="Arial"/>
          <w:color w:val="000000" w:themeColor="text1"/>
          <w:kern w:val="0"/>
          <w:szCs w:val="21"/>
        </w:rPr>
        <w:t>(1)</w: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end"/>
      </w:r>
      <w:r w:rsidRPr="00611BC5">
        <w:rPr>
          <w:rFonts w:ascii="Arial" w:hAnsi="Arial" w:cs="Arial"/>
          <w:color w:val="000000" w:themeColor="text1"/>
          <w:szCs w:val="21"/>
        </w:rPr>
        <w:t xml:space="preserve"> with default parameters.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611BC5">
        <w:rPr>
          <w:rFonts w:ascii="Arial" w:hAnsi="Arial" w:cs="Arial"/>
          <w:color w:val="000000" w:themeColor="text1"/>
          <w:szCs w:val="21"/>
        </w:rPr>
        <w:t xml:space="preserve">Gene sets “GO_Aging” and “GO_Apoptotic_Signaling_Pathway” were downloaded from </w:t>
      </w:r>
      <w:hyperlink r:id="rId8" w:history="1">
        <w:r w:rsidRPr="00611BC5">
          <w:rPr>
            <w:rStyle w:val="a4"/>
            <w:rFonts w:ascii="Arial" w:hAnsi="Arial" w:cs="Arial"/>
            <w:color w:val="000000" w:themeColor="text1"/>
            <w:szCs w:val="21"/>
          </w:rPr>
          <w:t>http://software.broadinstitute.org/gsea/msigdb/genesets.jsp.</w:t>
        </w:r>
      </w:hyperlink>
      <w:r w:rsidRPr="00611BC5">
        <w:rPr>
          <w:rFonts w:ascii="Arial" w:hAnsi="Arial" w:cs="Arial"/>
          <w:color w:val="000000" w:themeColor="text1"/>
        </w:rPr>
        <w:t xml:space="preserve"> </w:t>
      </w:r>
      <w:r w:rsidRPr="00611BC5">
        <w:rPr>
          <w:rFonts w:ascii="Arial" w:hAnsi="Arial" w:cs="Arial"/>
          <w:color w:val="000000" w:themeColor="text1"/>
          <w:szCs w:val="21"/>
        </w:rPr>
        <w:t>HALLMARK gene sets</w: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begin"/>
      </w:r>
      <w:r w:rsidR="00653278" w:rsidRPr="00611BC5">
        <w:rPr>
          <w:rFonts w:ascii="Arial" w:hAnsi="Arial" w:cs="Arial"/>
          <w:color w:val="000000" w:themeColor="text1"/>
          <w:szCs w:val="21"/>
          <w:vertAlign w:val="superscript"/>
        </w:rPr>
        <w:instrText xml:space="preserve"> ADDIN NE.Ref.{B6ED9A40-95FB-47A6-B5FB-8B4ADAAEC1AF}</w:instrTex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separate"/>
      </w:r>
      <w:r w:rsidR="00653278" w:rsidRPr="00611BC5">
        <w:rPr>
          <w:rFonts w:ascii="Arial" w:hAnsi="Arial" w:cs="Arial"/>
          <w:color w:val="000000" w:themeColor="text1"/>
          <w:kern w:val="0"/>
          <w:szCs w:val="21"/>
        </w:rPr>
        <w:t>(2)</w:t>
      </w:r>
      <w:r w:rsidR="00AC0A8C" w:rsidRPr="00611BC5">
        <w:rPr>
          <w:rFonts w:ascii="Arial" w:hAnsi="Arial" w:cs="Arial"/>
          <w:color w:val="000000" w:themeColor="text1"/>
          <w:szCs w:val="21"/>
          <w:vertAlign w:val="superscript"/>
        </w:rPr>
        <w:fldChar w:fldCharType="end"/>
      </w:r>
      <w:r w:rsidRPr="00611BC5">
        <w:rPr>
          <w:rFonts w:ascii="Arial" w:hAnsi="Arial" w:cs="Arial"/>
          <w:color w:val="000000" w:themeColor="text1"/>
          <w:szCs w:val="21"/>
        </w:rPr>
        <w:t xml:space="preserve"> were derived from MSigDB.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Pr="00611BC5">
        <w:rPr>
          <w:rFonts w:ascii="Arial" w:hAnsi="Arial" w:cs="Arial"/>
          <w:i/>
          <w:color w:val="000000" w:themeColor="text1"/>
          <w:szCs w:val="21"/>
        </w:rPr>
        <w:t xml:space="preserve">p </w:t>
      </w:r>
      <w:r w:rsidRPr="00611BC5">
        <w:rPr>
          <w:rFonts w:ascii="Arial" w:hAnsi="Arial" w:cs="Arial"/>
          <w:color w:val="000000" w:themeColor="text1"/>
          <w:szCs w:val="21"/>
        </w:rPr>
        <w:t>values &lt; 0.05 were considered significant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in GSEA analysis</w:t>
      </w:r>
      <w:r w:rsidRPr="00611BC5">
        <w:rPr>
          <w:rFonts w:ascii="Arial" w:hAnsi="Arial" w:cs="Arial"/>
          <w:color w:val="000000" w:themeColor="text1"/>
          <w:szCs w:val="21"/>
        </w:rPr>
        <w:t>.</w:t>
      </w:r>
    </w:p>
    <w:p w:rsidR="003F4A55" w:rsidRPr="00611BC5" w:rsidRDefault="003F4A55" w:rsidP="00524CF4">
      <w:pPr>
        <w:spacing w:afterLines="50" w:line="360" w:lineRule="auto"/>
        <w:rPr>
          <w:rFonts w:ascii="Arial" w:hAnsi="Arial" w:cs="Arial"/>
          <w:color w:val="000000" w:themeColor="text1"/>
          <w:szCs w:val="21"/>
        </w:rPr>
      </w:pPr>
    </w:p>
    <w:p w:rsidR="003F4A55" w:rsidRPr="00611BC5" w:rsidRDefault="003F4A55" w:rsidP="00524CF4">
      <w:pPr>
        <w:spacing w:afterLines="50" w:line="360" w:lineRule="auto"/>
        <w:rPr>
          <w:rFonts w:ascii="Arial" w:hAnsi="Arial" w:cs="Arial"/>
          <w:b/>
          <w:bCs/>
          <w:color w:val="000000" w:themeColor="text1"/>
          <w:szCs w:val="21"/>
        </w:rPr>
      </w:pPr>
    </w:p>
    <w:p w:rsidR="00653278" w:rsidRPr="00611BC5" w:rsidRDefault="00AC0A8C" w:rsidP="00E11E9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611BC5">
        <w:rPr>
          <w:rFonts w:ascii="Arial" w:hAnsi="Arial" w:cs="Arial"/>
          <w:b/>
          <w:color w:val="000000" w:themeColor="text1"/>
          <w:szCs w:val="21"/>
        </w:rPr>
        <w:fldChar w:fldCharType="begin"/>
      </w:r>
      <w:r w:rsidR="00C311CE" w:rsidRPr="00611BC5">
        <w:rPr>
          <w:rFonts w:ascii="Arial" w:hAnsi="Arial" w:cs="Arial"/>
          <w:b/>
          <w:color w:val="000000" w:themeColor="text1"/>
          <w:szCs w:val="21"/>
        </w:rPr>
        <w:instrText xml:space="preserve"> ADDIN NE.Bib</w:instrText>
      </w:r>
      <w:r w:rsidRPr="00611BC5">
        <w:rPr>
          <w:rFonts w:ascii="Arial" w:hAnsi="Arial" w:cs="Arial"/>
          <w:b/>
          <w:color w:val="000000" w:themeColor="text1"/>
          <w:szCs w:val="21"/>
        </w:rPr>
        <w:fldChar w:fldCharType="separate"/>
      </w:r>
      <w:r w:rsidR="00653278" w:rsidRPr="00611BC5">
        <w:rPr>
          <w:rFonts w:ascii="Arial" w:hAnsi="Arial" w:cs="Arial"/>
          <w:b/>
          <w:bCs/>
          <w:color w:val="000000" w:themeColor="text1"/>
          <w:kern w:val="0"/>
          <w:sz w:val="24"/>
          <w:szCs w:val="24"/>
        </w:rPr>
        <w:t>References:</w:t>
      </w:r>
    </w:p>
    <w:p w:rsidR="00726421" w:rsidRPr="00611BC5" w:rsidRDefault="00726421" w:rsidP="00726421">
      <w:pPr>
        <w:autoSpaceDE w:val="0"/>
        <w:autoSpaceDN w:val="0"/>
        <w:adjustRightInd w:val="0"/>
        <w:rPr>
          <w:rFonts w:ascii="Arial" w:hAnsi="Arial" w:cs="Arial"/>
          <w:color w:val="000000" w:themeColor="text1"/>
          <w:kern w:val="0"/>
          <w:sz w:val="24"/>
          <w:szCs w:val="24"/>
        </w:rPr>
      </w:pPr>
    </w:p>
    <w:p w:rsidR="00653278" w:rsidRPr="00611BC5" w:rsidRDefault="00653278" w:rsidP="00653278">
      <w:pPr>
        <w:autoSpaceDE w:val="0"/>
        <w:autoSpaceDN w:val="0"/>
        <w:adjustRightInd w:val="0"/>
        <w:rPr>
          <w:rFonts w:ascii="Arial" w:hAnsi="Arial" w:cs="Arial"/>
          <w:color w:val="000000" w:themeColor="text1"/>
          <w:kern w:val="0"/>
          <w:sz w:val="24"/>
          <w:szCs w:val="24"/>
        </w:rPr>
      </w:pP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1.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ab/>
      </w:r>
      <w:bookmarkStart w:id="0" w:name="_neb0F42F54C_42FE_47DE_B266_D56A0B4DAFF0"/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Pertea</w:t>
      </w:r>
      <w:r w:rsidR="00524CF4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,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M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.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, Kim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,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D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.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, Pertea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,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G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.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M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.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, Leek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,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J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.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T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. &amp;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Salzberg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,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S</w:t>
      </w:r>
      <w:r w:rsidR="00F935F8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.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L. Transcript-level expression analysis of RNA-seq experiments with HISAT, StringTie and Ballgown. </w:t>
      </w:r>
      <w:r w:rsidRPr="00611BC5">
        <w:rPr>
          <w:rFonts w:ascii="Arial" w:hAnsi="Arial" w:cs="Arial"/>
          <w:iCs/>
          <w:color w:val="000000" w:themeColor="text1"/>
          <w:kern w:val="0"/>
          <w:sz w:val="20"/>
          <w:szCs w:val="20"/>
        </w:rPr>
        <w:t>Nat Protoc</w:t>
      </w:r>
      <w:r w:rsidRPr="00611BC5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11</w:t>
      </w:r>
      <w:r w:rsidR="001053AB">
        <w:rPr>
          <w:rFonts w:ascii="Arial" w:hAnsi="Arial" w:cs="Arial" w:hint="eastAsia"/>
          <w:bCs/>
          <w:color w:val="000000" w:themeColor="text1"/>
          <w:kern w:val="0"/>
          <w:sz w:val="20"/>
          <w:szCs w:val="20"/>
        </w:rPr>
        <w:t>,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1650-1667</w:t>
      </w:r>
      <w:r w:rsidR="001053AB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 xml:space="preserve"> (2016)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.</w:t>
      </w:r>
      <w:bookmarkEnd w:id="0"/>
    </w:p>
    <w:p w:rsidR="00653278" w:rsidRPr="00611BC5" w:rsidRDefault="00653278" w:rsidP="00653278">
      <w:pPr>
        <w:autoSpaceDE w:val="0"/>
        <w:autoSpaceDN w:val="0"/>
        <w:adjustRightInd w:val="0"/>
        <w:rPr>
          <w:rFonts w:ascii="Arial" w:hAnsi="Arial" w:cs="Arial"/>
          <w:color w:val="000000" w:themeColor="text1"/>
          <w:kern w:val="0"/>
          <w:sz w:val="24"/>
          <w:szCs w:val="24"/>
        </w:rPr>
      </w:pPr>
    </w:p>
    <w:p w:rsidR="00653278" w:rsidRPr="00611BC5" w:rsidRDefault="00653278" w:rsidP="00653278">
      <w:pPr>
        <w:autoSpaceDE w:val="0"/>
        <w:autoSpaceDN w:val="0"/>
        <w:adjustRightInd w:val="0"/>
        <w:rPr>
          <w:rFonts w:ascii="Arial" w:hAnsi="Arial" w:cs="Arial"/>
          <w:color w:val="000000" w:themeColor="text1"/>
          <w:kern w:val="0"/>
          <w:sz w:val="24"/>
          <w:szCs w:val="24"/>
        </w:rPr>
      </w:pP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2.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ab/>
      </w:r>
      <w:bookmarkStart w:id="1" w:name="_neb652D7316_7B9B_4D37_A291_29F86E314EAB"/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Liberzon</w:t>
      </w:r>
      <w:r w:rsidR="0036602C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,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A</w:t>
      </w:r>
      <w:r w:rsidR="0036602C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. et al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. The Molecular Signatures Database (MSigDB) hallmark gene set collection. </w:t>
      </w:r>
      <w:r w:rsidRPr="00611BC5">
        <w:rPr>
          <w:rFonts w:ascii="Arial" w:hAnsi="Arial" w:cs="Arial"/>
          <w:iCs/>
          <w:color w:val="000000" w:themeColor="text1"/>
          <w:kern w:val="0"/>
          <w:sz w:val="20"/>
          <w:szCs w:val="20"/>
        </w:rPr>
        <w:t>Cell Syst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</w:t>
      </w:r>
      <w:r w:rsidRPr="00611BC5">
        <w:rPr>
          <w:rFonts w:ascii="Arial" w:hAnsi="Arial" w:cs="Arial"/>
          <w:b/>
          <w:bCs/>
          <w:color w:val="000000" w:themeColor="text1"/>
          <w:kern w:val="0"/>
          <w:sz w:val="20"/>
          <w:szCs w:val="20"/>
        </w:rPr>
        <w:t>1</w:t>
      </w:r>
      <w:r w:rsidR="0036602C">
        <w:rPr>
          <w:rFonts w:ascii="Arial" w:hAnsi="Arial" w:cs="Arial" w:hint="eastAsia"/>
          <w:bCs/>
          <w:color w:val="000000" w:themeColor="text1"/>
          <w:kern w:val="0"/>
          <w:sz w:val="20"/>
          <w:szCs w:val="20"/>
        </w:rPr>
        <w:t>,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417-425</w:t>
      </w:r>
      <w:r w:rsidR="0036602C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 xml:space="preserve"> (2015)</w:t>
      </w:r>
      <w:r w:rsidRPr="00611BC5">
        <w:rPr>
          <w:rFonts w:ascii="Arial" w:hAnsi="Arial" w:cs="Arial"/>
          <w:color w:val="000000" w:themeColor="text1"/>
          <w:kern w:val="0"/>
          <w:sz w:val="20"/>
          <w:szCs w:val="20"/>
        </w:rPr>
        <w:t>.</w:t>
      </w:r>
      <w:bookmarkEnd w:id="1"/>
    </w:p>
    <w:p w:rsidR="00653278" w:rsidRPr="00611BC5" w:rsidRDefault="00653278" w:rsidP="00653278">
      <w:pPr>
        <w:autoSpaceDE w:val="0"/>
        <w:autoSpaceDN w:val="0"/>
        <w:adjustRightInd w:val="0"/>
        <w:rPr>
          <w:rFonts w:ascii="Arial" w:hAnsi="Arial" w:cs="Arial"/>
          <w:color w:val="000000" w:themeColor="text1"/>
          <w:kern w:val="0"/>
          <w:sz w:val="24"/>
          <w:szCs w:val="24"/>
        </w:rPr>
      </w:pPr>
    </w:p>
    <w:p w:rsidR="00C311CE" w:rsidRPr="00611BC5" w:rsidRDefault="00AC0A8C" w:rsidP="00C311CE">
      <w:pPr>
        <w:spacing w:line="360" w:lineRule="auto"/>
        <w:rPr>
          <w:rFonts w:ascii="Arial" w:hAnsi="Arial" w:cs="Arial"/>
          <w:color w:val="000000" w:themeColor="text1"/>
          <w:szCs w:val="21"/>
        </w:rPr>
      </w:pPr>
      <w:r w:rsidRPr="00611BC5">
        <w:rPr>
          <w:rFonts w:ascii="Arial" w:hAnsi="Arial" w:cs="Arial"/>
          <w:b/>
          <w:color w:val="000000" w:themeColor="text1"/>
          <w:szCs w:val="21"/>
        </w:rPr>
        <w:fldChar w:fldCharType="end"/>
      </w:r>
    </w:p>
    <w:p w:rsidR="00C311CE" w:rsidRPr="00611BC5" w:rsidRDefault="00C311CE" w:rsidP="00C311CE">
      <w:pPr>
        <w:spacing w:line="360" w:lineRule="auto"/>
        <w:rPr>
          <w:rFonts w:ascii="Arial" w:hAnsi="Arial" w:cs="Arial"/>
          <w:color w:val="000000" w:themeColor="text1"/>
          <w:szCs w:val="21"/>
        </w:rPr>
      </w:pPr>
    </w:p>
    <w:p w:rsidR="0064124D" w:rsidRPr="00611BC5" w:rsidRDefault="0064124D" w:rsidP="00E13202">
      <w:pPr>
        <w:rPr>
          <w:rFonts w:ascii="Arial" w:hAnsi="Arial" w:cs="Arial"/>
          <w:b/>
          <w:color w:val="000000" w:themeColor="text1"/>
          <w:szCs w:val="21"/>
        </w:rPr>
      </w:pPr>
    </w:p>
    <w:p w:rsidR="00823414" w:rsidRDefault="00823414" w:rsidP="00E13202">
      <w:pPr>
        <w:rPr>
          <w:rFonts w:ascii="Arial" w:hAnsi="Arial" w:cs="Arial" w:hint="eastAsia"/>
          <w:b/>
          <w:color w:val="000000" w:themeColor="text1"/>
          <w:szCs w:val="21"/>
        </w:rPr>
      </w:pPr>
    </w:p>
    <w:p w:rsidR="004F1C05" w:rsidRPr="00611BC5" w:rsidRDefault="001F00A1" w:rsidP="00E13202">
      <w:pPr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/>
          <w:b/>
          <w:color w:val="000000" w:themeColor="text1"/>
          <w:szCs w:val="21"/>
        </w:rPr>
        <w:lastRenderedPageBreak/>
        <w:t xml:space="preserve">Supplementary Figure 1. </w:t>
      </w:r>
      <w:r w:rsidR="004F1C05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Cell sorting strategy for hematopoietic stem cells (HSCs) (</w:t>
      </w:r>
      <w:r w:rsidR="004F1C05" w:rsidRPr="00611BC5">
        <w:rPr>
          <w:rFonts w:ascii="Arial" w:hAnsi="Arial" w:cs="Arial"/>
          <w:b/>
          <w:color w:val="000000" w:themeColor="text1"/>
        </w:rPr>
        <w:t>Lin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="004F1C05" w:rsidRPr="00611BC5">
        <w:rPr>
          <w:rFonts w:ascii="Arial" w:hAnsi="Arial" w:cs="Arial"/>
          <w:b/>
          <w:color w:val="000000" w:themeColor="text1"/>
        </w:rPr>
        <w:t>CD34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+</w:t>
      </w:r>
      <w:r w:rsidR="004F1C05" w:rsidRPr="00611BC5">
        <w:rPr>
          <w:rFonts w:ascii="Arial" w:hAnsi="Arial" w:cs="Arial"/>
          <w:b/>
          <w:color w:val="000000" w:themeColor="text1"/>
        </w:rPr>
        <w:t>CD38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="004F1C05" w:rsidRPr="00611BC5">
        <w:rPr>
          <w:rFonts w:ascii="Arial" w:hAnsi="Arial" w:cs="Arial"/>
          <w:b/>
          <w:color w:val="000000" w:themeColor="text1"/>
        </w:rPr>
        <w:t>CD45RA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="004F1C05" w:rsidRPr="00611BC5">
        <w:rPr>
          <w:rFonts w:ascii="Arial" w:hAnsi="Arial" w:cs="Arial"/>
          <w:b/>
          <w:color w:val="000000" w:themeColor="text1"/>
        </w:rPr>
        <w:t>CD123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="004F1C05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) and </w:t>
      </w:r>
      <w:r w:rsidR="004F1C05" w:rsidRPr="00611BC5">
        <w:rPr>
          <w:rFonts w:ascii="Arial" w:eastAsia="宋体" w:hAnsi="Arial" w:cs="Arial" w:hint="eastAsia"/>
          <w:b/>
          <w:color w:val="000000" w:themeColor="text1"/>
          <w:szCs w:val="21"/>
        </w:rPr>
        <w:t>megakaryocytic-erythroid progenitors</w:t>
      </w:r>
      <w:r w:rsidR="004F1C05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(MEPs) (</w:t>
      </w:r>
      <w:r w:rsidR="004F1C05" w:rsidRPr="00611BC5">
        <w:rPr>
          <w:rFonts w:ascii="Arial" w:hAnsi="Arial" w:cs="Arial"/>
          <w:b/>
          <w:color w:val="000000" w:themeColor="text1"/>
        </w:rPr>
        <w:t>Lin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="004F1C05" w:rsidRPr="00611BC5">
        <w:rPr>
          <w:rFonts w:ascii="Arial" w:hAnsi="Arial" w:cs="Arial"/>
          <w:b/>
          <w:color w:val="000000" w:themeColor="text1"/>
        </w:rPr>
        <w:t>CD34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+</w:t>
      </w:r>
      <w:r w:rsidR="004F1C05" w:rsidRPr="00611BC5">
        <w:rPr>
          <w:rFonts w:ascii="Arial" w:hAnsi="Arial" w:cs="Arial"/>
          <w:b/>
          <w:color w:val="000000" w:themeColor="text1"/>
        </w:rPr>
        <w:t>CD38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+</w:t>
      </w:r>
      <w:r w:rsidR="004F1C05" w:rsidRPr="00611BC5">
        <w:rPr>
          <w:rFonts w:ascii="Arial" w:hAnsi="Arial" w:cs="Arial"/>
          <w:b/>
          <w:color w:val="000000" w:themeColor="text1"/>
        </w:rPr>
        <w:t>CD45RA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="004F1C05" w:rsidRPr="00611BC5">
        <w:rPr>
          <w:rFonts w:ascii="Arial" w:hAnsi="Arial" w:cs="Arial"/>
          <w:b/>
          <w:color w:val="000000" w:themeColor="text1"/>
        </w:rPr>
        <w:t>CD123</w:t>
      </w:r>
      <w:r w:rsidR="004F1C05" w:rsidRPr="00611BC5">
        <w:rPr>
          <w:rFonts w:ascii="Arial" w:hAnsi="Arial" w:cs="Arial"/>
          <w:b/>
          <w:color w:val="000000" w:themeColor="text1"/>
          <w:vertAlign w:val="superscript"/>
        </w:rPr>
        <w:t>-</w:t>
      </w:r>
      <w:r w:rsidR="004F1C05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).</w:t>
      </w:r>
    </w:p>
    <w:p w:rsidR="00E42207" w:rsidRPr="00611BC5" w:rsidRDefault="007952EF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/>
          <w:b/>
          <w:noProof/>
          <w:color w:val="000000" w:themeColor="text1"/>
          <w:szCs w:val="21"/>
        </w:rPr>
        <w:drawing>
          <wp:inline distT="0" distB="0" distL="0" distR="0">
            <wp:extent cx="6293780" cy="2722058"/>
            <wp:effectExtent l="19050" t="0" r="0" b="0"/>
            <wp:docPr id="4" name="图片 1" descr="C:\Users\hhj\Desktop\Rc\Figure\流式分选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hj\Desktop\Rc\Figure\流式分选.eps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427" cy="2723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b/>
          <w:color w:val="000000" w:themeColor="text1"/>
          <w:szCs w:val="21"/>
        </w:rPr>
      </w:pPr>
    </w:p>
    <w:p w:rsidR="00205075" w:rsidRPr="00611BC5" w:rsidRDefault="00205075">
      <w:pPr>
        <w:rPr>
          <w:rFonts w:ascii="Arial" w:hAnsi="Arial" w:cs="Arial"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bCs/>
          <w:color w:val="000000" w:themeColor="text1"/>
          <w:szCs w:val="21"/>
        </w:rPr>
        <w:lastRenderedPageBreak/>
        <w:t xml:space="preserve">Supplementary Figue 2.  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 xml:space="preserve">Quantitative analysis </w:t>
      </w:r>
      <w:r w:rsidRPr="00611BC5">
        <w:rPr>
          <w:rFonts w:ascii="Arial" w:hAnsi="Arial" w:cs="Arial"/>
          <w:b/>
          <w:color w:val="000000" w:themeColor="text1"/>
          <w:szCs w:val="21"/>
        </w:rPr>
        <w:t>of HSCs, MEPs and erythroid progenitors from MDS patients and healthy donors (HD).</w:t>
      </w:r>
      <w:r w:rsidRPr="00611BC5">
        <w:rPr>
          <w:rFonts w:ascii="Arial" w:hAnsi="Arial" w:cs="Arial"/>
          <w:color w:val="000000" w:themeColor="text1"/>
          <w:szCs w:val="21"/>
        </w:rPr>
        <w:t xml:space="preserve"> (A</w:t>
      </w:r>
      <w:r w:rsidRPr="00611BC5">
        <w:rPr>
          <w:rFonts w:ascii="Arial" w:hAnsi="Arial" w:cs="Arial" w:hint="eastAsia"/>
          <w:color w:val="000000" w:themeColor="text1"/>
          <w:szCs w:val="21"/>
        </w:rPr>
        <w:t>-B</w:t>
      </w:r>
      <w:r w:rsidRPr="00611BC5">
        <w:rPr>
          <w:rFonts w:ascii="Arial" w:hAnsi="Arial" w:cs="Arial"/>
          <w:color w:val="000000" w:themeColor="text1"/>
          <w:szCs w:val="21"/>
        </w:rPr>
        <w:t>) The percentage of HSCs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(marked with </w:t>
      </w:r>
      <w:r w:rsidRPr="00611BC5">
        <w:rPr>
          <w:rFonts w:ascii="Arial" w:hAnsi="Arial" w:cs="Arial"/>
          <w:color w:val="000000" w:themeColor="text1"/>
        </w:rPr>
        <w:t>Lin</w:t>
      </w:r>
      <w:r w:rsidRPr="00611BC5">
        <w:rPr>
          <w:rFonts w:ascii="Arial" w:hAnsi="Arial" w:cs="Arial"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color w:val="000000" w:themeColor="text1"/>
        </w:rPr>
        <w:t>CD34</w:t>
      </w:r>
      <w:r w:rsidRPr="00611BC5">
        <w:rPr>
          <w:rFonts w:ascii="Arial" w:hAnsi="Arial" w:cs="Arial"/>
          <w:color w:val="000000" w:themeColor="text1"/>
          <w:vertAlign w:val="superscript"/>
        </w:rPr>
        <w:t>+</w:t>
      </w:r>
      <w:r w:rsidRPr="00611BC5">
        <w:rPr>
          <w:rFonts w:ascii="Arial" w:hAnsi="Arial" w:cs="Arial"/>
          <w:color w:val="000000" w:themeColor="text1"/>
        </w:rPr>
        <w:t>CD38</w:t>
      </w:r>
      <w:r w:rsidRPr="00611BC5">
        <w:rPr>
          <w:rFonts w:ascii="Arial" w:hAnsi="Arial" w:cs="Arial" w:hint="eastAsia"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color w:val="000000" w:themeColor="text1"/>
        </w:rPr>
        <w:t>CD45RA</w:t>
      </w:r>
      <w:r w:rsidRPr="00611BC5">
        <w:rPr>
          <w:rFonts w:ascii="Arial" w:hAnsi="Arial" w:cs="Arial"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color w:val="000000" w:themeColor="text1"/>
        </w:rPr>
        <w:t>CD123</w:t>
      </w:r>
      <w:r w:rsidRPr="00611BC5">
        <w:rPr>
          <w:rFonts w:ascii="Arial" w:hAnsi="Arial" w:cs="Arial"/>
          <w:color w:val="000000" w:themeColor="text1"/>
          <w:vertAlign w:val="superscript"/>
        </w:rPr>
        <w:t>-</w:t>
      </w:r>
      <w:r w:rsidRPr="00611BC5">
        <w:rPr>
          <w:rFonts w:ascii="Arial" w:hAnsi="Arial" w:cs="Arial" w:hint="eastAsia"/>
          <w:color w:val="000000" w:themeColor="text1"/>
          <w:szCs w:val="21"/>
        </w:rPr>
        <w:t>)</w:t>
      </w:r>
      <w:r w:rsidRPr="00611BC5">
        <w:rPr>
          <w:rFonts w:ascii="Arial" w:hAnsi="Arial" w:cs="Arial"/>
          <w:color w:val="000000" w:themeColor="text1"/>
          <w:szCs w:val="21"/>
        </w:rPr>
        <w:t xml:space="preserve"> and MEPs</w:t>
      </w:r>
      <w:r w:rsidRPr="00611BC5">
        <w:rPr>
          <w:rFonts w:ascii="Arial" w:hAnsi="Arial" w:cs="Arial" w:hint="eastAsia"/>
          <w:color w:val="000000" w:themeColor="text1"/>
          <w:szCs w:val="21"/>
        </w:rPr>
        <w:t xml:space="preserve"> (marked with </w:t>
      </w:r>
      <w:r w:rsidRPr="00611BC5">
        <w:rPr>
          <w:rFonts w:ascii="Arial" w:hAnsi="Arial" w:cs="Arial"/>
          <w:color w:val="000000" w:themeColor="text1"/>
        </w:rPr>
        <w:t>Lin</w:t>
      </w:r>
      <w:r w:rsidRPr="00611BC5">
        <w:rPr>
          <w:rFonts w:ascii="Arial" w:hAnsi="Arial" w:cs="Arial"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color w:val="000000" w:themeColor="text1"/>
        </w:rPr>
        <w:t>CD34</w:t>
      </w:r>
      <w:r w:rsidRPr="00611BC5">
        <w:rPr>
          <w:rFonts w:ascii="Arial" w:hAnsi="Arial" w:cs="Arial"/>
          <w:color w:val="000000" w:themeColor="text1"/>
          <w:vertAlign w:val="superscript"/>
        </w:rPr>
        <w:t>+</w:t>
      </w:r>
      <w:r w:rsidRPr="00611BC5">
        <w:rPr>
          <w:rFonts w:ascii="Arial" w:hAnsi="Arial" w:cs="Arial"/>
          <w:color w:val="000000" w:themeColor="text1"/>
        </w:rPr>
        <w:t>CD38</w:t>
      </w:r>
      <w:r w:rsidRPr="00611BC5">
        <w:rPr>
          <w:rFonts w:ascii="Arial" w:hAnsi="Arial" w:cs="Arial"/>
          <w:color w:val="000000" w:themeColor="text1"/>
          <w:vertAlign w:val="superscript"/>
        </w:rPr>
        <w:t>+</w:t>
      </w:r>
      <w:r w:rsidRPr="00611BC5">
        <w:rPr>
          <w:rFonts w:ascii="Arial" w:hAnsi="Arial" w:cs="Arial"/>
          <w:color w:val="000000" w:themeColor="text1"/>
        </w:rPr>
        <w:t>CD45RA</w:t>
      </w:r>
      <w:r w:rsidRPr="00611BC5">
        <w:rPr>
          <w:rFonts w:ascii="Arial" w:hAnsi="Arial" w:cs="Arial"/>
          <w:color w:val="000000" w:themeColor="text1"/>
          <w:vertAlign w:val="superscript"/>
        </w:rPr>
        <w:t>-</w:t>
      </w:r>
      <w:r w:rsidRPr="00611BC5">
        <w:rPr>
          <w:rFonts w:ascii="Arial" w:hAnsi="Arial" w:cs="Arial"/>
          <w:color w:val="000000" w:themeColor="text1"/>
        </w:rPr>
        <w:t>CD123</w:t>
      </w:r>
      <w:r w:rsidRPr="00611BC5">
        <w:rPr>
          <w:rFonts w:ascii="Arial" w:hAnsi="Arial" w:cs="Arial"/>
          <w:color w:val="000000" w:themeColor="text1"/>
          <w:vertAlign w:val="superscript"/>
        </w:rPr>
        <w:t>-</w:t>
      </w:r>
      <w:r w:rsidRPr="00611BC5">
        <w:rPr>
          <w:rFonts w:ascii="Arial" w:hAnsi="Arial" w:cs="Arial" w:hint="eastAsia"/>
          <w:color w:val="000000" w:themeColor="text1"/>
          <w:szCs w:val="21"/>
        </w:rPr>
        <w:t>)</w:t>
      </w:r>
      <w:r w:rsidRPr="00611BC5">
        <w:rPr>
          <w:rFonts w:ascii="Arial" w:hAnsi="Arial" w:cs="Arial"/>
          <w:color w:val="000000" w:themeColor="text1"/>
          <w:szCs w:val="21"/>
        </w:rPr>
        <w:t xml:space="preserve"> in Lin- cells derived from MDS patients and HD. (C) CFU-C assays were performed using the MethoCultTM H4435 Enriched (STEMCELL Technologies, Vancouver, Canada.). Numbers of BFU-E and CFU-E of MDS patients were significantly lower than that of HD.</w:t>
      </w:r>
    </w:p>
    <w:p w:rsidR="00DE11B4" w:rsidRPr="00611BC5" w:rsidRDefault="00A07D59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/>
          <w:b/>
          <w:noProof/>
          <w:color w:val="000000" w:themeColor="text1"/>
          <w:szCs w:val="21"/>
        </w:rPr>
        <w:drawing>
          <wp:inline distT="0" distB="0" distL="0" distR="0">
            <wp:extent cx="7778177" cy="2140648"/>
            <wp:effectExtent l="0" t="0" r="0" b="0"/>
            <wp:docPr id="1" name="图片 1" descr="C:\Users\hhj\Desktop\ARC-BJH\图\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hj\Desktop\ARC-BJH\图\Figure 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6328" cy="2142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>
      <w:pPr>
        <w:rPr>
          <w:rFonts w:ascii="Arial" w:hAnsi="Arial" w:cs="Arial"/>
          <w:b/>
          <w:color w:val="000000" w:themeColor="text1"/>
          <w:szCs w:val="21"/>
        </w:rPr>
      </w:pPr>
    </w:p>
    <w:p w:rsidR="00836B7C" w:rsidRPr="00611BC5" w:rsidRDefault="00836B7C" w:rsidP="005F20C0">
      <w:pPr>
        <w:rPr>
          <w:rFonts w:ascii="Arial" w:hAnsi="Arial" w:cs="Arial"/>
          <w:b/>
          <w:color w:val="000000" w:themeColor="text1"/>
          <w:szCs w:val="21"/>
        </w:rPr>
      </w:pPr>
    </w:p>
    <w:p w:rsidR="005F20C0" w:rsidRPr="00611BC5" w:rsidRDefault="005F20C0" w:rsidP="005F20C0">
      <w:pPr>
        <w:rPr>
          <w:rFonts w:ascii="Arial" w:hAnsi="Arial" w:cs="Arial"/>
          <w:color w:val="000000" w:themeColor="text1"/>
          <w:sz w:val="24"/>
          <w:szCs w:val="24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3. 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Hemoglobin synthesis analysis </w:t>
      </w:r>
      <w:r w:rsidR="0069513A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and </w:t>
      </w:r>
      <w:r w:rsidR="0069513A" w:rsidRPr="00611BC5">
        <w:rPr>
          <w:rFonts w:ascii="Arial" w:hAnsi="Arial" w:cs="Arial" w:hint="eastAsia"/>
          <w:b/>
          <w:color w:val="000000" w:themeColor="text1"/>
          <w:szCs w:val="21"/>
        </w:rPr>
        <w:t>s</w:t>
      </w:r>
      <w:r w:rsidR="0069513A" w:rsidRPr="00611BC5">
        <w:rPr>
          <w:rFonts w:ascii="Arial" w:hAnsi="Arial" w:cs="Arial"/>
          <w:b/>
          <w:color w:val="000000" w:themeColor="text1"/>
          <w:szCs w:val="21"/>
        </w:rPr>
        <w:t>enescent cells</w:t>
      </w:r>
      <w:r w:rsidR="0069513A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counting 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of erythroid cells derived from MDS patients and HD. </w:t>
      </w:r>
      <w:r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 xml:space="preserve">(A) Representative images of </w:t>
      </w:r>
      <w:r w:rsidRPr="00611BC5">
        <w:rPr>
          <w:rFonts w:ascii="Arial" w:hAnsi="Arial" w:cs="Arial"/>
          <w:bCs/>
          <w:color w:val="000000" w:themeColor="text1"/>
          <w:kern w:val="0"/>
          <w:szCs w:val="21"/>
        </w:rPr>
        <w:t>Benzidine</w:t>
      </w:r>
      <w:r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 xml:space="preserve"> stained erythroid cells cultured for different days as indicated. (B) The percentage of b</w:t>
      </w:r>
      <w:r w:rsidRPr="00611BC5">
        <w:rPr>
          <w:rFonts w:ascii="Arial" w:hAnsi="Arial" w:cs="Arial"/>
          <w:bCs/>
          <w:color w:val="000000" w:themeColor="text1"/>
          <w:kern w:val="0"/>
          <w:szCs w:val="21"/>
        </w:rPr>
        <w:t>enzidine</w:t>
      </w:r>
      <w:r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 xml:space="preserve"> reactive cells in total erythroid cells. </w:t>
      </w:r>
      <w:r w:rsidR="004A3EB6"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 xml:space="preserve">(C) </w:t>
      </w:r>
      <w:r w:rsidR="0069513A"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>The</w:t>
      </w:r>
      <w:r w:rsidR="00404D86"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 xml:space="preserve"> percentage of </w:t>
      </w:r>
      <w:r w:rsidR="00404D86" w:rsidRPr="00611BC5">
        <w:rPr>
          <w:rFonts w:ascii="Arial" w:hAnsi="Arial" w:cs="Arial"/>
          <w:color w:val="000000" w:themeColor="text1"/>
          <w:szCs w:val="21"/>
        </w:rPr>
        <w:t xml:space="preserve">β-galactosidase </w:t>
      </w:r>
      <w:r w:rsidR="00404D86" w:rsidRPr="00611BC5">
        <w:rPr>
          <w:rFonts w:ascii="Arial" w:hAnsi="Arial" w:cs="Arial" w:hint="eastAsia"/>
          <w:color w:val="000000" w:themeColor="text1"/>
          <w:szCs w:val="21"/>
        </w:rPr>
        <w:t xml:space="preserve">staining positive cells in total erythroid cells. </w:t>
      </w:r>
    </w:p>
    <w:p w:rsidR="005F20C0" w:rsidRPr="00611BC5" w:rsidRDefault="009F2A5C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/>
          <w:b/>
          <w:noProof/>
          <w:color w:val="000000" w:themeColor="text1"/>
          <w:szCs w:val="21"/>
        </w:rPr>
        <w:drawing>
          <wp:inline distT="0" distB="0" distL="0" distR="0">
            <wp:extent cx="4333031" cy="4366148"/>
            <wp:effectExtent l="19050" t="0" r="0" b="0"/>
            <wp:docPr id="9" name="图片 8" descr="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t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6221" cy="436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D3E" w:rsidRPr="00611BC5" w:rsidRDefault="00E54D3E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4. </w:t>
      </w:r>
      <w:r w:rsidR="00DD77C1" w:rsidRPr="00611BC5">
        <w:rPr>
          <w:rFonts w:ascii="Arial" w:hAnsi="Arial" w:cs="Arial"/>
          <w:b/>
          <w:bCs/>
          <w:color w:val="000000" w:themeColor="text1"/>
          <w:szCs w:val="21"/>
        </w:rPr>
        <w:t xml:space="preserve">HALLMARK gene sets enrichment analysis between MDS patients and HD at different differentiation stages. </w:t>
      </w:r>
      <w:r w:rsidR="00DD77C1" w:rsidRPr="00611BC5">
        <w:rPr>
          <w:rFonts w:ascii="Arial" w:hAnsi="Arial" w:cs="Arial"/>
          <w:bCs/>
          <w:color w:val="000000" w:themeColor="text1"/>
          <w:szCs w:val="21"/>
        </w:rPr>
        <w:t xml:space="preserve">The red color indicated highly expressing terms in MDS, and the blue color indicated highly expression terms in HD. Significantly terms (Nominal </w:t>
      </w:r>
      <w:r w:rsidR="00DD77C1" w:rsidRPr="00611BC5">
        <w:rPr>
          <w:rFonts w:ascii="Arial" w:hAnsi="Arial" w:cs="Arial"/>
          <w:bCs/>
          <w:i/>
          <w:iCs/>
          <w:color w:val="000000" w:themeColor="text1"/>
          <w:szCs w:val="21"/>
        </w:rPr>
        <w:t>p</w:t>
      </w:r>
      <w:r w:rsidR="00DD77C1" w:rsidRPr="00611BC5">
        <w:rPr>
          <w:rFonts w:ascii="Arial" w:hAnsi="Arial" w:cs="Arial"/>
          <w:bCs/>
          <w:color w:val="000000" w:themeColor="text1"/>
          <w:szCs w:val="21"/>
        </w:rPr>
        <w:t xml:space="preserve"> value &lt; 0.05) are highlighted through different panes.</w:t>
      </w:r>
    </w:p>
    <w:p w:rsidR="0066596C" w:rsidRPr="00611BC5" w:rsidRDefault="00A30CF9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noProof/>
          <w:color w:val="000000" w:themeColor="text1"/>
          <w:szCs w:val="21"/>
        </w:rPr>
        <w:drawing>
          <wp:inline distT="0" distB="0" distL="0" distR="0">
            <wp:extent cx="3980003" cy="4413017"/>
            <wp:effectExtent l="19050" t="0" r="1447" b="0"/>
            <wp:docPr id="12" name="图片 11" descr="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.t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9064" cy="441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35A" w:rsidRPr="00611BC5" w:rsidRDefault="0020135A" w:rsidP="0020135A">
      <w:pPr>
        <w:rPr>
          <w:rFonts w:ascii="Arial" w:hAnsi="Arial" w:cs="Arial"/>
          <w:b/>
          <w:color w:val="000000" w:themeColor="text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>Supplementary Figure</w:t>
      </w:r>
      <w:r w:rsidR="00A92549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</w:t>
      </w:r>
      <w:r w:rsidR="002834DB" w:rsidRPr="00611BC5">
        <w:rPr>
          <w:rFonts w:ascii="Arial" w:hAnsi="Arial" w:cs="Arial" w:hint="eastAsia"/>
          <w:b/>
          <w:color w:val="000000" w:themeColor="text1"/>
          <w:szCs w:val="21"/>
        </w:rPr>
        <w:t>5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Pr="00611BC5">
        <w:rPr>
          <w:rFonts w:ascii="Arial" w:hAnsi="Arial" w:cs="Arial" w:hint="eastAsia"/>
          <w:b/>
          <w:color w:val="000000" w:themeColor="text1"/>
        </w:rPr>
        <w:t>A</w:t>
      </w:r>
      <w:r w:rsidRPr="00611BC5">
        <w:rPr>
          <w:rFonts w:ascii="Arial" w:hAnsi="Arial" w:cs="Arial"/>
          <w:b/>
          <w:color w:val="000000" w:themeColor="text1"/>
        </w:rPr>
        <w:t>ging</w:t>
      </w:r>
      <w:r w:rsidRPr="00611BC5">
        <w:rPr>
          <w:rFonts w:ascii="Arial" w:hAnsi="Arial" w:cs="Arial" w:hint="eastAsia"/>
          <w:b/>
          <w:color w:val="000000" w:themeColor="text1"/>
        </w:rPr>
        <w:t>-</w:t>
      </w:r>
      <w:r w:rsidRPr="00611BC5">
        <w:rPr>
          <w:rFonts w:ascii="Arial" w:hAnsi="Arial" w:cs="Arial"/>
          <w:b/>
          <w:color w:val="000000" w:themeColor="text1"/>
        </w:rPr>
        <w:t xml:space="preserve">associated genes were induced in </w:t>
      </w:r>
      <w:r w:rsidRPr="00611BC5">
        <w:rPr>
          <w:rFonts w:ascii="Arial" w:hAnsi="Arial" w:cs="Arial" w:hint="eastAsia"/>
          <w:b/>
          <w:color w:val="000000" w:themeColor="text1"/>
        </w:rPr>
        <w:t xml:space="preserve">MDS </w:t>
      </w:r>
      <w:r w:rsidRPr="00611BC5">
        <w:rPr>
          <w:rFonts w:ascii="Arial" w:hAnsi="Arial" w:cs="Arial"/>
          <w:b/>
          <w:color w:val="000000" w:themeColor="text1"/>
        </w:rPr>
        <w:t>patient cells</w:t>
      </w:r>
      <w:r w:rsidRPr="00611BC5">
        <w:rPr>
          <w:rFonts w:ascii="Arial" w:hAnsi="Arial" w:cs="Arial" w:hint="eastAsia"/>
          <w:b/>
          <w:color w:val="000000" w:themeColor="text1"/>
        </w:rPr>
        <w:t xml:space="preserve"> compared with HD.</w:t>
      </w:r>
    </w:p>
    <w:p w:rsidR="0020135A" w:rsidRPr="00611BC5" w:rsidRDefault="0020135A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/>
          <w:b/>
          <w:noProof/>
          <w:color w:val="000000" w:themeColor="text1"/>
          <w:szCs w:val="21"/>
        </w:rPr>
        <w:drawing>
          <wp:inline distT="0" distB="0" distL="0" distR="0">
            <wp:extent cx="4670645" cy="4121584"/>
            <wp:effectExtent l="19050" t="0" r="0" b="0"/>
            <wp:docPr id="2" name="图片 1" descr="C:\Users\hhj\Desktop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hj\Desktop\Figure S4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76" cy="412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DBE" w:rsidRPr="00611BC5" w:rsidRDefault="007C1DBE">
      <w:pPr>
        <w:rPr>
          <w:rFonts w:ascii="Arial" w:hAnsi="Arial" w:cs="Arial"/>
          <w:b/>
          <w:color w:val="000000" w:themeColor="text1"/>
          <w:szCs w:val="21"/>
        </w:rPr>
      </w:pPr>
    </w:p>
    <w:p w:rsidR="007C1DBE" w:rsidRPr="00611BC5" w:rsidRDefault="007C1DBE">
      <w:pPr>
        <w:rPr>
          <w:rFonts w:ascii="Arial" w:hAnsi="Arial" w:cs="Arial"/>
          <w:b/>
          <w:color w:val="000000" w:themeColor="text1"/>
          <w:szCs w:val="21"/>
        </w:rPr>
      </w:pPr>
    </w:p>
    <w:p w:rsidR="007C1DBE" w:rsidRPr="00611BC5" w:rsidRDefault="007C1DBE">
      <w:pPr>
        <w:rPr>
          <w:rFonts w:ascii="Arial" w:hAnsi="Arial" w:cs="Arial"/>
          <w:b/>
          <w:color w:val="000000" w:themeColor="text1"/>
          <w:szCs w:val="21"/>
        </w:rPr>
      </w:pPr>
    </w:p>
    <w:p w:rsidR="00B6246C" w:rsidRPr="00611BC5" w:rsidRDefault="00B6246C">
      <w:pPr>
        <w:rPr>
          <w:rFonts w:ascii="Arial" w:hAnsi="Arial" w:cs="Arial"/>
          <w:b/>
          <w:color w:val="000000" w:themeColor="text1"/>
          <w:szCs w:val="21"/>
        </w:rPr>
      </w:pPr>
    </w:p>
    <w:p w:rsidR="008B26AD" w:rsidRPr="00611BC5" w:rsidRDefault="000C1E9A">
      <w:pPr>
        <w:rPr>
          <w:rFonts w:ascii="Arial" w:hAnsi="Arial" w:cs="Arial"/>
          <w:noProof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</w:t>
      </w:r>
      <w:r w:rsidR="004D2730" w:rsidRPr="00611BC5">
        <w:rPr>
          <w:rFonts w:ascii="Arial" w:hAnsi="Arial" w:cs="Arial" w:hint="eastAsia"/>
          <w:b/>
          <w:color w:val="000000" w:themeColor="text1"/>
          <w:szCs w:val="21"/>
        </w:rPr>
        <w:t>6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="006B60C3" w:rsidRPr="00611BC5">
        <w:rPr>
          <w:rFonts w:ascii="Arial" w:hAnsi="Arial" w:cs="Arial" w:hint="eastAsia"/>
          <w:b/>
          <w:color w:val="000000" w:themeColor="text1"/>
          <w:szCs w:val="21"/>
        </w:rPr>
        <w:t>Downregulation</w:t>
      </w:r>
      <w:r w:rsidR="005322FB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of </w:t>
      </w:r>
      <w:r w:rsidR="005322FB" w:rsidRPr="00611BC5">
        <w:rPr>
          <w:rFonts w:ascii="Arial" w:hAnsi="Arial" w:cs="Arial" w:hint="eastAsia"/>
          <w:b/>
          <w:i/>
          <w:color w:val="000000" w:themeColor="text1"/>
          <w:szCs w:val="21"/>
        </w:rPr>
        <w:t>ERCC1</w:t>
      </w:r>
      <w:r w:rsidR="00760A37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expression could inhibit aging </w:t>
      </w:r>
      <w:r w:rsidR="00531F7D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process </w:t>
      </w:r>
      <w:r w:rsidR="00760A37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and promote proliferation of K562 cells. </w:t>
      </w:r>
      <w:r w:rsidR="007515CD" w:rsidRPr="00611BC5">
        <w:rPr>
          <w:rFonts w:ascii="Arial" w:hAnsi="Arial" w:cs="Arial" w:hint="eastAsia"/>
          <w:color w:val="000000" w:themeColor="text1"/>
          <w:szCs w:val="21"/>
        </w:rPr>
        <w:t xml:space="preserve">(A) qRT-PCR analysis and WB confirmed the expression of </w:t>
      </w:r>
      <w:r w:rsidR="007515CD" w:rsidRPr="00611BC5">
        <w:rPr>
          <w:rFonts w:ascii="Arial" w:hAnsi="Arial" w:cs="Arial" w:hint="eastAsia"/>
          <w:i/>
          <w:color w:val="000000" w:themeColor="text1"/>
          <w:szCs w:val="21"/>
        </w:rPr>
        <w:t xml:space="preserve">ERCC1 </w:t>
      </w:r>
      <w:r w:rsidR="00BA7F5B" w:rsidRPr="00611BC5">
        <w:rPr>
          <w:rFonts w:ascii="Arial" w:hAnsi="Arial" w:cs="Arial" w:hint="eastAsia"/>
          <w:color w:val="000000" w:themeColor="text1"/>
          <w:szCs w:val="21"/>
        </w:rPr>
        <w:t xml:space="preserve">in K562 cells </w:t>
      </w:r>
      <w:r w:rsidR="007515CD" w:rsidRPr="00611BC5">
        <w:rPr>
          <w:rFonts w:ascii="Arial" w:hAnsi="Arial" w:cs="Arial" w:hint="eastAsia"/>
          <w:color w:val="000000" w:themeColor="text1"/>
          <w:szCs w:val="21"/>
        </w:rPr>
        <w:t xml:space="preserve">were significantly reduced after </w:t>
      </w:r>
      <w:r w:rsidR="007515CD" w:rsidRPr="00611BC5">
        <w:rPr>
          <w:rFonts w:ascii="Arial" w:hAnsi="Arial" w:cs="Arial" w:hint="eastAsia"/>
          <w:color w:val="000000" w:themeColor="text1"/>
        </w:rPr>
        <w:t xml:space="preserve">infection of </w:t>
      </w:r>
      <w:r w:rsidR="0054131E" w:rsidRPr="00611BC5">
        <w:rPr>
          <w:rFonts w:ascii="Arial" w:hAnsi="Arial" w:cs="Arial" w:hint="eastAsia"/>
          <w:i/>
          <w:color w:val="000000" w:themeColor="text1"/>
        </w:rPr>
        <w:t>ERCC1-</w:t>
      </w:r>
      <w:r w:rsidR="007515CD" w:rsidRPr="00611BC5">
        <w:rPr>
          <w:rFonts w:ascii="Arial" w:hAnsi="Arial" w:cs="Arial" w:hint="eastAsia"/>
          <w:color w:val="000000" w:themeColor="text1"/>
        </w:rPr>
        <w:t>targeting</w:t>
      </w:r>
      <w:r w:rsidR="0054131E" w:rsidRPr="00611BC5">
        <w:rPr>
          <w:rFonts w:ascii="Arial" w:hAnsi="Arial" w:cs="Arial" w:hint="eastAsia"/>
          <w:color w:val="000000" w:themeColor="text1"/>
        </w:rPr>
        <w:t xml:space="preserve"> shRNA</w:t>
      </w:r>
      <w:r w:rsidR="00367EA1" w:rsidRPr="00611BC5">
        <w:rPr>
          <w:rFonts w:ascii="Arial" w:hAnsi="Arial" w:cs="Arial" w:hint="eastAsia"/>
          <w:color w:val="000000" w:themeColor="text1"/>
        </w:rPr>
        <w:t>s</w:t>
      </w:r>
      <w:r w:rsidR="007515CD" w:rsidRPr="00611BC5">
        <w:rPr>
          <w:rFonts w:ascii="Arial" w:hAnsi="Arial" w:cs="Arial" w:hint="eastAsia"/>
          <w:i/>
          <w:color w:val="000000" w:themeColor="text1"/>
        </w:rPr>
        <w:t>.</w:t>
      </w:r>
      <w:r w:rsidR="007515CD" w:rsidRPr="00611BC5">
        <w:rPr>
          <w:rFonts w:ascii="Arial" w:hAnsi="Arial" w:cs="Arial" w:hint="eastAsia"/>
          <w:color w:val="000000" w:themeColor="text1"/>
        </w:rPr>
        <w:t xml:space="preserve"> </w:t>
      </w:r>
      <w:r w:rsidR="00A95667" w:rsidRPr="00611BC5">
        <w:rPr>
          <w:rFonts w:ascii="Arial" w:hAnsi="Arial" w:cs="Arial" w:hint="eastAsia"/>
          <w:color w:val="000000" w:themeColor="text1"/>
        </w:rPr>
        <w:t xml:space="preserve">(B) </w:t>
      </w:r>
      <w:r w:rsidR="0054791B" w:rsidRPr="00611BC5">
        <w:rPr>
          <w:rFonts w:ascii="Arial" w:hAnsi="Arial" w:cs="Arial" w:hint="eastAsia"/>
          <w:color w:val="000000" w:themeColor="text1"/>
        </w:rPr>
        <w:t xml:space="preserve">Representative </w:t>
      </w:r>
      <w:r w:rsidR="0054791B" w:rsidRPr="00611BC5">
        <w:rPr>
          <w:rFonts w:ascii="Arial" w:hAnsi="Arial" w:cs="Arial"/>
          <w:color w:val="000000" w:themeColor="text1"/>
        </w:rPr>
        <w:t>β-galactosidase</w:t>
      </w:r>
      <w:r w:rsidR="0054791B" w:rsidRPr="00611BC5">
        <w:rPr>
          <w:rFonts w:ascii="Arial" w:hAnsi="Arial" w:cs="Arial" w:hint="eastAsia"/>
          <w:color w:val="000000" w:themeColor="text1"/>
        </w:rPr>
        <w:t xml:space="preserve"> staining images in shRNA lentivirus infected K562 cells or scramble counterparts (Scale bar=20</w:t>
      </w:r>
      <w:r w:rsidR="0054791B" w:rsidRPr="00611BC5">
        <w:rPr>
          <w:rFonts w:ascii="Arial" w:hAnsi="Arial" w:cs="Arial"/>
          <w:color w:val="000000" w:themeColor="text1"/>
        </w:rPr>
        <w:t>μm</w:t>
      </w:r>
      <w:r w:rsidR="0054791B" w:rsidRPr="00611BC5">
        <w:rPr>
          <w:rFonts w:ascii="Arial" w:hAnsi="Arial" w:cs="Arial" w:hint="eastAsia"/>
          <w:color w:val="000000" w:themeColor="text1"/>
        </w:rPr>
        <w:t>)</w:t>
      </w:r>
      <w:r w:rsidR="00932D8D" w:rsidRPr="00611BC5">
        <w:rPr>
          <w:rFonts w:ascii="Arial" w:hAnsi="Arial" w:cs="Arial" w:hint="eastAsia"/>
          <w:color w:val="000000" w:themeColor="text1"/>
        </w:rPr>
        <w:t xml:space="preserve"> at day3 of hemin</w:t>
      </w:r>
      <w:r w:rsidR="001C0067" w:rsidRPr="00611BC5">
        <w:rPr>
          <w:rFonts w:ascii="Arial" w:hAnsi="Arial" w:cs="Arial" w:hint="eastAsia"/>
          <w:color w:val="000000" w:themeColor="text1"/>
        </w:rPr>
        <w:t>-</w:t>
      </w:r>
      <w:r w:rsidR="00932D8D" w:rsidRPr="00611BC5">
        <w:rPr>
          <w:rFonts w:ascii="Arial" w:hAnsi="Arial" w:cs="Arial" w:hint="eastAsia"/>
          <w:color w:val="000000" w:themeColor="text1"/>
        </w:rPr>
        <w:t>induced erythroid differentiation</w:t>
      </w:r>
      <w:r w:rsidR="0054791B" w:rsidRPr="00611BC5">
        <w:rPr>
          <w:rFonts w:ascii="Arial" w:hAnsi="Arial" w:cs="Arial" w:hint="eastAsia"/>
          <w:color w:val="000000" w:themeColor="text1"/>
        </w:rPr>
        <w:t>.</w:t>
      </w:r>
      <w:r w:rsidR="005322FB" w:rsidRPr="00611BC5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="009209CA" w:rsidRPr="00611BC5">
        <w:rPr>
          <w:rFonts w:ascii="Arial" w:hAnsi="Arial" w:cs="Arial" w:hint="eastAsia"/>
          <w:color w:val="000000" w:themeColor="text1"/>
          <w:szCs w:val="21"/>
        </w:rPr>
        <w:t>(C)</w:t>
      </w:r>
      <w:r w:rsidR="009209CA" w:rsidRPr="00611BC5">
        <w:rPr>
          <w:rFonts w:ascii="Arial" w:hAnsi="Arial" w:cs="Arial" w:hint="eastAsia"/>
          <w:b/>
          <w:noProof/>
          <w:color w:val="000000" w:themeColor="text1"/>
          <w:szCs w:val="21"/>
        </w:rPr>
        <w:t xml:space="preserve"> </w:t>
      </w:r>
      <w:r w:rsidR="009209CA" w:rsidRPr="00611BC5">
        <w:rPr>
          <w:rFonts w:ascii="Arial" w:hAnsi="Arial" w:cs="Arial" w:hint="eastAsia"/>
          <w:noProof/>
          <w:color w:val="000000" w:themeColor="text1"/>
          <w:szCs w:val="21"/>
        </w:rPr>
        <w:t>Quantitative analysis confirmed that</w:t>
      </w:r>
      <w:r w:rsidR="005322FB" w:rsidRPr="00611BC5">
        <w:rPr>
          <w:rFonts w:ascii="Arial" w:hAnsi="Arial" w:cs="Arial" w:hint="eastAsia"/>
          <w:noProof/>
          <w:color w:val="000000" w:themeColor="text1"/>
          <w:szCs w:val="21"/>
        </w:rPr>
        <w:t xml:space="preserve"> </w:t>
      </w:r>
      <w:r w:rsidR="005440D0" w:rsidRPr="00611BC5">
        <w:rPr>
          <w:rFonts w:ascii="Arial" w:hAnsi="Arial" w:cs="Arial" w:hint="eastAsia"/>
          <w:noProof/>
          <w:color w:val="000000" w:themeColor="text1"/>
          <w:szCs w:val="21"/>
        </w:rPr>
        <w:t xml:space="preserve">K562 cells were less frequently to be dyed blue after knocking down </w:t>
      </w:r>
      <w:r w:rsidR="005440D0" w:rsidRPr="00611BC5">
        <w:rPr>
          <w:rFonts w:ascii="Arial" w:hAnsi="Arial" w:cs="Arial" w:hint="eastAsia"/>
          <w:i/>
          <w:noProof/>
          <w:color w:val="000000" w:themeColor="text1"/>
          <w:szCs w:val="21"/>
        </w:rPr>
        <w:t>ERCC1</w:t>
      </w:r>
      <w:r w:rsidR="005440D0" w:rsidRPr="00611BC5">
        <w:rPr>
          <w:rFonts w:ascii="Arial" w:hAnsi="Arial" w:cs="Arial" w:hint="eastAsia"/>
          <w:noProof/>
          <w:color w:val="000000" w:themeColor="text1"/>
          <w:szCs w:val="21"/>
        </w:rPr>
        <w:t xml:space="preserve">. </w:t>
      </w:r>
      <w:r w:rsidR="00D83702" w:rsidRPr="00611BC5">
        <w:rPr>
          <w:rFonts w:ascii="Arial" w:hAnsi="Arial" w:cs="Arial" w:hint="eastAsia"/>
          <w:noProof/>
          <w:color w:val="000000" w:themeColor="text1"/>
          <w:szCs w:val="21"/>
        </w:rPr>
        <w:t xml:space="preserve">(D) </w:t>
      </w:r>
      <w:r w:rsidR="003E3365" w:rsidRPr="00611BC5">
        <w:rPr>
          <w:rFonts w:ascii="Arial" w:hAnsi="Arial" w:cs="Arial" w:hint="eastAsia"/>
          <w:noProof/>
          <w:color w:val="000000" w:themeColor="text1"/>
          <w:szCs w:val="21"/>
        </w:rPr>
        <w:t xml:space="preserve">Cell counting suggested that fold change of </w:t>
      </w:r>
      <w:r w:rsidR="00762A3E" w:rsidRPr="00611BC5">
        <w:rPr>
          <w:rFonts w:ascii="Arial" w:hAnsi="Arial" w:cs="Arial" w:hint="eastAsia"/>
          <w:noProof/>
          <w:color w:val="000000" w:themeColor="text1"/>
          <w:szCs w:val="21"/>
        </w:rPr>
        <w:t xml:space="preserve">proliferation of K562 cells </w:t>
      </w:r>
      <w:r w:rsidR="00B177EA" w:rsidRPr="00611BC5">
        <w:rPr>
          <w:rFonts w:ascii="Arial" w:hAnsi="Arial" w:cs="Arial" w:hint="eastAsia"/>
          <w:noProof/>
          <w:color w:val="000000" w:themeColor="text1"/>
          <w:szCs w:val="21"/>
        </w:rPr>
        <w:t>from day0 to day3 of hemin-</w:t>
      </w:r>
      <w:r w:rsidR="00DE27F3" w:rsidRPr="00611BC5">
        <w:rPr>
          <w:rFonts w:ascii="Arial" w:hAnsi="Arial" w:cs="Arial" w:hint="eastAsia"/>
          <w:noProof/>
          <w:color w:val="000000" w:themeColor="text1"/>
          <w:szCs w:val="21"/>
        </w:rPr>
        <w:t>induced differentiation were increased after knocking down</w:t>
      </w:r>
      <w:r w:rsidR="00DE27F3" w:rsidRPr="00611BC5">
        <w:rPr>
          <w:rFonts w:ascii="Arial" w:hAnsi="Arial" w:cs="Arial" w:hint="eastAsia"/>
          <w:i/>
          <w:noProof/>
          <w:color w:val="000000" w:themeColor="text1"/>
          <w:szCs w:val="21"/>
        </w:rPr>
        <w:t xml:space="preserve"> ERCC1.</w:t>
      </w:r>
      <w:r w:rsidR="00DE27F3" w:rsidRPr="00611BC5">
        <w:rPr>
          <w:rFonts w:ascii="Arial" w:hAnsi="Arial" w:cs="Arial" w:hint="eastAsia"/>
          <w:noProof/>
          <w:color w:val="000000" w:themeColor="text1"/>
          <w:szCs w:val="21"/>
        </w:rPr>
        <w:t xml:space="preserve"> </w:t>
      </w:r>
    </w:p>
    <w:p w:rsidR="00DC523B" w:rsidRPr="00611BC5" w:rsidRDefault="00782E46">
      <w:pPr>
        <w:rPr>
          <w:rFonts w:ascii="Arial" w:hAnsi="Arial" w:cs="Arial"/>
          <w:noProof/>
          <w:color w:val="000000" w:themeColor="text1"/>
          <w:szCs w:val="21"/>
        </w:rPr>
      </w:pPr>
      <w:r w:rsidRPr="00611BC5">
        <w:rPr>
          <w:rFonts w:ascii="Arial" w:hAnsi="Arial" w:cs="Arial" w:hint="eastAsia"/>
          <w:noProof/>
          <w:color w:val="000000" w:themeColor="text1"/>
          <w:szCs w:val="21"/>
        </w:rPr>
        <w:drawing>
          <wp:inline distT="0" distB="0" distL="0" distR="0">
            <wp:extent cx="3327709" cy="3970116"/>
            <wp:effectExtent l="19050" t="0" r="6041" b="0"/>
            <wp:docPr id="20" name="图片 19" descr="Figure 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7.tif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9499" cy="397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DBE" w:rsidRPr="00611BC5" w:rsidRDefault="007C1DBE">
      <w:pPr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</w:t>
      </w:r>
      <w:r w:rsidR="004D2730" w:rsidRPr="00611BC5">
        <w:rPr>
          <w:rFonts w:ascii="Arial" w:hAnsi="Arial" w:cs="Arial" w:hint="eastAsia"/>
          <w:b/>
          <w:color w:val="000000" w:themeColor="text1"/>
          <w:szCs w:val="21"/>
        </w:rPr>
        <w:t>7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="00010337" w:rsidRPr="00611BC5">
        <w:rPr>
          <w:rFonts w:ascii="Arial" w:hAnsi="Arial" w:cs="Arial"/>
          <w:b/>
          <w:bCs/>
          <w:color w:val="000000" w:themeColor="text1"/>
          <w:kern w:val="0"/>
          <w:szCs w:val="21"/>
        </w:rPr>
        <w:t>D</w:t>
      </w:r>
      <w:r w:rsidR="00010337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istributions of </w:t>
      </w:r>
      <w:r w:rsidR="00010337" w:rsidRPr="00611BC5">
        <w:rPr>
          <w:rFonts w:ascii="Arial" w:hAnsi="Arial" w:cs="Arial"/>
          <w:b/>
          <w:bCs/>
          <w:color w:val="000000" w:themeColor="text1"/>
          <w:kern w:val="0"/>
          <w:szCs w:val="21"/>
        </w:rPr>
        <w:t xml:space="preserve">absolute reticulocyte counts </w:t>
      </w:r>
      <w:r w:rsidR="00010337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(ARC), which was shown by mean and standard deviation, among different WHO diagnostic categories and IPSS-R risk groups.</w:t>
      </w:r>
      <w:r w:rsidR="00103423"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 xml:space="preserve"> (A) No significant difference was found in levels of ARC between patients in different WHO diagnostic categories. (B) Patients in higher IPSS-R risk groups had lower levels of ARC.</w:t>
      </w:r>
    </w:p>
    <w:p w:rsidR="00010337" w:rsidRPr="00611BC5" w:rsidRDefault="00E75371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/>
          <w:b/>
          <w:noProof/>
          <w:color w:val="000000" w:themeColor="text1"/>
          <w:szCs w:val="21"/>
        </w:rPr>
        <w:drawing>
          <wp:inline distT="0" distB="0" distL="0" distR="0">
            <wp:extent cx="5349207" cy="2521390"/>
            <wp:effectExtent l="0" t="0" r="0" b="0"/>
            <wp:docPr id="3" name="图片 2" descr="C:\Users\hhj\Desktop\ARC分布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hj\Desktop\ARC分布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501" cy="252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</w:p>
    <w:p w:rsidR="00B6246C" w:rsidRPr="00611BC5" w:rsidRDefault="00B6246C" w:rsidP="00E73FED">
      <w:pPr>
        <w:rPr>
          <w:rFonts w:ascii="Arial" w:hAnsi="Arial" w:cs="Arial"/>
          <w:b/>
          <w:color w:val="000000" w:themeColor="text1"/>
          <w:szCs w:val="21"/>
        </w:rPr>
      </w:pPr>
    </w:p>
    <w:p w:rsidR="00E73FED" w:rsidRPr="00611BC5" w:rsidRDefault="00E73FED" w:rsidP="00E73FED">
      <w:pPr>
        <w:rPr>
          <w:rFonts w:ascii="Arial" w:eastAsia="宋体" w:hAnsi="Arial" w:cs="Arial"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</w:t>
      </w:r>
      <w:r w:rsidR="004D2730" w:rsidRPr="00611BC5">
        <w:rPr>
          <w:rFonts w:ascii="Arial" w:hAnsi="Arial" w:cs="Arial" w:hint="eastAsia"/>
          <w:b/>
          <w:color w:val="000000" w:themeColor="text1"/>
          <w:szCs w:val="21"/>
        </w:rPr>
        <w:t>8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The percentage of bone marrow (BM) erythroblasts, numbers of </w:t>
      </w:r>
      <w:r w:rsidRPr="00611BC5">
        <w:rPr>
          <w:rFonts w:ascii="Arial" w:hAnsi="Arial" w:cs="Arial"/>
          <w:b/>
          <w:color w:val="000000" w:themeColor="text1"/>
          <w:szCs w:val="21"/>
        </w:rPr>
        <w:t>colony-forming unit cell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 (CFU-C) and distributions of erythropoietin (EPO) levels between patients with </w:t>
      </w:r>
      <w:r w:rsidR="00450CD6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ARC&lt;20</w:t>
      </w:r>
      <w:r w:rsidR="00450CD6"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="00450CD6"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="00450CD6"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="00450CD6"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and </w:t>
      </w:r>
      <w:r w:rsidR="00450CD6" w:rsidRPr="00611BC5">
        <w:rPr>
          <w:rFonts w:ascii="Arial" w:hAnsi="Arial" w:cs="Arial"/>
          <w:b/>
          <w:color w:val="000000" w:themeColor="text1"/>
          <w:kern w:val="0"/>
          <w:szCs w:val="21"/>
        </w:rPr>
        <w:t>≥</w:t>
      </w:r>
      <w:r w:rsidR="00450CD6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20</w:t>
      </w:r>
      <w:r w:rsidR="00450CD6"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="00450CD6"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="00450CD6"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.</w:t>
      </w:r>
      <w:r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 xml:space="preserve"> (A) </w:t>
      </w:r>
      <w:r w:rsidRPr="00611BC5">
        <w:rPr>
          <w:rFonts w:ascii="Arial" w:eastAsia="宋体" w:hAnsi="Arial" w:cs="Arial" w:hint="eastAsia"/>
          <w:color w:val="000000" w:themeColor="text1"/>
          <w:szCs w:val="21"/>
        </w:rPr>
        <w:t>MDS patients with ARC fewer than 20</w:t>
      </w:r>
      <w:r w:rsidRPr="00611BC5">
        <w:rPr>
          <w:rFonts w:ascii="Arial" w:eastAsia="宋体" w:hAnsi="Arial" w:cs="Arial"/>
          <w:color w:val="000000" w:themeColor="text1"/>
          <w:szCs w:val="21"/>
        </w:rPr>
        <w:t>×10</w:t>
      </w:r>
      <w:r w:rsidRPr="00611BC5">
        <w:rPr>
          <w:rFonts w:ascii="Arial" w:eastAsia="宋体" w:hAnsi="Arial" w:cs="Arial" w:hint="eastAsia"/>
          <w:color w:val="000000" w:themeColor="text1"/>
          <w:szCs w:val="21"/>
          <w:vertAlign w:val="superscript"/>
        </w:rPr>
        <w:t>9</w:t>
      </w:r>
      <w:r w:rsidRPr="00611BC5">
        <w:rPr>
          <w:rFonts w:ascii="Arial" w:eastAsia="宋体" w:hAnsi="Arial" w:cs="Arial" w:hint="eastAsia"/>
          <w:color w:val="000000" w:themeColor="text1"/>
          <w:szCs w:val="21"/>
        </w:rPr>
        <w:t>/L had lower percent of bone marrow erythroid precursor cells.</w:t>
      </w:r>
      <w:r w:rsidRPr="00611BC5">
        <w:rPr>
          <w:rFonts w:ascii="Arial" w:eastAsia="宋体" w:hAnsi="Arial" w:cs="Arial" w:hint="eastAsia"/>
          <w:b/>
          <w:color w:val="000000" w:themeColor="text1"/>
          <w:szCs w:val="21"/>
        </w:rPr>
        <w:t xml:space="preserve"> </w:t>
      </w:r>
      <w:r w:rsidRPr="00611BC5">
        <w:rPr>
          <w:rFonts w:ascii="Arial" w:eastAsia="宋体" w:hAnsi="Arial" w:cs="Arial" w:hint="eastAsia"/>
          <w:color w:val="000000" w:themeColor="text1"/>
          <w:szCs w:val="21"/>
        </w:rPr>
        <w:t>(B) Also, patients with ARC fewer than 20</w:t>
      </w:r>
      <w:r w:rsidRPr="00611BC5">
        <w:rPr>
          <w:rFonts w:ascii="Arial" w:eastAsia="宋体" w:hAnsi="Arial" w:cs="Arial"/>
          <w:color w:val="000000" w:themeColor="text1"/>
          <w:szCs w:val="21"/>
        </w:rPr>
        <w:t>×10</w:t>
      </w:r>
      <w:r w:rsidRPr="00611BC5">
        <w:rPr>
          <w:rFonts w:ascii="Arial" w:eastAsia="宋体" w:hAnsi="Arial" w:cs="Arial" w:hint="eastAsia"/>
          <w:color w:val="000000" w:themeColor="text1"/>
          <w:szCs w:val="21"/>
          <w:vertAlign w:val="superscript"/>
        </w:rPr>
        <w:t>9</w:t>
      </w:r>
      <w:r w:rsidRPr="00611BC5">
        <w:rPr>
          <w:rFonts w:ascii="Arial" w:eastAsia="宋体" w:hAnsi="Arial" w:cs="Arial" w:hint="eastAsia"/>
          <w:color w:val="000000" w:themeColor="text1"/>
          <w:szCs w:val="21"/>
        </w:rPr>
        <w:t>/L had lower numbers of hematopoietic progenitors, including CFU-E, BFU-E and CFU-GM. (C) Patients with ARC fewer than 20</w:t>
      </w:r>
      <w:r w:rsidRPr="00611BC5">
        <w:rPr>
          <w:rFonts w:ascii="Arial" w:eastAsia="宋体" w:hAnsi="Arial" w:cs="Arial"/>
          <w:color w:val="000000" w:themeColor="text1"/>
          <w:szCs w:val="21"/>
        </w:rPr>
        <w:t>×10</w:t>
      </w:r>
      <w:r w:rsidRPr="00611BC5">
        <w:rPr>
          <w:rFonts w:ascii="Arial" w:eastAsia="宋体" w:hAnsi="Arial" w:cs="Arial" w:hint="eastAsia"/>
          <w:color w:val="000000" w:themeColor="text1"/>
          <w:szCs w:val="21"/>
          <w:vertAlign w:val="superscript"/>
        </w:rPr>
        <w:t>9</w:t>
      </w:r>
      <w:r w:rsidRPr="00611BC5">
        <w:rPr>
          <w:rFonts w:ascii="Arial" w:eastAsia="宋体" w:hAnsi="Arial" w:cs="Arial" w:hint="eastAsia"/>
          <w:color w:val="000000" w:themeColor="text1"/>
          <w:szCs w:val="21"/>
        </w:rPr>
        <w:t>/L had higher proportion of patients with erythropoietin (EPO) level greater than 500mIU/mL.</w:t>
      </w:r>
    </w:p>
    <w:p w:rsidR="00E73FED" w:rsidRPr="00611BC5" w:rsidRDefault="00E73FED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/>
          <w:b/>
          <w:noProof/>
          <w:color w:val="000000" w:themeColor="text1"/>
          <w:szCs w:val="21"/>
        </w:rPr>
        <w:drawing>
          <wp:inline distT="0" distB="0" distL="0" distR="0">
            <wp:extent cx="7880472" cy="2353818"/>
            <wp:effectExtent l="0" t="0" r="0" b="0"/>
            <wp:docPr id="8" name="图片 3" descr="C:\Users\hhj\Desktop\CFU-C加BM-E加EP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hj\Desktop\CFU-C加BM-E加EPO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84" cy="2353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8A4F0A" w:rsidRPr="00611BC5" w:rsidRDefault="008A4F0A" w:rsidP="008A4F0A">
      <w:pPr>
        <w:rPr>
          <w:rFonts w:ascii="Arial" w:hAnsi="Arial" w:cs="Arial"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</w:t>
      </w:r>
      <w:r w:rsidR="004D2730" w:rsidRPr="00611BC5">
        <w:rPr>
          <w:rFonts w:ascii="Arial" w:hAnsi="Arial" w:cs="Arial" w:hint="eastAsia"/>
          <w:b/>
          <w:color w:val="000000" w:themeColor="text1"/>
          <w:szCs w:val="21"/>
        </w:rPr>
        <w:t>9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Overall survival of patients with ARC&lt;20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and 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≥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20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in different IPSS-R risk groups. </w:t>
      </w:r>
      <w:r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Data in IPSS-R very low-risk group were missing because all patients in this group had an ARC greater than </w:t>
      </w:r>
      <w:r w:rsidRPr="00611BC5">
        <w:rPr>
          <w:rFonts w:ascii="Arial" w:hAnsi="Arial" w:cs="Arial" w:hint="eastAsia"/>
          <w:bCs/>
          <w:color w:val="000000" w:themeColor="text1"/>
          <w:kern w:val="0"/>
          <w:szCs w:val="21"/>
        </w:rPr>
        <w:t>20</w:t>
      </w:r>
      <w:r w:rsidRPr="00611BC5">
        <w:rPr>
          <w:rFonts w:ascii="Arial" w:hAnsi="Arial" w:cs="Arial"/>
          <w:color w:val="000000" w:themeColor="text1"/>
          <w:kern w:val="0"/>
          <w:szCs w:val="21"/>
        </w:rPr>
        <w:t>×10</w:t>
      </w:r>
      <w:r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.  </w:t>
      </w:r>
    </w:p>
    <w:p w:rsidR="00A706E5" w:rsidRPr="00611BC5" w:rsidRDefault="00A706E5" w:rsidP="008A4F0A">
      <w:pPr>
        <w:rPr>
          <w:rFonts w:ascii="Arial" w:hAnsi="Arial" w:cs="Arial"/>
          <w:color w:val="000000" w:themeColor="text1"/>
          <w:szCs w:val="21"/>
        </w:rPr>
      </w:pPr>
      <w:r w:rsidRPr="00611BC5">
        <w:rPr>
          <w:rFonts w:ascii="Arial" w:hAnsi="Arial" w:cs="Arial"/>
          <w:noProof/>
          <w:color w:val="000000" w:themeColor="text1"/>
          <w:szCs w:val="21"/>
        </w:rPr>
        <w:drawing>
          <wp:inline distT="0" distB="0" distL="0" distR="0">
            <wp:extent cx="5059630" cy="3921134"/>
            <wp:effectExtent l="0" t="0" r="0" b="0"/>
            <wp:docPr id="6" name="图片 2" descr="C:\Users\hhj\Desktop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hj\Desktop\Figure S5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195" cy="3923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5B8" w:rsidRPr="00611BC5" w:rsidRDefault="00C625B8" w:rsidP="008A4F0A">
      <w:pPr>
        <w:rPr>
          <w:rFonts w:ascii="Arial" w:hAnsi="Arial" w:cs="Arial"/>
          <w:color w:val="000000" w:themeColor="text1"/>
          <w:szCs w:val="21"/>
        </w:rPr>
      </w:pPr>
    </w:p>
    <w:p w:rsidR="00C625B8" w:rsidRPr="00611BC5" w:rsidRDefault="00C625B8" w:rsidP="008A4F0A">
      <w:pPr>
        <w:rPr>
          <w:rFonts w:ascii="Arial" w:hAnsi="Arial" w:cs="Arial"/>
          <w:color w:val="000000" w:themeColor="text1"/>
          <w:szCs w:val="21"/>
        </w:rPr>
      </w:pPr>
    </w:p>
    <w:p w:rsidR="00C625B8" w:rsidRPr="00611BC5" w:rsidRDefault="00C625B8" w:rsidP="008A4F0A">
      <w:pPr>
        <w:rPr>
          <w:rFonts w:ascii="Arial" w:hAnsi="Arial" w:cs="Arial"/>
          <w:color w:val="000000" w:themeColor="text1"/>
          <w:szCs w:val="21"/>
        </w:rPr>
      </w:pPr>
    </w:p>
    <w:p w:rsidR="00822BFD" w:rsidRPr="00611BC5" w:rsidRDefault="00822BFD" w:rsidP="008A4F0A">
      <w:pPr>
        <w:rPr>
          <w:rFonts w:ascii="Arial" w:hAnsi="Arial" w:cs="Arial"/>
          <w:b/>
          <w:color w:val="000000" w:themeColor="text1"/>
          <w:szCs w:val="21"/>
        </w:rPr>
      </w:pPr>
    </w:p>
    <w:p w:rsidR="005E6F65" w:rsidRPr="00611BC5" w:rsidRDefault="005E6F65" w:rsidP="002B2BAC">
      <w:pPr>
        <w:spacing w:line="360" w:lineRule="auto"/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</w:t>
      </w:r>
      <w:r w:rsidR="004D2730" w:rsidRPr="00611BC5">
        <w:rPr>
          <w:rFonts w:ascii="Arial" w:hAnsi="Arial" w:cs="Arial" w:hint="eastAsia"/>
          <w:b/>
          <w:color w:val="000000" w:themeColor="text1"/>
          <w:szCs w:val="21"/>
        </w:rPr>
        <w:t>10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="002B2BAC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The percentage of BM erythroblasts, numbers of CFU-C and distributions of EPO levels among three subgroups of patients according to ARC.</w:t>
      </w:r>
    </w:p>
    <w:p w:rsidR="0050719D" w:rsidRPr="00611BC5" w:rsidRDefault="00182063" w:rsidP="008A4F0A">
      <w:pPr>
        <w:rPr>
          <w:rFonts w:ascii="Arial" w:hAnsi="Arial" w:cs="Arial"/>
          <w:color w:val="000000" w:themeColor="text1"/>
          <w:szCs w:val="21"/>
        </w:rPr>
      </w:pPr>
      <w:r w:rsidRPr="00611BC5">
        <w:rPr>
          <w:rFonts w:ascii="Arial" w:hAnsi="Arial" w:cs="Arial"/>
          <w:noProof/>
          <w:color w:val="000000" w:themeColor="text1"/>
          <w:szCs w:val="21"/>
        </w:rPr>
        <w:drawing>
          <wp:inline distT="0" distB="0" distL="0" distR="0">
            <wp:extent cx="8479337" cy="2838450"/>
            <wp:effectExtent l="0" t="0" r="0" b="0"/>
            <wp:docPr id="16" name="图片 1" descr="C:\Users\hhj\Desktop\19.4分组\EPO分三组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hj\Desktop\19.4分组\EPO分三组.t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6893" cy="2837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19D" w:rsidRPr="00611BC5" w:rsidRDefault="0050719D" w:rsidP="008A4F0A">
      <w:pPr>
        <w:rPr>
          <w:rFonts w:ascii="Arial" w:hAnsi="Arial" w:cs="Arial"/>
          <w:color w:val="000000" w:themeColor="text1"/>
          <w:szCs w:val="21"/>
        </w:rPr>
      </w:pPr>
    </w:p>
    <w:p w:rsidR="0050719D" w:rsidRPr="00611BC5" w:rsidRDefault="0050719D" w:rsidP="008A4F0A">
      <w:pPr>
        <w:rPr>
          <w:rFonts w:ascii="Arial" w:hAnsi="Arial" w:cs="Arial"/>
          <w:color w:val="000000" w:themeColor="text1"/>
          <w:szCs w:val="21"/>
        </w:rPr>
      </w:pPr>
    </w:p>
    <w:p w:rsidR="0050719D" w:rsidRPr="00611BC5" w:rsidRDefault="0050719D" w:rsidP="008A4F0A">
      <w:pPr>
        <w:rPr>
          <w:rFonts w:ascii="Arial" w:hAnsi="Arial" w:cs="Arial"/>
          <w:color w:val="000000" w:themeColor="text1"/>
          <w:szCs w:val="21"/>
        </w:rPr>
      </w:pPr>
    </w:p>
    <w:p w:rsidR="0050719D" w:rsidRPr="00611BC5" w:rsidRDefault="0050719D" w:rsidP="008A4F0A">
      <w:pPr>
        <w:rPr>
          <w:rFonts w:ascii="Arial" w:hAnsi="Arial" w:cs="Arial"/>
          <w:color w:val="000000" w:themeColor="text1"/>
          <w:szCs w:val="21"/>
        </w:rPr>
      </w:pPr>
    </w:p>
    <w:p w:rsidR="0050719D" w:rsidRPr="00611BC5" w:rsidRDefault="0050719D" w:rsidP="008A4F0A">
      <w:pPr>
        <w:rPr>
          <w:rFonts w:ascii="Arial" w:hAnsi="Arial" w:cs="Arial"/>
          <w:color w:val="000000" w:themeColor="text1"/>
          <w:szCs w:val="21"/>
        </w:rPr>
      </w:pPr>
    </w:p>
    <w:p w:rsidR="0050719D" w:rsidRPr="00611BC5" w:rsidRDefault="0050719D" w:rsidP="008A4F0A">
      <w:pPr>
        <w:rPr>
          <w:rFonts w:ascii="Arial" w:hAnsi="Arial" w:cs="Arial"/>
          <w:color w:val="000000" w:themeColor="text1"/>
          <w:szCs w:val="21"/>
        </w:rPr>
      </w:pPr>
    </w:p>
    <w:p w:rsidR="0050719D" w:rsidRPr="00611BC5" w:rsidRDefault="0050719D" w:rsidP="008A4F0A">
      <w:pPr>
        <w:rPr>
          <w:rFonts w:ascii="Arial" w:hAnsi="Arial" w:cs="Arial"/>
          <w:color w:val="000000" w:themeColor="text1"/>
          <w:szCs w:val="21"/>
        </w:rPr>
      </w:pPr>
    </w:p>
    <w:p w:rsidR="0050719D" w:rsidRPr="00611BC5" w:rsidRDefault="0050719D" w:rsidP="008A4F0A">
      <w:pPr>
        <w:rPr>
          <w:rFonts w:ascii="Arial" w:hAnsi="Arial" w:cs="Arial"/>
          <w:color w:val="000000" w:themeColor="text1"/>
          <w:szCs w:val="21"/>
        </w:rPr>
      </w:pPr>
    </w:p>
    <w:p w:rsidR="00FC074C" w:rsidRPr="00611BC5" w:rsidRDefault="00FC074C" w:rsidP="008A4F0A">
      <w:pPr>
        <w:rPr>
          <w:rFonts w:ascii="Arial" w:hAnsi="Arial" w:cs="Arial"/>
          <w:b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</w:t>
      </w:r>
      <w:r w:rsidR="004D2730" w:rsidRPr="00611BC5">
        <w:rPr>
          <w:rFonts w:ascii="Arial" w:hAnsi="Arial" w:cs="Arial" w:hint="eastAsia"/>
          <w:b/>
          <w:color w:val="000000" w:themeColor="text1"/>
          <w:szCs w:val="21"/>
        </w:rPr>
        <w:t>11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="00263E06" w:rsidRPr="00611BC5">
        <w:rPr>
          <w:rFonts w:ascii="Arial" w:eastAsia="宋体" w:hAnsi="Arial" w:cs="Arial" w:hint="eastAsia"/>
          <w:b/>
          <w:color w:val="000000" w:themeColor="text1"/>
          <w:kern w:val="0"/>
          <w:szCs w:val="21"/>
        </w:rPr>
        <w:t xml:space="preserve">The percentage of complex karyotype among three subgroups. </w:t>
      </w:r>
      <w:r w:rsidR="00263E06" w:rsidRPr="00611BC5">
        <w:rPr>
          <w:rFonts w:ascii="Arial" w:hAnsi="Arial" w:cs="Arial"/>
          <w:color w:val="000000" w:themeColor="text1"/>
          <w:szCs w:val="21"/>
        </w:rPr>
        <w:t>ARC&lt;19.4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×10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263E06" w:rsidRPr="00611BC5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="00263E06" w:rsidRPr="00611BC5">
        <w:rPr>
          <w:rFonts w:ascii="Arial" w:hAnsi="Arial" w:cs="Arial"/>
          <w:i/>
          <w:color w:val="000000" w:themeColor="text1"/>
          <w:szCs w:val="21"/>
        </w:rPr>
        <w:t>vs</w:t>
      </w:r>
      <w:r w:rsidR="00263E06" w:rsidRPr="00611BC5">
        <w:rPr>
          <w:rFonts w:ascii="Arial" w:hAnsi="Arial" w:cs="Arial"/>
          <w:color w:val="000000" w:themeColor="text1"/>
          <w:szCs w:val="21"/>
        </w:rPr>
        <w:t xml:space="preserve">. 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19.4≤ARC&lt;43×10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AE5739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, </w:t>
      </w:r>
      <w:r w:rsidR="00EE6D74" w:rsidRPr="00611BC5">
        <w:rPr>
          <w:rFonts w:ascii="Arial" w:hAnsi="Arial" w:cs="Arial" w:hint="eastAsia"/>
          <w:color w:val="000000" w:themeColor="text1"/>
          <w:kern w:val="0"/>
          <w:szCs w:val="21"/>
        </w:rPr>
        <w:t>P</w:t>
      </w:r>
      <w:r w:rsidR="00263E06" w:rsidRPr="00611BC5">
        <w:rPr>
          <w:rFonts w:ascii="Arial" w:hAnsi="Arial" w:cs="Arial" w:hint="eastAsia"/>
          <w:color w:val="000000" w:themeColor="text1"/>
          <w:kern w:val="0"/>
          <w:szCs w:val="21"/>
        </w:rPr>
        <w:t>=0.142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 xml:space="preserve">; </w:t>
      </w:r>
      <w:r w:rsidR="00263E06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 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ARC&lt;19.4×10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263E06" w:rsidRPr="00611BC5">
        <w:rPr>
          <w:rFonts w:ascii="Arial" w:hAnsi="Arial" w:cs="Arial"/>
          <w:i/>
          <w:color w:val="000000" w:themeColor="text1"/>
          <w:kern w:val="0"/>
          <w:szCs w:val="21"/>
        </w:rPr>
        <w:t xml:space="preserve"> vs.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 xml:space="preserve"> ARC</w:t>
      </w:r>
      <w:r w:rsidR="00263E06" w:rsidRPr="00611BC5">
        <w:rPr>
          <w:rFonts w:ascii="Arial" w:hAnsi="Arial" w:cs="Arial"/>
          <w:color w:val="000000" w:themeColor="text1"/>
          <w:szCs w:val="21"/>
        </w:rPr>
        <w:t>≥43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×10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2E1CB4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, </w:t>
      </w:r>
      <w:r w:rsidR="00EE6D74" w:rsidRPr="00611BC5">
        <w:rPr>
          <w:rFonts w:ascii="Arial" w:hAnsi="Arial" w:cs="Arial" w:hint="eastAsia"/>
          <w:color w:val="000000" w:themeColor="text1"/>
          <w:kern w:val="0"/>
          <w:szCs w:val="21"/>
        </w:rPr>
        <w:t>P</w:t>
      </w:r>
      <w:r w:rsidR="00263E06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&lt;0.001; 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19.4≤ARC&lt;43×10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263E06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 </w:t>
      </w:r>
      <w:r w:rsidR="00263E06" w:rsidRPr="00611BC5">
        <w:rPr>
          <w:rFonts w:ascii="Arial" w:hAnsi="Arial" w:cs="Arial" w:hint="eastAsia"/>
          <w:i/>
          <w:color w:val="000000" w:themeColor="text1"/>
          <w:kern w:val="0"/>
          <w:szCs w:val="21"/>
        </w:rPr>
        <w:t xml:space="preserve">vs. 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ARC</w:t>
      </w:r>
      <w:r w:rsidR="00263E06" w:rsidRPr="00611BC5">
        <w:rPr>
          <w:rFonts w:ascii="Arial" w:hAnsi="Arial" w:cs="Arial"/>
          <w:color w:val="000000" w:themeColor="text1"/>
          <w:szCs w:val="21"/>
        </w:rPr>
        <w:t>≥43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×10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263E06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263E06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, </w:t>
      </w:r>
      <w:r w:rsidR="00EE6D74" w:rsidRPr="00611BC5">
        <w:rPr>
          <w:rFonts w:ascii="Arial" w:hAnsi="Arial" w:cs="Arial" w:hint="eastAsia"/>
          <w:color w:val="000000" w:themeColor="text1"/>
          <w:kern w:val="0"/>
          <w:szCs w:val="21"/>
        </w:rPr>
        <w:t>P</w:t>
      </w:r>
      <w:r w:rsidR="00263E06" w:rsidRPr="00611BC5">
        <w:rPr>
          <w:rFonts w:ascii="Arial" w:hAnsi="Arial" w:cs="Arial" w:hint="eastAsia"/>
          <w:color w:val="000000" w:themeColor="text1"/>
          <w:kern w:val="0"/>
          <w:szCs w:val="21"/>
        </w:rPr>
        <w:t>&lt;0.001.</w:t>
      </w:r>
    </w:p>
    <w:p w:rsidR="00055732" w:rsidRPr="00611BC5" w:rsidRDefault="003939AE" w:rsidP="008A4F0A">
      <w:pPr>
        <w:rPr>
          <w:rFonts w:ascii="Arial" w:hAnsi="Arial" w:cs="Arial"/>
          <w:b/>
          <w:color w:val="000000" w:themeColor="text1"/>
          <w:kern w:val="0"/>
          <w:szCs w:val="21"/>
        </w:rPr>
      </w:pPr>
      <w:r w:rsidRPr="00611BC5">
        <w:rPr>
          <w:rFonts w:ascii="Arial" w:hAnsi="Arial" w:cs="Arial"/>
          <w:b/>
          <w:noProof/>
          <w:color w:val="000000" w:themeColor="text1"/>
          <w:kern w:val="0"/>
          <w:szCs w:val="21"/>
        </w:rPr>
        <w:drawing>
          <wp:inline distT="0" distB="0" distL="0" distR="0">
            <wp:extent cx="5486400" cy="3199130"/>
            <wp:effectExtent l="19050" t="0" r="19050" b="1270"/>
            <wp:docPr id="13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3939AE" w:rsidRPr="00611BC5" w:rsidRDefault="003939AE" w:rsidP="006D46B0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3939AE" w:rsidRPr="00611BC5" w:rsidRDefault="003939AE" w:rsidP="006D46B0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3939AE" w:rsidRPr="00611BC5" w:rsidRDefault="003939AE" w:rsidP="006D46B0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3939AE" w:rsidRPr="00611BC5" w:rsidRDefault="003939AE" w:rsidP="006D46B0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3939AE" w:rsidRPr="00611BC5" w:rsidRDefault="003939AE" w:rsidP="006D46B0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</w:p>
    <w:p w:rsidR="00BF0358" w:rsidRPr="00611BC5" w:rsidRDefault="007F7643" w:rsidP="006D46B0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</w:t>
      </w:r>
      <w:r w:rsidR="004D2730" w:rsidRPr="00611BC5">
        <w:rPr>
          <w:rFonts w:ascii="Arial" w:hAnsi="Arial" w:cs="Arial" w:hint="eastAsia"/>
          <w:b/>
          <w:color w:val="000000" w:themeColor="text1"/>
          <w:szCs w:val="21"/>
        </w:rPr>
        <w:t>12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>.</w:t>
      </w:r>
      <w:r w:rsidR="00CE4F6D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</w:t>
      </w:r>
      <w:r w:rsidR="00CE4F6D"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>M</w:t>
      </w:r>
      <w:r w:rsidR="00CE4F6D" w:rsidRPr="00611BC5">
        <w:rPr>
          <w:rFonts w:ascii="Arial" w:hAnsi="Arial" w:cs="Arial"/>
          <w:b/>
          <w:color w:val="000000" w:themeColor="text1"/>
          <w:szCs w:val="21"/>
          <w:shd w:val="clear" w:color="auto" w:fill="FFFFFF"/>
        </w:rPr>
        <w:t>utation topography</w:t>
      </w:r>
      <w:r w:rsidR="00CE4F6D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of patients among three groups.</w:t>
      </w:r>
    </w:p>
    <w:p w:rsidR="00BF0358" w:rsidRPr="00611BC5" w:rsidRDefault="00A61D09" w:rsidP="006D46B0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/>
          <w:b/>
          <w:noProof/>
          <w:color w:val="000000" w:themeColor="text1"/>
          <w:szCs w:val="21"/>
        </w:rPr>
        <w:drawing>
          <wp:inline distT="0" distB="0" distL="0" distR="0">
            <wp:extent cx="5287641" cy="4471574"/>
            <wp:effectExtent l="19050" t="0" r="27309" b="5176"/>
            <wp:docPr id="15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B26AD" w:rsidRPr="00611BC5" w:rsidRDefault="008B26AD" w:rsidP="006D46B0">
      <w:pPr>
        <w:spacing w:line="360" w:lineRule="auto"/>
        <w:rPr>
          <w:rFonts w:ascii="Arial" w:hAnsi="Arial" w:cs="Arial"/>
          <w:b/>
          <w:color w:val="000000" w:themeColor="text1"/>
          <w:szCs w:val="21"/>
        </w:rPr>
        <w:sectPr w:rsidR="008B26AD" w:rsidRPr="00611BC5" w:rsidSect="00AE3342">
          <w:footerReference w:type="default" r:id="rId21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6D46B0" w:rsidRPr="00611BC5" w:rsidRDefault="00055732" w:rsidP="006D46B0">
      <w:pPr>
        <w:spacing w:line="360" w:lineRule="auto"/>
        <w:rPr>
          <w:rFonts w:ascii="Arial" w:hAnsi="Arial" w:cs="Arial"/>
          <w:color w:val="000000" w:themeColor="text1"/>
          <w:kern w:val="0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Figure </w:t>
      </w:r>
      <w:r w:rsidR="004D2730" w:rsidRPr="00611BC5">
        <w:rPr>
          <w:rFonts w:ascii="Arial" w:hAnsi="Arial" w:cs="Arial" w:hint="eastAsia"/>
          <w:b/>
          <w:color w:val="000000" w:themeColor="text1"/>
          <w:szCs w:val="21"/>
        </w:rPr>
        <w:t>13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Pr="00611BC5">
        <w:rPr>
          <w:rFonts w:ascii="Arial" w:hAnsi="Arial" w:cs="Arial"/>
          <w:b/>
          <w:color w:val="000000" w:themeColor="text1"/>
          <w:szCs w:val="21"/>
        </w:rPr>
        <w:t xml:space="preserve">Prognostic impact of </w:t>
      </w:r>
      <w:r w:rsidR="00A37E99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different </w:t>
      </w:r>
      <w:r w:rsidRPr="00611BC5">
        <w:rPr>
          <w:rFonts w:ascii="Arial" w:hAnsi="Arial" w:cs="Arial"/>
          <w:b/>
          <w:color w:val="000000" w:themeColor="text1"/>
          <w:szCs w:val="21"/>
        </w:rPr>
        <w:t>ARC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</w:t>
      </w:r>
      <w:r w:rsidR="0076654B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levels </w:t>
      </w:r>
      <w:r w:rsidRPr="00611BC5">
        <w:rPr>
          <w:rFonts w:ascii="Arial" w:hAnsi="Arial" w:cs="Arial"/>
          <w:b/>
          <w:color w:val="000000" w:themeColor="text1"/>
          <w:szCs w:val="21"/>
        </w:rPr>
        <w:t>in MDS patients.</w:t>
      </w:r>
      <w:r w:rsidR="006D46B0" w:rsidRPr="00611BC5">
        <w:rPr>
          <w:rFonts w:ascii="Arial" w:hAnsi="Arial" w:cs="Arial"/>
          <w:color w:val="000000" w:themeColor="text1"/>
          <w:szCs w:val="21"/>
        </w:rPr>
        <w:t xml:space="preserve"> P1: ARC&lt;19.4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×10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6D46B0" w:rsidRPr="00611BC5">
        <w:rPr>
          <w:rFonts w:ascii="Arial" w:hAnsi="Arial" w:cs="Arial" w:hint="eastAsia"/>
          <w:color w:val="000000" w:themeColor="text1"/>
          <w:szCs w:val="21"/>
        </w:rPr>
        <w:t xml:space="preserve"> </w:t>
      </w:r>
      <w:r w:rsidR="006D46B0" w:rsidRPr="00611BC5">
        <w:rPr>
          <w:rFonts w:ascii="Arial" w:hAnsi="Arial" w:cs="Arial"/>
          <w:i/>
          <w:color w:val="000000" w:themeColor="text1"/>
          <w:szCs w:val="21"/>
        </w:rPr>
        <w:t>vs</w:t>
      </w:r>
      <w:r w:rsidR="006D46B0" w:rsidRPr="00611BC5">
        <w:rPr>
          <w:rFonts w:ascii="Arial" w:hAnsi="Arial" w:cs="Arial"/>
          <w:color w:val="000000" w:themeColor="text1"/>
          <w:szCs w:val="21"/>
        </w:rPr>
        <w:t xml:space="preserve">. 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19.4≤ARC&lt;43×10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 xml:space="preserve">/L; </w:t>
      </w:r>
      <w:r w:rsidR="006D46B0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 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P2: ARC&lt;19.4×10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6D46B0" w:rsidRPr="00611BC5">
        <w:rPr>
          <w:rFonts w:ascii="Arial" w:hAnsi="Arial" w:cs="Arial"/>
          <w:i/>
          <w:color w:val="000000" w:themeColor="text1"/>
          <w:kern w:val="0"/>
          <w:szCs w:val="21"/>
        </w:rPr>
        <w:t xml:space="preserve"> vs.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 xml:space="preserve"> ARC</w:t>
      </w:r>
      <w:r w:rsidR="006D46B0" w:rsidRPr="00611BC5">
        <w:rPr>
          <w:rFonts w:ascii="Arial" w:hAnsi="Arial" w:cs="Arial"/>
          <w:color w:val="000000" w:themeColor="text1"/>
          <w:szCs w:val="21"/>
        </w:rPr>
        <w:t>≥43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×10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6D46B0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;  P3: 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19.4≤ARC&lt;43×10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6D46B0" w:rsidRPr="00611BC5">
        <w:rPr>
          <w:rFonts w:ascii="Arial" w:hAnsi="Arial" w:cs="Arial" w:hint="eastAsia"/>
          <w:color w:val="000000" w:themeColor="text1"/>
          <w:kern w:val="0"/>
          <w:szCs w:val="21"/>
        </w:rPr>
        <w:t xml:space="preserve"> </w:t>
      </w:r>
      <w:r w:rsidR="006D46B0" w:rsidRPr="00611BC5">
        <w:rPr>
          <w:rFonts w:ascii="Arial" w:hAnsi="Arial" w:cs="Arial" w:hint="eastAsia"/>
          <w:i/>
          <w:color w:val="000000" w:themeColor="text1"/>
          <w:kern w:val="0"/>
          <w:szCs w:val="21"/>
        </w:rPr>
        <w:t xml:space="preserve">vs. 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ARC</w:t>
      </w:r>
      <w:r w:rsidR="006D46B0" w:rsidRPr="00611BC5">
        <w:rPr>
          <w:rFonts w:ascii="Arial" w:hAnsi="Arial" w:cs="Arial"/>
          <w:color w:val="000000" w:themeColor="text1"/>
          <w:szCs w:val="21"/>
        </w:rPr>
        <w:t>≥43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×10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  <w:vertAlign w:val="superscript"/>
        </w:rPr>
        <w:t>9</w:t>
      </w:r>
      <w:r w:rsidR="006D46B0" w:rsidRPr="00611BC5">
        <w:rPr>
          <w:rFonts w:ascii="Arial" w:hAnsi="Arial" w:cs="Arial"/>
          <w:color w:val="000000" w:themeColor="text1"/>
          <w:kern w:val="0"/>
          <w:szCs w:val="21"/>
        </w:rPr>
        <w:t>/L</w:t>
      </w:r>
      <w:r w:rsidR="006D46B0" w:rsidRPr="00611BC5">
        <w:rPr>
          <w:rFonts w:ascii="Arial" w:hAnsi="Arial" w:cs="Arial" w:hint="eastAsia"/>
          <w:color w:val="000000" w:themeColor="text1"/>
          <w:kern w:val="0"/>
          <w:szCs w:val="21"/>
        </w:rPr>
        <w:t>.</w:t>
      </w:r>
    </w:p>
    <w:p w:rsidR="00E5053B" w:rsidRPr="00611BC5" w:rsidRDefault="00BB7F63" w:rsidP="008A4F0A">
      <w:pPr>
        <w:rPr>
          <w:rFonts w:ascii="Arial" w:hAnsi="Arial" w:cs="Arial"/>
          <w:b/>
          <w:bCs/>
          <w:color w:val="000000" w:themeColor="text1"/>
          <w:kern w:val="0"/>
          <w:szCs w:val="21"/>
        </w:rPr>
      </w:pPr>
      <w:r w:rsidRPr="00611BC5">
        <w:rPr>
          <w:rFonts w:ascii="Arial" w:hAnsi="Arial" w:cs="Arial"/>
          <w:b/>
          <w:bCs/>
          <w:noProof/>
          <w:color w:val="000000" w:themeColor="text1"/>
          <w:kern w:val="0"/>
          <w:szCs w:val="21"/>
        </w:rPr>
        <w:drawing>
          <wp:inline distT="0" distB="0" distL="0" distR="0">
            <wp:extent cx="5116412" cy="4315588"/>
            <wp:effectExtent l="0" t="0" r="0" b="0"/>
            <wp:docPr id="17" name="图片 16" descr="Layout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yout 1.tif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198" cy="431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6AD" w:rsidRPr="00611BC5" w:rsidRDefault="008B26AD" w:rsidP="008A4F0A">
      <w:pPr>
        <w:rPr>
          <w:rFonts w:ascii="Arial" w:hAnsi="Arial" w:cs="Arial"/>
          <w:b/>
          <w:color w:val="000000" w:themeColor="text1"/>
          <w:szCs w:val="21"/>
        </w:rPr>
      </w:pPr>
    </w:p>
    <w:p w:rsidR="00C625B8" w:rsidRPr="00611BC5" w:rsidRDefault="00C625B8" w:rsidP="008A4F0A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Table 1. </w:t>
      </w:r>
      <w:r w:rsidRPr="00611BC5">
        <w:rPr>
          <w:rFonts w:ascii="Arial" w:hAnsi="Arial" w:cs="Arial"/>
          <w:b/>
          <w:color w:val="000000" w:themeColor="text1"/>
          <w:szCs w:val="21"/>
        </w:rPr>
        <w:t>Clinical characteristics of 3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>1</w:t>
      </w:r>
      <w:r w:rsidRPr="00611BC5">
        <w:rPr>
          <w:rFonts w:ascii="Arial" w:hAnsi="Arial" w:cs="Arial"/>
          <w:b/>
          <w:color w:val="000000" w:themeColor="text1"/>
          <w:szCs w:val="21"/>
        </w:rPr>
        <w:t xml:space="preserve"> MDS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patients </w:t>
      </w:r>
      <w:r w:rsidRPr="00611BC5">
        <w:rPr>
          <w:rFonts w:ascii="Arial" w:eastAsia="宋体" w:hAnsi="Arial" w:cs="Arial" w:hint="eastAsia"/>
          <w:b/>
          <w:color w:val="000000" w:themeColor="text1"/>
          <w:szCs w:val="21"/>
        </w:rPr>
        <w:t>enrolled in the functional studies and RNA-Seq analysis</w:t>
      </w:r>
    </w:p>
    <w:tbl>
      <w:tblPr>
        <w:tblW w:w="19684" w:type="dxa"/>
        <w:tblInd w:w="101" w:type="dxa"/>
        <w:tblBorders>
          <w:top w:val="single" w:sz="8" w:space="0" w:color="auto"/>
          <w:bottom w:val="single" w:sz="8" w:space="0" w:color="auto"/>
        </w:tblBorders>
        <w:tblLook w:val="04A0"/>
      </w:tblPr>
      <w:tblGrid>
        <w:gridCol w:w="858"/>
        <w:gridCol w:w="624"/>
        <w:gridCol w:w="624"/>
        <w:gridCol w:w="1418"/>
        <w:gridCol w:w="851"/>
        <w:gridCol w:w="1068"/>
        <w:gridCol w:w="851"/>
        <w:gridCol w:w="1276"/>
        <w:gridCol w:w="1027"/>
        <w:gridCol w:w="13041"/>
      </w:tblGrid>
      <w:tr w:rsidR="003A6197" w:rsidRPr="00611BC5" w:rsidTr="00355334">
        <w:trPr>
          <w:trHeight w:val="310"/>
        </w:trPr>
        <w:tc>
          <w:tcPr>
            <w:tcW w:w="85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No.of pts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Age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Sex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Diagnosis WHO(2016)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IPSS-R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ARC(×10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/L)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Hb(g/L)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ANC(×10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/L)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PLT(×10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/L)</w:t>
            </w:r>
          </w:p>
        </w:tc>
        <w:tc>
          <w:tcPr>
            <w:tcW w:w="11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Cytogenetics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</w:t>
            </w:r>
          </w:p>
        </w:tc>
        <w:tc>
          <w:tcPr>
            <w:tcW w:w="62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42</w:t>
            </w:r>
          </w:p>
        </w:tc>
        <w:tc>
          <w:tcPr>
            <w:tcW w:w="62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Very low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27.4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108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0.87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168</w:t>
            </w:r>
          </w:p>
        </w:tc>
        <w:tc>
          <w:tcPr>
            <w:tcW w:w="1304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524CF4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54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Very 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0.28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58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lang w:val="it-IT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lang w:val="it-IT"/>
              </w:rPr>
              <w:t>59</w:t>
            </w:r>
            <w:r w:rsidRPr="00611BC5">
              <w:rPr>
                <w:rFonts w:ascii="Arial" w:eastAsia="宋体" w:hAnsi="宋体" w:cs="Arial"/>
                <w:color w:val="000000" w:themeColor="text1"/>
                <w:kern w:val="0"/>
                <w:sz w:val="15"/>
                <w:szCs w:val="15"/>
              </w:rPr>
              <w:t>～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lang w:val="it-IT"/>
              </w:rPr>
              <w:t>60,XY,+1,+2,+6,-8,+9,+13,+14,+15,-17,-18,+19,?del(20)(q12),+21,+22,+4</w:t>
            </w:r>
            <w:r w:rsidRPr="00611BC5">
              <w:rPr>
                <w:rFonts w:ascii="Arial" w:eastAsia="宋体" w:hAnsi="宋体" w:cs="Arial"/>
                <w:color w:val="000000" w:themeColor="text1"/>
                <w:kern w:val="0"/>
                <w:sz w:val="15"/>
                <w:szCs w:val="15"/>
              </w:rPr>
              <w:t>～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lang w:val="it-IT"/>
              </w:rPr>
              <w:t>6mar,inc[cp13]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67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Very 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14.7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77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46,XY,t(6;9)(p23;q34)[4]/47,XY,+?8[3]/46,XY[13]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61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/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33.8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0.85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38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NA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75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Low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75.7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112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0.85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84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51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/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11.6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0.57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131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NA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53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MDS-MLD-RS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Low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30.4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2.21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82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8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65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Low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37.7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86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25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49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Low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22.5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1.59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225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48,XX,+8,+9[3]/46,XX[6]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48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Low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111.4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123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51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47,XX,+8[8]/46,XX[5]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11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37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/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56.6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1.02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NA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66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MDS-SLD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10.6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0.64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13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66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90.7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104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0.79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134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14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44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35.2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68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19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46,XY,del(20)(q12)[20]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15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33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42.2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0.94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134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16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36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MDS-SLD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20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17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46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147.7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91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1.83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66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47,XY,+8[11]/46,XY[9]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18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37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44.8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57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46,XY,del(20)(q12)[20]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19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48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MDS-SLD-RS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170.7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55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20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51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/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85.5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116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7.14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77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NA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21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32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47.7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3.23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111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47,XY,dup(1)(q21q32),+8[3]/46,XY,dup(1)(q21q32)[13]/46,XY[4]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22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14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Inter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35.6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2.27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12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23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14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103.8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75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0.66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122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lastRenderedPageBreak/>
              <w:t>24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60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9.3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74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0.35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68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524CF4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25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67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50.4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90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35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lang w:val="it-IT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  <w:lang w:val="it-IT"/>
              </w:rPr>
              <w:t>47,XX,del(3)(p21),del(5)(q13q33),+22[18]/46,XX[2]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26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39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43.8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98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27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75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69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109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46,XX,14ps+[20]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28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42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MDS-MLD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29.9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67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0.98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95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47,XX,+?8,?der(11),inc[cp20]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29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63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183.5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92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0.28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53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30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52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214.8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93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10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Normal</w:t>
            </w:r>
          </w:p>
        </w:tc>
      </w:tr>
      <w:tr w:rsidR="003A6197" w:rsidRPr="00611BC5" w:rsidTr="00355334">
        <w:trPr>
          <w:trHeight w:val="280"/>
        </w:trPr>
        <w:tc>
          <w:tcPr>
            <w:tcW w:w="85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31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64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MDS-EB1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/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41.7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73</w:t>
            </w:r>
          </w:p>
        </w:tc>
        <w:tc>
          <w:tcPr>
            <w:tcW w:w="907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1.6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21</w:t>
            </w:r>
          </w:p>
        </w:tc>
        <w:tc>
          <w:tcPr>
            <w:tcW w:w="13041" w:type="dxa"/>
            <w:shd w:val="clear" w:color="auto" w:fill="auto"/>
            <w:noWrap/>
            <w:vAlign w:val="center"/>
            <w:hideMark/>
          </w:tcPr>
          <w:p w:rsidR="003A6197" w:rsidRPr="00611BC5" w:rsidRDefault="003A6197" w:rsidP="00355334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5"/>
                <w:szCs w:val="15"/>
              </w:rPr>
              <w:t>NA</w:t>
            </w:r>
          </w:p>
        </w:tc>
      </w:tr>
    </w:tbl>
    <w:p w:rsidR="003A6197" w:rsidRPr="00611BC5" w:rsidRDefault="003A6197" w:rsidP="003A6197">
      <w:pPr>
        <w:rPr>
          <w:rFonts w:ascii="Arial" w:hAnsi="Arial" w:cs="Arial"/>
          <w:color w:val="000000" w:themeColor="text1"/>
          <w:sz w:val="15"/>
          <w:szCs w:val="15"/>
        </w:rPr>
      </w:pPr>
      <w:r w:rsidRPr="00611BC5">
        <w:rPr>
          <w:rFonts w:ascii="Arial" w:hAnsi="Arial" w:cs="Arial" w:hint="eastAsia"/>
          <w:color w:val="000000" w:themeColor="text1"/>
          <w:sz w:val="15"/>
          <w:szCs w:val="15"/>
        </w:rPr>
        <w:t>NA, Not available</w:t>
      </w:r>
    </w:p>
    <w:p w:rsidR="008A4F0A" w:rsidRPr="00611BC5" w:rsidRDefault="008A4F0A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9500F4" w:rsidRPr="00611BC5" w:rsidRDefault="009500F4">
      <w:pPr>
        <w:rPr>
          <w:rFonts w:ascii="Arial" w:hAnsi="Arial" w:cs="Arial"/>
          <w:b/>
          <w:color w:val="000000" w:themeColor="text1"/>
          <w:szCs w:val="21"/>
        </w:rPr>
      </w:pPr>
    </w:p>
    <w:p w:rsidR="000F1DC2" w:rsidRPr="00611BC5" w:rsidRDefault="000F1DC2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 xml:space="preserve">Supplementary Table 2. </w:t>
      </w:r>
      <w:r w:rsidR="006B2071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The primers used for </w:t>
      </w:r>
      <w:r w:rsidR="003F598D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real-time PCR </w:t>
      </w:r>
      <w:r w:rsidR="006B2071" w:rsidRPr="00611BC5">
        <w:rPr>
          <w:rFonts w:ascii="Arial" w:hAnsi="Arial" w:cs="Arial" w:hint="eastAsia"/>
          <w:b/>
          <w:color w:val="000000" w:themeColor="text1"/>
          <w:szCs w:val="21"/>
        </w:rPr>
        <w:t>or</w:t>
      </w:r>
      <w:r w:rsidR="003F598D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the short hairpin RNA sequences</w:t>
      </w:r>
      <w:r w:rsidR="005075C6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</w:p>
    <w:tbl>
      <w:tblPr>
        <w:tblW w:w="596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1"/>
        <w:gridCol w:w="4161"/>
      </w:tblGrid>
      <w:tr w:rsidR="003B7A21" w:rsidRPr="00611BC5" w:rsidTr="00527C05">
        <w:trPr>
          <w:trHeight w:val="395"/>
        </w:trPr>
        <w:tc>
          <w:tcPr>
            <w:tcW w:w="180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Primer</w:t>
            </w:r>
          </w:p>
        </w:tc>
        <w:tc>
          <w:tcPr>
            <w:tcW w:w="416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Sequence 5'-3'</w:t>
            </w:r>
          </w:p>
        </w:tc>
      </w:tr>
      <w:tr w:rsidR="003B7A21" w:rsidRPr="00611BC5" w:rsidTr="00527C05">
        <w:trPr>
          <w:trHeight w:val="395"/>
        </w:trPr>
        <w:tc>
          <w:tcPr>
            <w:tcW w:w="180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ACTIN-F</w:t>
            </w:r>
          </w:p>
        </w:tc>
        <w:tc>
          <w:tcPr>
            <w:tcW w:w="416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CTCTTCCAGCCTTCCTTCCT</w:t>
            </w:r>
          </w:p>
        </w:tc>
      </w:tr>
      <w:tr w:rsidR="003B7A21" w:rsidRPr="00611BC5" w:rsidTr="00527C05">
        <w:trPr>
          <w:trHeight w:val="395"/>
        </w:trPr>
        <w:tc>
          <w:tcPr>
            <w:tcW w:w="180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ACTIN-R</w:t>
            </w:r>
          </w:p>
        </w:tc>
        <w:tc>
          <w:tcPr>
            <w:tcW w:w="416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AGCACTGTGTGTTGGCGTACAG</w:t>
            </w:r>
          </w:p>
        </w:tc>
      </w:tr>
      <w:tr w:rsidR="003B7A21" w:rsidRPr="00611BC5" w:rsidTr="00527C05">
        <w:trPr>
          <w:trHeight w:val="395"/>
        </w:trPr>
        <w:tc>
          <w:tcPr>
            <w:tcW w:w="180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ERCC1-F</w:t>
            </w:r>
          </w:p>
        </w:tc>
        <w:tc>
          <w:tcPr>
            <w:tcW w:w="416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TTTGGCGACGTAATTCCCGA</w:t>
            </w:r>
          </w:p>
        </w:tc>
      </w:tr>
      <w:tr w:rsidR="003B7A21" w:rsidRPr="00611BC5" w:rsidTr="00527C05">
        <w:trPr>
          <w:trHeight w:val="395"/>
        </w:trPr>
        <w:tc>
          <w:tcPr>
            <w:tcW w:w="180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ERCC1-R</w:t>
            </w:r>
          </w:p>
        </w:tc>
        <w:tc>
          <w:tcPr>
            <w:tcW w:w="4161" w:type="dxa"/>
            <w:shd w:val="clear" w:color="auto" w:fill="auto"/>
            <w:noWrap/>
            <w:vAlign w:val="center"/>
            <w:hideMark/>
          </w:tcPr>
          <w:p w:rsidR="003B7A21" w:rsidRPr="00611BC5" w:rsidRDefault="003B7A21" w:rsidP="001363FD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GCCCATGGATGTAGTCTGGG</w:t>
            </w:r>
          </w:p>
        </w:tc>
      </w:tr>
      <w:tr w:rsidR="00695F41" w:rsidRPr="00611BC5" w:rsidTr="00527C05">
        <w:trPr>
          <w:trHeight w:val="395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F41" w:rsidRPr="00611BC5" w:rsidRDefault="00695F41" w:rsidP="00583038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ERCC1 sh1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F41" w:rsidRPr="00611BC5" w:rsidRDefault="00527C05" w:rsidP="005549D2">
            <w:pPr>
              <w:jc w:val="left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611BC5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GCCAAGCCCTTATTCCGATCTA</w:t>
            </w:r>
          </w:p>
        </w:tc>
      </w:tr>
      <w:tr w:rsidR="00053833" w:rsidRPr="00611BC5" w:rsidTr="00527C05">
        <w:trPr>
          <w:trHeight w:val="395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833" w:rsidRPr="00611BC5" w:rsidRDefault="00053833" w:rsidP="00583038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eastAsia="宋体" w:hAnsi="Arial" w:cs="Arial" w:hint="eastAsia"/>
                <w:color w:val="000000" w:themeColor="text1"/>
                <w:kern w:val="0"/>
                <w:sz w:val="18"/>
                <w:szCs w:val="18"/>
              </w:rPr>
              <w:t>ERCC1 sh2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833" w:rsidRPr="00611BC5" w:rsidRDefault="00527C05" w:rsidP="005549D2">
            <w:pPr>
              <w:jc w:val="left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611BC5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GCAAGAGAAGATCTGGCCTTAT</w:t>
            </w:r>
          </w:p>
        </w:tc>
      </w:tr>
    </w:tbl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3B7A21" w:rsidRPr="00611BC5" w:rsidRDefault="003B7A21">
      <w:pPr>
        <w:rPr>
          <w:rFonts w:ascii="Arial" w:hAnsi="Arial" w:cs="Arial"/>
          <w:b/>
          <w:color w:val="000000" w:themeColor="text1"/>
          <w:szCs w:val="21"/>
        </w:rPr>
      </w:pPr>
    </w:p>
    <w:p w:rsidR="008A3F48" w:rsidRPr="00611BC5" w:rsidRDefault="008A3F48">
      <w:pPr>
        <w:rPr>
          <w:rFonts w:ascii="Arial" w:hAnsi="Arial" w:cs="Arial"/>
          <w:b/>
          <w:color w:val="000000" w:themeColor="text1"/>
          <w:szCs w:val="21"/>
        </w:rPr>
      </w:pPr>
    </w:p>
    <w:p w:rsidR="008A3F48" w:rsidRPr="00611BC5" w:rsidRDefault="008A3F48">
      <w:pPr>
        <w:rPr>
          <w:rFonts w:ascii="Arial" w:hAnsi="Arial" w:cs="Arial"/>
          <w:b/>
          <w:color w:val="000000" w:themeColor="text1"/>
          <w:szCs w:val="21"/>
        </w:rPr>
      </w:pPr>
    </w:p>
    <w:p w:rsidR="006F4ACB" w:rsidRPr="00611BC5" w:rsidRDefault="00E12316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b/>
          <w:color w:val="000000" w:themeColor="text1"/>
          <w:szCs w:val="21"/>
        </w:rPr>
        <w:lastRenderedPageBreak/>
        <w:t>Supplementary Table 3</w:t>
      </w:r>
      <w:r w:rsidR="006F4ACB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. </w:t>
      </w:r>
      <w:r w:rsidR="00FD4306" w:rsidRPr="00611BC5">
        <w:rPr>
          <w:rFonts w:ascii="Arial" w:eastAsia="宋体" w:hAnsi="Arial" w:cs="Arial" w:hint="eastAsia"/>
          <w:b/>
          <w:color w:val="000000" w:themeColor="text1"/>
          <w:kern w:val="0"/>
          <w:szCs w:val="21"/>
        </w:rPr>
        <w:t xml:space="preserve">Comparisons of </w:t>
      </w:r>
      <w:r w:rsidR="00FD4306" w:rsidRPr="00611BC5">
        <w:rPr>
          <w:rFonts w:ascii="Arial" w:hAnsi="Arial" w:cs="Arial" w:hint="eastAsia"/>
          <w:b/>
          <w:color w:val="000000" w:themeColor="text1"/>
          <w:szCs w:val="21"/>
        </w:rPr>
        <w:t>c</w:t>
      </w:r>
      <w:r w:rsidR="00FD4306" w:rsidRPr="00611BC5">
        <w:rPr>
          <w:rFonts w:ascii="Arial" w:hAnsi="Arial" w:cs="Arial"/>
          <w:b/>
          <w:color w:val="000000" w:themeColor="text1"/>
          <w:szCs w:val="21"/>
        </w:rPr>
        <w:t>linical and laboratory characteristics of</w:t>
      </w:r>
      <w:r w:rsidR="00FD4306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MDS </w:t>
      </w:r>
      <w:r w:rsidR="00FD4306" w:rsidRPr="00611BC5">
        <w:rPr>
          <w:rFonts w:ascii="Arial" w:hAnsi="Arial" w:cs="Arial"/>
          <w:b/>
          <w:color w:val="000000" w:themeColor="text1"/>
          <w:szCs w:val="21"/>
        </w:rPr>
        <w:t>patients</w:t>
      </w:r>
      <w:r w:rsidR="0040714C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grouped </w:t>
      </w:r>
      <w:r w:rsidR="005861DA" w:rsidRPr="00611BC5">
        <w:rPr>
          <w:rFonts w:ascii="Arial" w:hAnsi="Arial" w:cs="Arial" w:hint="eastAsia"/>
          <w:b/>
          <w:color w:val="000000" w:themeColor="text1"/>
          <w:szCs w:val="21"/>
        </w:rPr>
        <w:t>by</w:t>
      </w:r>
      <w:r w:rsidR="0040714C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ARC of 19.4 and 43</w:t>
      </w:r>
      <w:r w:rsidR="0040714C"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="0040714C"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="0040714C"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="00FD4306" w:rsidRPr="00611BC5">
        <w:rPr>
          <w:rFonts w:ascii="Arial" w:hAnsi="Arial" w:cs="Arial" w:hint="eastAsia"/>
          <w:b/>
          <w:color w:val="000000" w:themeColor="text1"/>
          <w:szCs w:val="21"/>
        </w:rPr>
        <w:t>.</w:t>
      </w:r>
    </w:p>
    <w:tbl>
      <w:tblPr>
        <w:tblW w:w="13474" w:type="dxa"/>
        <w:tblInd w:w="101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2842"/>
        <w:gridCol w:w="1980"/>
        <w:gridCol w:w="2160"/>
        <w:gridCol w:w="2126"/>
        <w:gridCol w:w="1701"/>
        <w:gridCol w:w="1402"/>
        <w:gridCol w:w="1263"/>
      </w:tblGrid>
      <w:tr w:rsidR="003F6B6E" w:rsidRPr="00611BC5" w:rsidTr="001363FD">
        <w:trPr>
          <w:trHeight w:val="300"/>
        </w:trPr>
        <w:tc>
          <w:tcPr>
            <w:tcW w:w="284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 xml:space="preserve">Characteristics 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ARC&lt;</w:t>
            </w:r>
            <w:r w:rsidRPr="00611BC5">
              <w:rPr>
                <w:rFonts w:ascii="Arial" w:hAnsi="Arial" w:cs="Arial" w:hint="eastAsia"/>
                <w:b/>
                <w:color w:val="000000" w:themeColor="text1"/>
                <w:kern w:val="0"/>
                <w:sz w:val="15"/>
                <w:szCs w:val="15"/>
              </w:rPr>
              <w:t>19.4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×10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/L(N=16</w:t>
            </w:r>
            <w:r w:rsidRPr="00611BC5">
              <w:rPr>
                <w:rFonts w:ascii="Arial" w:hAnsi="Arial" w:cs="Arial" w:hint="eastAsia"/>
                <w:b/>
                <w:color w:val="000000" w:themeColor="text1"/>
                <w:kern w:val="0"/>
                <w:sz w:val="15"/>
                <w:szCs w:val="15"/>
              </w:rPr>
              <w:t>1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b/>
                <w:color w:val="000000" w:themeColor="text1"/>
                <w:kern w:val="0"/>
                <w:sz w:val="15"/>
                <w:szCs w:val="15"/>
              </w:rPr>
              <w:t>19.4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≤ARC</w:t>
            </w:r>
            <w:r w:rsidRPr="00611BC5">
              <w:rPr>
                <w:rFonts w:ascii="Arial" w:hAnsi="Arial" w:cs="Arial" w:hint="eastAsia"/>
                <w:b/>
                <w:color w:val="000000" w:themeColor="text1"/>
                <w:kern w:val="0"/>
                <w:sz w:val="15"/>
                <w:szCs w:val="15"/>
              </w:rPr>
              <w:t>&lt;43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×10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/L(N=</w:t>
            </w:r>
            <w:r w:rsidRPr="00611BC5">
              <w:rPr>
                <w:rFonts w:ascii="Arial" w:hAnsi="Arial" w:cs="Arial" w:hint="eastAsia"/>
                <w:b/>
                <w:color w:val="000000" w:themeColor="text1"/>
                <w:kern w:val="0"/>
                <w:sz w:val="15"/>
                <w:szCs w:val="15"/>
              </w:rPr>
              <w:t>223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b/>
                <w:color w:val="000000" w:themeColor="text1"/>
                <w:kern w:val="0"/>
                <w:sz w:val="15"/>
                <w:szCs w:val="15"/>
              </w:rPr>
              <w:t>ARC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≥</w:t>
            </w:r>
            <w:r w:rsidRPr="00611BC5">
              <w:rPr>
                <w:rFonts w:ascii="Arial" w:hAnsi="Arial" w:cs="Arial" w:hint="eastAsia"/>
                <w:b/>
                <w:color w:val="000000" w:themeColor="text1"/>
                <w:kern w:val="0"/>
                <w:sz w:val="15"/>
                <w:szCs w:val="15"/>
              </w:rPr>
              <w:t>43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×10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/L(N=</w:t>
            </w:r>
            <w:r w:rsidRPr="00611BC5">
              <w:rPr>
                <w:rFonts w:ascii="Arial" w:hAnsi="Arial" w:cs="Arial" w:hint="eastAsia"/>
                <w:b/>
                <w:color w:val="000000" w:themeColor="text1"/>
                <w:kern w:val="0"/>
                <w:sz w:val="15"/>
                <w:szCs w:val="15"/>
              </w:rPr>
              <w:t>392</w:t>
            </w:r>
            <w:r w:rsidRPr="00611BC5">
              <w:rPr>
                <w:rFonts w:ascii="Arial" w:hAnsi="Arial" w:cs="Arial"/>
                <w:b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iCs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b/>
                <w:iCs/>
                <w:color w:val="000000" w:themeColor="text1"/>
                <w:kern w:val="0"/>
                <w:sz w:val="15"/>
                <w:szCs w:val="15"/>
              </w:rPr>
              <w:t>P1</w:t>
            </w:r>
          </w:p>
        </w:tc>
        <w:tc>
          <w:tcPr>
            <w:tcW w:w="1402" w:type="dxa"/>
            <w:tcBorders>
              <w:top w:val="single" w:sz="8" w:space="0" w:color="auto"/>
              <w:bottom w:val="single" w:sz="8" w:space="0" w:color="auto"/>
            </w:tcBorders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iCs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b/>
                <w:iCs/>
                <w:color w:val="000000" w:themeColor="text1"/>
                <w:kern w:val="0"/>
                <w:sz w:val="15"/>
                <w:szCs w:val="15"/>
              </w:rPr>
              <w:t>P2</w:t>
            </w:r>
          </w:p>
        </w:tc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iCs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b/>
                <w:iCs/>
                <w:color w:val="000000" w:themeColor="text1"/>
                <w:kern w:val="0"/>
                <w:sz w:val="15"/>
                <w:szCs w:val="15"/>
              </w:rPr>
              <w:t>P3</w:t>
            </w:r>
          </w:p>
        </w:tc>
      </w:tr>
      <w:tr w:rsidR="003F6B6E" w:rsidRPr="00611BC5" w:rsidTr="001363FD">
        <w:trPr>
          <w:trHeight w:val="280"/>
        </w:trPr>
        <w:tc>
          <w:tcPr>
            <w:tcW w:w="2842" w:type="dxa"/>
            <w:tcBorders>
              <w:top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Sex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,n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(%) 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tcBorders>
              <w:top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0.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191</w:t>
            </w:r>
          </w:p>
        </w:tc>
        <w:tc>
          <w:tcPr>
            <w:tcW w:w="1402" w:type="dxa"/>
            <w:tcBorders>
              <w:top w:val="single" w:sz="8" w:space="0" w:color="auto"/>
            </w:tcBorders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0.042</w:t>
            </w:r>
          </w:p>
        </w:tc>
        <w:tc>
          <w:tcPr>
            <w:tcW w:w="1263" w:type="dxa"/>
            <w:tcBorders>
              <w:top w:val="single" w:sz="8" w:space="0" w:color="auto"/>
            </w:tcBorders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0.546</w:t>
            </w:r>
          </w:p>
        </w:tc>
      </w:tr>
      <w:tr w:rsidR="003F6B6E" w:rsidRPr="00611BC5" w:rsidTr="001363FD">
        <w:trPr>
          <w:trHeight w:val="28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Male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11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(70.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142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(6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3.7%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239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(6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1.0%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28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Female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(29.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153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9.0%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Age,median(range),y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5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(16-83)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5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-83)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5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(14-83)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0.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178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0.005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0.109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Age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≥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 xml:space="preserve">60y,n(%)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71(44.1%)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81(36.3%)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120(30.6%)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0.139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0.003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0.153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WHO classification 2016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,n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(%)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0.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299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0.034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0.317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MDS-SLD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4(2.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5.4%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(4.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MDS-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RS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SLD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4(2.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4.0%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MDS-MLD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(4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1.6%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101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45.3%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210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53.6%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MDS-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RS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MLD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5(3.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MDS-EB1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(23.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8.1%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MDS-EB2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4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(24.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20.2%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MDS with isolated del(5q)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MDS-U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1.9%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2.2%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3.6%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Hb,median(range),g/L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64(31-138)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3(3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-1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46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-155)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lastRenderedPageBreak/>
              <w:t>WBC,median(range),×10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/L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2.51(0.71-21.17)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(0.6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15.74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(0.61-2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0.42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0.175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0.003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0.086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ANC,median(range),×10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/L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1.01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(0.04-13.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1.1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(0-1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0.99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(0-17.37)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0.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129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0.003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0.136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PLT,median(range),×10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  <w:vertAlign w:val="superscript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/L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51(2-536)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-694)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6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(2-6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0.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012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0.024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0.549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BM erythroblasts,median(range),%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19.75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(0-75)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29.25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7.5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(0-92.5)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Sum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 xml:space="preserve"> of </w:t>
            </w:r>
            <w:r w:rsidRPr="00611BC5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proerythroblast and basophilic erythroblast(E1),median(range),%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1(0-30)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1(0-17.5)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2(0-18.5)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0.728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tabs>
                <w:tab w:val="center" w:pos="846"/>
              </w:tabs>
              <w:spacing w:afterLines="50" w:line="600" w:lineRule="auto"/>
              <w:ind w:firstLineChars="50" w:firstLine="75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 xml:space="preserve">      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 w:line="600" w:lineRule="auto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 xml:space="preserve">Sum of </w:t>
            </w:r>
            <w:r w:rsidRPr="00611BC5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polychromatic and orthochromatic erythroblast(E2), median(range),%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17.5(0-67)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27(0-73)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35.5(0.5-88)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 w:line="720" w:lineRule="auto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 w:line="720" w:lineRule="auto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Ratio of E1 to E2,median(range)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0.057(0-1.09)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0.04(0-1.75)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0.05(0-2)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0.098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0.344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0.164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BM blast,median(range),%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3.5(0-19.5)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2.5(0-19.5)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.0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(0-19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.0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0.0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87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0.119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IPSS-R karyotype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,n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(%),N=678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0.187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0.002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Very good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1(0.7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2.1%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0.8%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Good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6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(4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7.4%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105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55.3%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213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60.3%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Intermediate </w:t>
            </w:r>
          </w:p>
        </w:tc>
        <w:tc>
          <w:tcPr>
            <w:tcW w:w="1980" w:type="dxa"/>
            <w:noWrap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26(1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noWrap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1.6%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noWrap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7.5%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noWrap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Poor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(7.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(5.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(5.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noWrap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Very poor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5.2%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15.8%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5.7%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noWrap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Complex karyotype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,n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(%)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(27.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20.0%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9.1%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0.142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lastRenderedPageBreak/>
              <w:t>IPSS-R risk group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,n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(%),N=678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0.012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</w:tr>
      <w:tr w:rsidR="003F6B6E" w:rsidRPr="00611BC5" w:rsidTr="001363FD">
        <w:trPr>
          <w:trHeight w:val="28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Very low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0.5%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5.7%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29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Low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3.7%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1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6(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30.0%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28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Intermediate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4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9.6%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28.4%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122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4.6%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High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 xml:space="preserve">  Very high 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(35.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21.1%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9.1%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IPSS-R two groups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,n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(%)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0.149</w:t>
            </w: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&lt;0.001</w:t>
            </w:r>
          </w:p>
        </w:tc>
      </w:tr>
      <w:tr w:rsidR="003F6B6E" w:rsidRPr="00611BC5" w:rsidTr="001363FD">
        <w:trPr>
          <w:trHeight w:val="30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ind w:firstLineChars="100" w:firstLine="1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Lower-risk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(2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7.4%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67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35.3%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181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51.3%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3F6B6E" w:rsidRPr="00611BC5" w:rsidTr="001363FD">
        <w:trPr>
          <w:trHeight w:val="280"/>
        </w:trPr>
        <w:tc>
          <w:tcPr>
            <w:tcW w:w="2842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ind w:firstLineChars="100" w:firstLine="150"/>
              <w:jc w:val="left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Higher-risk</w:t>
            </w:r>
          </w:p>
        </w:tc>
        <w:tc>
          <w:tcPr>
            <w:tcW w:w="198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98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(7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2.6%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60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123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64.7%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2126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172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>48.7%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vAlign w:val="center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402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1263" w:type="dxa"/>
          </w:tcPr>
          <w:p w:rsidR="003F6B6E" w:rsidRPr="00611BC5" w:rsidRDefault="003F6B6E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5"/>
                <w:szCs w:val="15"/>
              </w:rPr>
            </w:pPr>
          </w:p>
        </w:tc>
      </w:tr>
    </w:tbl>
    <w:p w:rsidR="00412EA2" w:rsidRPr="00611BC5" w:rsidRDefault="00412EA2" w:rsidP="00524CF4">
      <w:pPr>
        <w:autoSpaceDE w:val="0"/>
        <w:autoSpaceDN w:val="0"/>
        <w:adjustRightInd w:val="0"/>
        <w:spacing w:afterLines="50"/>
        <w:jc w:val="left"/>
        <w:rPr>
          <w:rFonts w:ascii="Arial" w:hAnsi="Arial" w:cs="Arial"/>
          <w:color w:val="000000" w:themeColor="text1"/>
          <w:kern w:val="0"/>
          <w:sz w:val="18"/>
          <w:szCs w:val="18"/>
        </w:rPr>
      </w:pPr>
      <w:r w:rsidRPr="00611BC5">
        <w:rPr>
          <w:rFonts w:ascii="Arial" w:hAnsi="Arial" w:cs="Arial"/>
          <w:color w:val="000000" w:themeColor="text1"/>
          <w:sz w:val="18"/>
          <w:szCs w:val="18"/>
        </w:rPr>
        <w:t xml:space="preserve">MDS, myelodysplastic syndrome; ARC, absolute reticulocyte count; MDS-SLD, </w:t>
      </w:r>
      <w:r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MDS with single lineage dysplasia; MDS-RS-SLD, MDS with ring sideroblasts with single lineage dysplasia; MDS-MLD, MDS with multilineage dysplasia; MDS-RS-MLD, </w:t>
      </w:r>
      <w:r w:rsidRPr="00611BC5">
        <w:rPr>
          <w:rFonts w:ascii="Arial" w:hAnsi="Arial" w:cs="Arial"/>
          <w:color w:val="000000" w:themeColor="text1"/>
          <w:sz w:val="18"/>
          <w:szCs w:val="18"/>
        </w:rPr>
        <w:t>MDS with ring sideroblasts with multilineage dysplasia; MDS-EB1, MDS with excess blasts-1; MDS-EB2, MDS with excess blasts-2; MDS-U, MDS unclassifiable; Hb, haemoglobin; WBC, white blood count; ANC, absolute neutrophil count; PLT, platelet count; BM, bone marrow; IPSS-R, Revised International Prognostic Scoring System.</w:t>
      </w:r>
      <w:r w:rsidR="006671AA" w:rsidRPr="00611BC5">
        <w:rPr>
          <w:rFonts w:ascii="Arial" w:hAnsi="Arial" w:cs="Arial" w:hint="eastAsia"/>
          <w:color w:val="000000" w:themeColor="text1"/>
          <w:sz w:val="18"/>
          <w:szCs w:val="18"/>
        </w:rPr>
        <w:t xml:space="preserve"> </w:t>
      </w:r>
      <w:r w:rsidR="006671AA" w:rsidRPr="00611BC5">
        <w:rPr>
          <w:rFonts w:ascii="Arial" w:hAnsi="Arial" w:cs="Arial"/>
          <w:color w:val="000000" w:themeColor="text1"/>
          <w:sz w:val="18"/>
          <w:szCs w:val="18"/>
        </w:rPr>
        <w:t>P1: ARC&lt;19.4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×10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9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/L</w:t>
      </w:r>
      <w:r w:rsidR="006671AA" w:rsidRPr="00611BC5">
        <w:rPr>
          <w:rFonts w:ascii="Arial" w:hAnsi="Arial" w:cs="Arial" w:hint="eastAsia"/>
          <w:color w:val="000000" w:themeColor="text1"/>
          <w:sz w:val="18"/>
          <w:szCs w:val="18"/>
        </w:rPr>
        <w:t xml:space="preserve"> </w:t>
      </w:r>
      <w:r w:rsidR="006671AA" w:rsidRPr="00611BC5">
        <w:rPr>
          <w:rFonts w:ascii="Arial" w:hAnsi="Arial" w:cs="Arial"/>
          <w:i/>
          <w:color w:val="000000" w:themeColor="text1"/>
          <w:sz w:val="18"/>
          <w:szCs w:val="18"/>
        </w:rPr>
        <w:t>vs</w:t>
      </w:r>
      <w:r w:rsidR="006671AA" w:rsidRPr="00611BC5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19.4≤ARC&lt;43×10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9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/L; </w:t>
      </w:r>
      <w:r w:rsidR="006671AA" w:rsidRPr="00611BC5">
        <w:rPr>
          <w:rFonts w:ascii="Arial" w:hAnsi="Arial" w:cs="Arial" w:hint="eastAsia"/>
          <w:color w:val="000000" w:themeColor="text1"/>
          <w:kern w:val="0"/>
          <w:sz w:val="18"/>
          <w:szCs w:val="18"/>
        </w:rPr>
        <w:t xml:space="preserve"> 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P2: ARC&lt;19.4×10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9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/L</w:t>
      </w:r>
      <w:r w:rsidR="006671AA" w:rsidRPr="00611BC5">
        <w:rPr>
          <w:rFonts w:ascii="Arial" w:hAnsi="Arial" w:cs="Arial"/>
          <w:i/>
          <w:color w:val="000000" w:themeColor="text1"/>
          <w:kern w:val="0"/>
          <w:sz w:val="18"/>
          <w:szCs w:val="18"/>
        </w:rPr>
        <w:t xml:space="preserve"> vs.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 xml:space="preserve"> ARC</w:t>
      </w:r>
      <w:r w:rsidR="006671AA" w:rsidRPr="00611BC5">
        <w:rPr>
          <w:rFonts w:ascii="Arial" w:hAnsi="Arial" w:cs="Arial"/>
          <w:color w:val="000000" w:themeColor="text1"/>
          <w:sz w:val="18"/>
          <w:szCs w:val="18"/>
        </w:rPr>
        <w:t>≥43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×10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9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/L</w:t>
      </w:r>
      <w:r w:rsidR="006671AA" w:rsidRPr="00611BC5">
        <w:rPr>
          <w:rFonts w:ascii="Arial" w:hAnsi="Arial" w:cs="Arial" w:hint="eastAsia"/>
          <w:color w:val="000000" w:themeColor="text1"/>
          <w:kern w:val="0"/>
          <w:sz w:val="18"/>
          <w:szCs w:val="18"/>
        </w:rPr>
        <w:t xml:space="preserve">;  P3: 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19.4≤ARC&lt;43×10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9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/L</w:t>
      </w:r>
      <w:r w:rsidR="006671AA" w:rsidRPr="00611BC5">
        <w:rPr>
          <w:rFonts w:ascii="Arial" w:hAnsi="Arial" w:cs="Arial" w:hint="eastAsia"/>
          <w:color w:val="000000" w:themeColor="text1"/>
          <w:kern w:val="0"/>
          <w:sz w:val="18"/>
          <w:szCs w:val="18"/>
        </w:rPr>
        <w:t xml:space="preserve"> </w:t>
      </w:r>
      <w:r w:rsidR="006671AA" w:rsidRPr="00611BC5">
        <w:rPr>
          <w:rFonts w:ascii="Arial" w:hAnsi="Arial" w:cs="Arial" w:hint="eastAsia"/>
          <w:i/>
          <w:color w:val="000000" w:themeColor="text1"/>
          <w:kern w:val="0"/>
          <w:sz w:val="18"/>
          <w:szCs w:val="18"/>
        </w:rPr>
        <w:t xml:space="preserve">vs. 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ARC</w:t>
      </w:r>
      <w:r w:rsidR="006671AA" w:rsidRPr="00611BC5">
        <w:rPr>
          <w:rFonts w:ascii="Arial" w:hAnsi="Arial" w:cs="Arial"/>
          <w:color w:val="000000" w:themeColor="text1"/>
          <w:sz w:val="18"/>
          <w:szCs w:val="18"/>
        </w:rPr>
        <w:t>≥43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×10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  <w:vertAlign w:val="superscript"/>
        </w:rPr>
        <w:t>9</w:t>
      </w:r>
      <w:r w:rsidR="006671AA" w:rsidRPr="00611BC5">
        <w:rPr>
          <w:rFonts w:ascii="Arial" w:hAnsi="Arial" w:cs="Arial"/>
          <w:color w:val="000000" w:themeColor="text1"/>
          <w:kern w:val="0"/>
          <w:sz w:val="18"/>
          <w:szCs w:val="18"/>
        </w:rPr>
        <w:t>/L</w:t>
      </w:r>
      <w:r w:rsidR="006671AA" w:rsidRPr="00611BC5">
        <w:rPr>
          <w:rFonts w:ascii="Arial" w:hAnsi="Arial" w:cs="Arial" w:hint="eastAsia"/>
          <w:color w:val="000000" w:themeColor="text1"/>
          <w:kern w:val="0"/>
          <w:sz w:val="18"/>
          <w:szCs w:val="18"/>
        </w:rPr>
        <w:t>.</w:t>
      </w:r>
    </w:p>
    <w:p w:rsidR="006F4ACB" w:rsidRPr="00611BC5" w:rsidRDefault="006F4ACB">
      <w:pPr>
        <w:rPr>
          <w:rFonts w:ascii="Arial" w:hAnsi="Arial" w:cs="Arial"/>
          <w:b/>
          <w:color w:val="000000" w:themeColor="text1"/>
          <w:szCs w:val="21"/>
        </w:rPr>
      </w:pPr>
    </w:p>
    <w:p w:rsidR="007567B7" w:rsidRPr="00611BC5" w:rsidRDefault="007567B7">
      <w:pPr>
        <w:rPr>
          <w:rFonts w:ascii="Arial" w:hAnsi="Arial" w:cs="Arial"/>
          <w:b/>
          <w:color w:val="000000" w:themeColor="text1"/>
          <w:szCs w:val="21"/>
        </w:rPr>
      </w:pPr>
    </w:p>
    <w:p w:rsidR="007567B7" w:rsidRPr="00611BC5" w:rsidRDefault="007567B7">
      <w:pPr>
        <w:rPr>
          <w:rFonts w:ascii="Arial" w:hAnsi="Arial" w:cs="Arial"/>
          <w:b/>
          <w:color w:val="000000" w:themeColor="text1"/>
          <w:szCs w:val="21"/>
        </w:rPr>
      </w:pPr>
    </w:p>
    <w:p w:rsidR="007567B7" w:rsidRPr="00611BC5" w:rsidRDefault="007567B7">
      <w:pPr>
        <w:rPr>
          <w:rFonts w:ascii="Arial" w:hAnsi="Arial" w:cs="Arial"/>
          <w:b/>
          <w:color w:val="000000" w:themeColor="text1"/>
          <w:szCs w:val="21"/>
        </w:rPr>
      </w:pPr>
    </w:p>
    <w:p w:rsidR="007567B7" w:rsidRPr="00611BC5" w:rsidRDefault="007567B7">
      <w:pPr>
        <w:rPr>
          <w:rFonts w:ascii="Arial" w:hAnsi="Arial" w:cs="Arial"/>
          <w:b/>
          <w:color w:val="000000" w:themeColor="text1"/>
          <w:szCs w:val="21"/>
        </w:rPr>
      </w:pPr>
    </w:p>
    <w:p w:rsidR="000672C9" w:rsidRPr="00611BC5" w:rsidRDefault="000672C9" w:rsidP="00524CF4">
      <w:pPr>
        <w:spacing w:afterLines="50"/>
        <w:rPr>
          <w:rFonts w:ascii="Arial" w:hAnsi="Arial" w:cs="Arial"/>
          <w:b/>
          <w:bCs/>
          <w:color w:val="000000" w:themeColor="text1"/>
          <w:kern w:val="0"/>
          <w:szCs w:val="21"/>
        </w:rPr>
      </w:pPr>
    </w:p>
    <w:p w:rsidR="000672C9" w:rsidRPr="00611BC5" w:rsidRDefault="000672C9" w:rsidP="00524CF4">
      <w:pPr>
        <w:spacing w:afterLines="50"/>
        <w:rPr>
          <w:rFonts w:ascii="Arial" w:hAnsi="Arial" w:cs="Arial"/>
          <w:b/>
          <w:bCs/>
          <w:color w:val="000000" w:themeColor="text1"/>
          <w:kern w:val="0"/>
          <w:szCs w:val="21"/>
        </w:rPr>
      </w:pPr>
    </w:p>
    <w:p w:rsidR="007567B7" w:rsidRPr="00611BC5" w:rsidRDefault="007567B7" w:rsidP="00524CF4">
      <w:pPr>
        <w:spacing w:afterLines="50"/>
        <w:rPr>
          <w:rFonts w:ascii="Arial" w:hAnsi="Arial" w:cs="Arial"/>
          <w:b/>
          <w:color w:val="000000" w:themeColor="text1"/>
          <w:szCs w:val="21"/>
          <w:shd w:val="clear" w:color="auto" w:fill="FFFFFF"/>
        </w:rPr>
      </w:pPr>
      <w:r w:rsidRPr="00611BC5">
        <w:rPr>
          <w:rFonts w:ascii="Arial" w:hAnsi="Arial" w:cs="Arial"/>
          <w:b/>
          <w:bCs/>
          <w:color w:val="000000" w:themeColor="text1"/>
          <w:kern w:val="0"/>
          <w:szCs w:val="21"/>
        </w:rPr>
        <w:lastRenderedPageBreak/>
        <w:t>S</w:t>
      </w:r>
      <w:r w:rsidR="00E12316"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>upplementary table 4</w:t>
      </w:r>
      <w:r w:rsidRPr="00611BC5">
        <w:rPr>
          <w:rFonts w:ascii="Arial" w:hAnsi="Arial" w:cs="Arial" w:hint="eastAsia"/>
          <w:b/>
          <w:bCs/>
          <w:color w:val="000000" w:themeColor="text1"/>
          <w:kern w:val="0"/>
          <w:szCs w:val="21"/>
        </w:rPr>
        <w:t xml:space="preserve">. </w:t>
      </w:r>
      <w:r w:rsidRPr="00611BC5">
        <w:rPr>
          <w:rFonts w:ascii="Arial" w:hAnsi="Arial" w:cs="Arial"/>
          <w:b/>
          <w:color w:val="000000" w:themeColor="text1"/>
          <w:szCs w:val="21"/>
          <w:shd w:val="clear" w:color="auto" w:fill="FFFFFF"/>
        </w:rPr>
        <w:t>Univariate and multivariate analys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>i</w:t>
      </w:r>
      <w:r w:rsidRPr="00611BC5">
        <w:rPr>
          <w:rFonts w:ascii="Arial" w:hAnsi="Arial" w:cs="Arial"/>
          <w:b/>
          <w:color w:val="000000" w:themeColor="text1"/>
          <w:szCs w:val="21"/>
          <w:shd w:val="clear" w:color="auto" w:fill="FFFFFF"/>
        </w:rPr>
        <w:t xml:space="preserve">s 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 xml:space="preserve">of overall survival </w:t>
      </w:r>
      <w:r w:rsidRPr="00611BC5">
        <w:rPr>
          <w:rFonts w:ascii="Arial" w:hAnsi="Arial" w:cs="Arial"/>
          <w:b/>
          <w:color w:val="000000" w:themeColor="text1"/>
          <w:szCs w:val="21"/>
          <w:shd w:val="clear" w:color="auto" w:fill="FFFFFF"/>
        </w:rPr>
        <w:t xml:space="preserve">in 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 xml:space="preserve">the total cohort (using ARC of </w:t>
      </w:r>
      <w:r w:rsidRPr="00611BC5">
        <w:rPr>
          <w:rFonts w:ascii="Arial" w:hAnsi="Arial" w:cs="Arial" w:hint="eastAsia"/>
          <w:b/>
          <w:color w:val="000000" w:themeColor="text1"/>
          <w:szCs w:val="21"/>
        </w:rPr>
        <w:t>19.4</w:t>
      </w:r>
      <w:r w:rsidR="00427F86" w:rsidRPr="00611BC5">
        <w:rPr>
          <w:rFonts w:ascii="Arial" w:hAnsi="Arial" w:cs="Arial" w:hint="eastAsia"/>
          <w:b/>
          <w:color w:val="000000" w:themeColor="text1"/>
          <w:szCs w:val="21"/>
        </w:rPr>
        <w:t xml:space="preserve"> and 43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×10</w:t>
      </w:r>
      <w:r w:rsidRPr="00611BC5">
        <w:rPr>
          <w:rFonts w:ascii="Arial" w:hAnsi="Arial" w:cs="Arial"/>
          <w:b/>
          <w:color w:val="000000" w:themeColor="text1"/>
          <w:kern w:val="0"/>
          <w:szCs w:val="21"/>
          <w:vertAlign w:val="superscript"/>
        </w:rPr>
        <w:t>9</w:t>
      </w:r>
      <w:r w:rsidRPr="00611BC5">
        <w:rPr>
          <w:rFonts w:ascii="Arial" w:hAnsi="Arial" w:cs="Arial"/>
          <w:b/>
          <w:color w:val="000000" w:themeColor="text1"/>
          <w:kern w:val="0"/>
          <w:szCs w:val="21"/>
        </w:rPr>
        <w:t>/L</w:t>
      </w:r>
      <w:r w:rsidR="00427F86"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as</w:t>
      </w:r>
      <w:r w:rsidRPr="00611BC5">
        <w:rPr>
          <w:rFonts w:ascii="Arial" w:hAnsi="Arial" w:cs="Arial" w:hint="eastAsia"/>
          <w:b/>
          <w:color w:val="000000" w:themeColor="text1"/>
          <w:kern w:val="0"/>
          <w:szCs w:val="21"/>
        </w:rPr>
        <w:t xml:space="preserve"> cutoff</w:t>
      </w:r>
      <w:r w:rsidRPr="00611BC5">
        <w:rPr>
          <w:rFonts w:ascii="Arial" w:hAnsi="Arial" w:cs="Arial" w:hint="eastAsia"/>
          <w:b/>
          <w:color w:val="000000" w:themeColor="text1"/>
          <w:szCs w:val="21"/>
          <w:shd w:val="clear" w:color="auto" w:fill="FFFFFF"/>
        </w:rPr>
        <w:t>).</w:t>
      </w:r>
    </w:p>
    <w:tbl>
      <w:tblPr>
        <w:tblW w:w="14041" w:type="dxa"/>
        <w:tblInd w:w="101" w:type="dxa"/>
        <w:tblLook w:val="0000"/>
      </w:tblPr>
      <w:tblGrid>
        <w:gridCol w:w="2020"/>
        <w:gridCol w:w="539"/>
        <w:gridCol w:w="850"/>
        <w:gridCol w:w="1277"/>
        <w:gridCol w:w="752"/>
        <w:gridCol w:w="99"/>
        <w:gridCol w:w="241"/>
        <w:gridCol w:w="751"/>
        <w:gridCol w:w="1417"/>
        <w:gridCol w:w="712"/>
        <w:gridCol w:w="124"/>
        <w:gridCol w:w="236"/>
        <w:gridCol w:w="1117"/>
        <w:gridCol w:w="2078"/>
        <w:gridCol w:w="1828"/>
      </w:tblGrid>
      <w:tr w:rsidR="008F2995" w:rsidRPr="00611BC5" w:rsidTr="001363FD">
        <w:trPr>
          <w:trHeight w:val="280"/>
        </w:trPr>
        <w:tc>
          <w:tcPr>
            <w:tcW w:w="2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4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Univariate analysis</w:t>
            </w:r>
          </w:p>
        </w:tc>
        <w:tc>
          <w:tcPr>
            <w:tcW w:w="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 xml:space="preserve">   Adjusted by molecular profiles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02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ind w:firstLineChars="100" w:firstLine="18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All-inclusive multivariate analysis</w:t>
            </w: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HR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95% CI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p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HR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95% CI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p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HR</w:t>
            </w:r>
          </w:p>
        </w:tc>
        <w:tc>
          <w:tcPr>
            <w:tcW w:w="207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95% CI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p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 xml:space="preserve"> value</w:t>
            </w: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Age≥60 years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1.939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1.493-2.518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491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1.854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3.347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IPSS-R higher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risk group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3.397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2.436-4.736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3.015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2.131-4.264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ARC&lt;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 xml:space="preserve">19.4 </w:t>
            </w:r>
            <w:r w:rsidRPr="00611BC5">
              <w:rPr>
                <w:rFonts w:ascii="Arial" w:hAnsi="Arial" w:cs="Arial" w:hint="eastAsia"/>
                <w:i/>
                <w:color w:val="000000" w:themeColor="text1"/>
                <w:kern w:val="0"/>
                <w:sz w:val="18"/>
                <w:szCs w:val="18"/>
              </w:rPr>
              <w:t>vs.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11BC5">
              <w:rPr>
                <w:rFonts w:ascii="Arial" w:hAnsi="Arial" w:cs="Arial"/>
                <w:color w:val="000000" w:themeColor="text1"/>
                <w:sz w:val="18"/>
                <w:szCs w:val="18"/>
              </w:rPr>
              <w:t>≥43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×10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:vertAlign w:val="superscript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/L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3.337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455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4.535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3.289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398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4.512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2.181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552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3.065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19.4≤ARC&lt;43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11BC5">
              <w:rPr>
                <w:rFonts w:ascii="Arial" w:hAnsi="Arial" w:cs="Arial" w:hint="eastAsia"/>
                <w:i/>
                <w:color w:val="000000" w:themeColor="text1"/>
                <w:kern w:val="0"/>
                <w:sz w:val="18"/>
                <w:szCs w:val="18"/>
              </w:rPr>
              <w:t>vs.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611BC5">
              <w:rPr>
                <w:rFonts w:ascii="Arial" w:hAnsi="Arial" w:cs="Arial"/>
                <w:color w:val="000000" w:themeColor="text1"/>
                <w:sz w:val="18"/>
                <w:szCs w:val="18"/>
              </w:rPr>
              <w:t>≥43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×10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:vertAlign w:val="superscript"/>
              </w:rPr>
              <w:t>9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/L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1.394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1.004-1.936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0.043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1.474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1.058-2.054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0.022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1.037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0.722-1.488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0.845</w:t>
            </w: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U2AF1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1.368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0.995-1.879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0.053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SF3B1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1.081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0.702-1.664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0.724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SRSF2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1.705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0.953-3.052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0.072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203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4.000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TET2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1.844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1.217-2.795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0.004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478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3.453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&lt;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0.001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SETBP1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1.653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1.033-2.647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0.036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1.647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014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2.673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0.044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2.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148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215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-3.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795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08</w:t>
            </w: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TP53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2.915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1.967-4.320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3.067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2.052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-4.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582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NRAS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1.837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1.134-2.976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0.014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F2995" w:rsidRPr="00611BC5" w:rsidTr="001363FD">
        <w:trPr>
          <w:trHeight w:val="280"/>
        </w:trPr>
        <w:tc>
          <w:tcPr>
            <w:tcW w:w="2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i/>
                <w:iCs/>
                <w:color w:val="000000" w:themeColor="text1"/>
                <w:kern w:val="0"/>
                <w:sz w:val="18"/>
                <w:szCs w:val="18"/>
              </w:rPr>
              <w:t>PTPN11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2.481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1.350-4.559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0.003</w:t>
            </w:r>
          </w:p>
        </w:tc>
        <w:tc>
          <w:tcPr>
            <w:tcW w:w="2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2.077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105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-3.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905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23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2.009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1.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011</w:t>
            </w: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-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3.989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2995" w:rsidRPr="00611BC5" w:rsidRDefault="008F2995" w:rsidP="00524CF4">
            <w:pPr>
              <w:widowControl/>
              <w:spacing w:afterLines="50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611BC5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0.0</w:t>
            </w:r>
            <w:r w:rsidRPr="00611BC5">
              <w:rPr>
                <w:rFonts w:ascii="Arial" w:hAnsi="Arial" w:cs="Arial" w:hint="eastAsia"/>
                <w:color w:val="000000" w:themeColor="text1"/>
                <w:kern w:val="0"/>
                <w:sz w:val="18"/>
                <w:szCs w:val="18"/>
              </w:rPr>
              <w:t>46</w:t>
            </w:r>
          </w:p>
        </w:tc>
      </w:tr>
    </w:tbl>
    <w:p w:rsidR="009C3797" w:rsidRPr="00611BC5" w:rsidRDefault="009C3797" w:rsidP="009C3797">
      <w:pPr>
        <w:rPr>
          <w:rFonts w:ascii="Arial" w:hAnsi="Arial" w:cs="Arial"/>
          <w:b/>
          <w:color w:val="000000" w:themeColor="text1"/>
          <w:szCs w:val="21"/>
        </w:rPr>
      </w:pPr>
      <w:r w:rsidRPr="00611BC5">
        <w:rPr>
          <w:rFonts w:ascii="Arial" w:hAnsi="Arial" w:cs="Arial" w:hint="eastAsia"/>
          <w:color w:val="000000" w:themeColor="text1"/>
          <w:sz w:val="18"/>
          <w:szCs w:val="18"/>
        </w:rPr>
        <w:t>HR, hazard ratio; CI, confidence interval.</w:t>
      </w:r>
    </w:p>
    <w:p w:rsidR="009C3797" w:rsidRPr="00611BC5" w:rsidRDefault="009C3797" w:rsidP="009C3797">
      <w:pPr>
        <w:widowControl/>
        <w:jc w:val="left"/>
        <w:rPr>
          <w:rFonts w:ascii="Arial" w:hAnsi="Arial" w:cs="Arial"/>
          <w:b/>
          <w:color w:val="000000" w:themeColor="text1"/>
          <w:szCs w:val="21"/>
        </w:rPr>
      </w:pPr>
    </w:p>
    <w:sectPr w:rsidR="009C3797" w:rsidRPr="00611BC5" w:rsidSect="008B26AD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D5F" w:rsidRDefault="00724D5F" w:rsidP="001C011F">
      <w:r>
        <w:separator/>
      </w:r>
    </w:p>
  </w:endnote>
  <w:endnote w:type="continuationSeparator" w:id="1">
    <w:p w:rsidR="00724D5F" w:rsidRDefault="00724D5F" w:rsidP="001C0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205220"/>
      <w:docPartObj>
        <w:docPartGallery w:val="Page Numbers (Bottom of Page)"/>
        <w:docPartUnique/>
      </w:docPartObj>
    </w:sdtPr>
    <w:sdtContent>
      <w:p w:rsidR="00016CBE" w:rsidRDefault="00AC0A8C">
        <w:pPr>
          <w:pStyle w:val="a6"/>
          <w:jc w:val="center"/>
        </w:pPr>
        <w:fldSimple w:instr=" PAGE   \* MERGEFORMAT ">
          <w:r w:rsidR="00823414" w:rsidRPr="00823414">
            <w:rPr>
              <w:noProof/>
              <w:lang w:val="zh-CN"/>
            </w:rPr>
            <w:t>2</w:t>
          </w:r>
        </w:fldSimple>
      </w:p>
    </w:sdtContent>
  </w:sdt>
  <w:p w:rsidR="00016CBE" w:rsidRDefault="00016CB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D5F" w:rsidRDefault="00724D5F" w:rsidP="001C011F">
      <w:r>
        <w:separator/>
      </w:r>
    </w:p>
  </w:footnote>
  <w:footnote w:type="continuationSeparator" w:id="1">
    <w:p w:rsidR="00724D5F" w:rsidRDefault="00724D5F" w:rsidP="001C01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NE.Ref{095018F9-9713-4425-BCD8-F7875D1DF659}" w:val=" ADDIN NE.Ref.{095018F9-9713-4425-BCD8-F7875D1DF659} ADDIN NE.Ref.{095018F9-9713-4425-BCD8-F7875D1DF659}&lt;Citation&gt;&lt;Group&gt;&lt;References&gt;&lt;Item&gt;&lt;ID&gt;529&lt;/ID&gt;&lt;UID&gt;{0F42F54C-42FE-47DE-B266-D56A0B4DAFF0}&lt;/UID&gt;&lt;Title&gt;Transcript-level expression analysis of RNA-seq experiments with HISAT, StringTie and Ballgown&lt;/Title&gt;&lt;Template&gt;Journal Article&lt;/Template&gt;&lt;Star&gt;0&lt;/Star&gt;&lt;Tag&gt;0&lt;/Tag&gt;&lt;Author&gt;Pertea, M; Kim, D; Pertea, G M; Leek, J T; Salzberg, S L&lt;/Author&gt;&lt;Year&gt;2016&lt;/Year&gt;&lt;Details&gt;&lt;_accession_num&gt;27560171&lt;/_accession_num&gt;&lt;_author_adr&gt;Center for Computational Biology, McKusick-Nathans Institute of Genetic Medicine, Johns Hopkins School of Medicine, Baltimore, Maryland, USA.; Department of Computer Science, Whiting School of Engineering, Johns Hopkins University, Baltimore, Maryland, USA.; Center for Computational Biology, McKusick-Nathans Institute of Genetic Medicine, Johns Hopkins School of Medicine, Baltimore, Maryland, USA.; Center for Computational Biology, McKusick-Nathans Institute of Genetic Medicine, Johns Hopkins School of Medicine, Baltimore, Maryland, USA.; Department of Biostatistics, Bloomberg School of Public Health, Johns Hopkins University, Baltimore, Maryland, USA.; Center for Computational Biology, McKusick-Nathans Institute of Genetic Medicine, Johns Hopkins School of Medicine, Baltimore, Maryland, USA.; Department of Computer Science, Whiting School of Engineering, Johns Hopkins University, Baltimore, Maryland, USA.; Department of Biostatistics, Bloomberg School of Public Health, Johns Hopkins University, Baltimore, Maryland, USA.; Department of Biomedical Engineering, Johns Hopkins University, Baltimore, Maryland, USA.&lt;/_author_adr&gt;&lt;_collection_scope&gt;SCIE&lt;/_collection_scope&gt;&lt;_created&gt;63003739&lt;/_created&gt;&lt;_date&gt;2016-09-01&lt;/_date&gt;&lt;_date_display&gt;2016 Sep&lt;/_date_display&gt;&lt;_doi&gt;10.1038/nprot.2016.095&lt;/_doi&gt;&lt;_impact_factor&gt;  11.334&lt;/_impact_factor&gt;&lt;_isbn&gt;1750-2799 (Electronic); 1750-2799 (Linking)&lt;/_isbn&gt;&lt;_issue&gt;9&lt;/_issue&gt;&lt;_journal&gt;Nat Protoc&lt;/_journal&gt;&lt;_keywords&gt;Gene Expression Profiling/*methods; Molecular Sequence Annotation; RNA, Messenger/genetics/metabolism; Sequence Analysis, RNA/*methods; *Software; Statistics as Topic/*methods; User-Computer Interface&lt;/_keywords&gt;&lt;_language&gt;eng&lt;/_language&gt;&lt;_modified&gt;63038538&lt;/_modified&gt;&lt;_pages&gt;1650-67&lt;/_pages&gt;&lt;_tertiary_title&gt;Nature protocols&lt;/_tertiary_title&gt;&lt;_type_work&gt;Journal Article; Research Support, N.I.H., Extramural; Research Support, U.S. Gov&amp;apos;t, Non-P.H.S.&lt;/_type_work&gt;&lt;_url&gt;http://www.ncbi.nlm.nih.gov/entrez/query.fcgi?cmd=Retrieve&amp;amp;db=pubmed&amp;amp;dopt=Abstract&amp;amp;list_uids=27560171&amp;amp;query_hl=1&lt;/_url&gt;&lt;_volume&gt;11&lt;/_volume&gt;&lt;/Details&gt;&lt;Extra&gt;&lt;DBUID&gt;{F96A950B-833F-4880-A151-76DA2D6A2879}&lt;/DBUID&gt;&lt;/Extra&gt;&lt;/Item&gt;&lt;/References&gt;&lt;/Group&gt;&lt;/Citation&gt;&#10;"/>
    <w:docVar w:name="NE.Ref{1A6BA6E3-7486-4D1A-A5E5-F4623ED1BB2B}" w:val=" ADDIN NE.Ref.{1A6BA6E3-7486-4D1A-A5E5-F4623ED1BB2B} ADDIN NE.Ref.{1A6BA6E3-7486-4D1A-A5E5-F4623ED1BB2B}&lt;Citation&gt;&lt;Group&gt;&lt;References&gt;&lt;Item&gt;&lt;ID&gt;529&lt;/ID&gt;&lt;UID&gt;{0F42F54C-42FE-47DE-B266-D56A0B4DAFF0}&lt;/UID&gt;&lt;Title&gt;Transcript-level expression analysis of RNA-seq experiments with HISAT, StringTie and Ballgown&lt;/Title&gt;&lt;Template&gt;Journal Article&lt;/Template&gt;&lt;Star&gt;0&lt;/Star&gt;&lt;Tag&gt;0&lt;/Tag&gt;&lt;Author&gt;Pertea, M; Kim, D; Pertea, G M; Leek, J T; Salzberg, S L&lt;/Author&gt;&lt;Year&gt;2016&lt;/Year&gt;&lt;Details&gt;&lt;_accession_num&gt;27560171&lt;/_accession_num&gt;&lt;_author_adr&gt;Center for Computational Biology, McKusick-Nathans Institute of Genetic Medicine, Johns Hopkins School of Medicine, Baltimore, Maryland, USA.; Department of Computer Science, Whiting School of Engineering, Johns Hopkins University, Baltimore, Maryland, USA.; Center for Computational Biology, McKusick-Nathans Institute of Genetic Medicine, Johns Hopkins School of Medicine, Baltimore, Maryland, USA.; Center for Computational Biology, McKusick-Nathans Institute of Genetic Medicine, Johns Hopkins School of Medicine, Baltimore, Maryland, USA.; Department of Biostatistics, Bloomberg School of Public Health, Johns Hopkins University, Baltimore, Maryland, USA.; Center for Computational Biology, McKusick-Nathans Institute of Genetic Medicine, Johns Hopkins School of Medicine, Baltimore, Maryland, USA.; Department of Computer Science, Whiting School of Engineering, Johns Hopkins University, Baltimore, Maryland, USA.; Department of Biostatistics, Bloomberg School of Public Health, Johns Hopkins University, Baltimore, Maryland, USA.; Department of Biomedical Engineering, Johns Hopkins University, Baltimore, Maryland, USA.&lt;/_author_adr&gt;&lt;_collection_scope&gt;SCIE&lt;/_collection_scope&gt;&lt;_created&gt;63003739&lt;/_created&gt;&lt;_date&gt;2016-09-01&lt;/_date&gt;&lt;_date_display&gt;2016 Sep&lt;/_date_display&gt;&lt;_doi&gt;10.1038/nprot.2016.095&lt;/_doi&gt;&lt;_impact_factor&gt;  11.334&lt;/_impact_factor&gt;&lt;_isbn&gt;1750-2799 (Electronic); 1750-2799 (Linking)&lt;/_isbn&gt;&lt;_issue&gt;9&lt;/_issue&gt;&lt;_journal&gt;Nat Protoc&lt;/_journal&gt;&lt;_keywords&gt;Gene Expression Profiling/*methods; Molecular Sequence Annotation; RNA, Messenger/genetics/metabolism; Sequence Analysis, RNA/*methods; *Software; Statistics as Topic/*methods; User-Computer Interface&lt;/_keywords&gt;&lt;_language&gt;eng&lt;/_language&gt;&lt;_modified&gt;63038538&lt;/_modified&gt;&lt;_pages&gt;1650-67&lt;/_pages&gt;&lt;_tertiary_title&gt;Nature protocols&lt;/_tertiary_title&gt;&lt;_type_work&gt;Journal Article; Research Support, N.I.H., Extramural; Research Support, U.S. Gov&amp;apos;t, Non-P.H.S.&lt;/_type_work&gt;&lt;_url&gt;http://www.ncbi.nlm.nih.gov/entrez/query.fcgi?cmd=Retrieve&amp;amp;db=pubmed&amp;amp;dopt=Abstract&amp;amp;list_uids=27560171&amp;amp;query_hl=1&lt;/_url&gt;&lt;_volume&gt;11&lt;/_volume&gt;&lt;/Details&gt;&lt;Extra&gt;&lt;DBUID&gt;{F96A950B-833F-4880-A151-76DA2D6A2879}&lt;/DBUID&gt;&lt;/Extra&gt;&lt;/Item&gt;&lt;/References&gt;&lt;/Group&gt;&lt;/Citation&gt;&#10;"/>
    <w:docVar w:name="NE.Ref{B6ED9A40-95FB-47A6-B5FB-8B4ADAAEC1AF}" w:val=" ADDIN NE.Ref.{B6ED9A40-95FB-47A6-B5FB-8B4ADAAEC1AF} ADDIN NE.Ref.{B6ED9A40-95FB-47A6-B5FB-8B4ADAAEC1AF}&lt;Citation&gt;&lt;Group&gt;&lt;References&gt;&lt;Item&gt;&lt;ID&gt;570&lt;/ID&gt;&lt;UID&gt;{652D7316-7B9B-4D37-A291-29F86E314EAB}&lt;/UID&gt;&lt;Title&gt;The Molecular Signatures Database (MSigDB) hallmark gene set collection&lt;/Title&gt;&lt;Template&gt;Journal Article&lt;/Template&gt;&lt;Star&gt;0&lt;/Star&gt;&lt;Tag&gt;0&lt;/Tag&gt;&lt;Author&gt;Liberzon, A; Birger, C; Thorvaldsdottir, H; Ghandi, M; Mesirov, J P; Tamayo, P&lt;/Author&gt;&lt;Year&gt;2015&lt;/Year&gt;&lt;Details&gt;&lt;_accession_num&gt;26771021&lt;/_accession_num&gt;&lt;_author_adr&gt;Broad Institute of MIT and Harvard, 415 Main St. Cambridge, MA 02142, USA.; Broad Institute of MIT and Harvard, 415 Main St. Cambridge, MA 02142, USA.; Broad Institute of MIT and Harvard, 415 Main St. Cambridge, MA 02142, USA.; Broad Institute of MIT and Harvard, 415 Main St. Cambridge, MA 02142, USA.; Broad Institute of MIT and Harvard, 415 Main St. Cambridge, MA 02142, USA; Department of Medicine, UC San Diego, La Jolla, CA 92093, USA; Moores Cancer Center, UC San Diego, La Jolla, CA 92093, USA.; Broad Institute of MIT and Harvard, 415 Main St. Cambridge, MA 02142, USA; Department of Medicine, UC San Diego, La Jolla, CA 92093, USA; Moores Cancer Center, UC San Diego, La Jolla, CA 92093, USA; Broad Institute of MIT and Harvard, 415 Main St. Cambridge, MA 02142, USA.&lt;/_author_adr&gt;&lt;_collection_scope&gt;SCIE&lt;/_collection_scope&gt;&lt;_created&gt;63038548&lt;/_created&gt;&lt;_date&gt;2015-12-23&lt;/_date&gt;&lt;_date_display&gt;2015 Dec 23&lt;/_date_display&gt;&lt;_doi&gt;10.1016/j.cels.2015.12.004&lt;/_doi&gt;&lt;_impact_factor&gt;   8.640&lt;/_impact_factor&gt;&lt;_isbn&gt;2405-4712 (Print); 2405-4712 (Linking)&lt;/_isbn&gt;&lt;_issue&gt;6&lt;/_issue&gt;&lt;_journal&gt;Cell Syst&lt;/_journal&gt;&lt;_keywords&gt;gene expression; gene set enrichment analysis; gene sets&lt;/_keywords&gt;&lt;_language&gt;eng&lt;/_language&gt;&lt;_modified&gt;63123815&lt;/_modified&gt;&lt;_pages&gt;417-425&lt;/_pages&gt;&lt;_tertiary_title&gt;Cell systems&lt;/_tertiary_title&gt;&lt;_type_work&gt;Journal Article&lt;/_type_work&gt;&lt;_url&gt;http://www.ncbi.nlm.nih.gov/entrez/query.fcgi?cmd=Retrieve&amp;amp;db=pubmed&amp;amp;dopt=Abstract&amp;amp;list_uids=26771021&amp;amp;query_hl=1&lt;/_url&gt;&lt;_volume&gt;1&lt;/_volume&gt;&lt;/Details&gt;&lt;Extra&gt;&lt;DBUID&gt;{F96A950B-833F-4880-A151-76DA2D6A2879}&lt;/DBUID&gt;&lt;/Extra&gt;&lt;/Item&gt;&lt;/References&gt;&lt;/Group&gt;&lt;/Citation&gt;&#10;"/>
    <w:docVar w:name="ne_stylename" w:val="Leukemia"/>
  </w:docVars>
  <w:rsids>
    <w:rsidRoot w:val="00AE3342"/>
    <w:rsid w:val="0000221A"/>
    <w:rsid w:val="00005DF6"/>
    <w:rsid w:val="00010337"/>
    <w:rsid w:val="00010EE2"/>
    <w:rsid w:val="00016CBE"/>
    <w:rsid w:val="00023C43"/>
    <w:rsid w:val="00031086"/>
    <w:rsid w:val="00045C70"/>
    <w:rsid w:val="00053833"/>
    <w:rsid w:val="00055732"/>
    <w:rsid w:val="000672C9"/>
    <w:rsid w:val="00085372"/>
    <w:rsid w:val="000A76E3"/>
    <w:rsid w:val="000B4296"/>
    <w:rsid w:val="000C050E"/>
    <w:rsid w:val="000C1E9A"/>
    <w:rsid w:val="000C3CAA"/>
    <w:rsid w:val="000E478E"/>
    <w:rsid w:val="000F1DC2"/>
    <w:rsid w:val="001012CD"/>
    <w:rsid w:val="00103423"/>
    <w:rsid w:val="001053AB"/>
    <w:rsid w:val="00107C6D"/>
    <w:rsid w:val="00111186"/>
    <w:rsid w:val="001227C0"/>
    <w:rsid w:val="00133E6B"/>
    <w:rsid w:val="001363FD"/>
    <w:rsid w:val="00154AD8"/>
    <w:rsid w:val="00155530"/>
    <w:rsid w:val="0016022B"/>
    <w:rsid w:val="0017193A"/>
    <w:rsid w:val="00182063"/>
    <w:rsid w:val="00185C68"/>
    <w:rsid w:val="001A1A43"/>
    <w:rsid w:val="001B436A"/>
    <w:rsid w:val="001C0067"/>
    <w:rsid w:val="001C011F"/>
    <w:rsid w:val="001C4859"/>
    <w:rsid w:val="001C6F1D"/>
    <w:rsid w:val="001D0EE7"/>
    <w:rsid w:val="001D61FA"/>
    <w:rsid w:val="001E6411"/>
    <w:rsid w:val="001F00A1"/>
    <w:rsid w:val="0020135A"/>
    <w:rsid w:val="00205075"/>
    <w:rsid w:val="00210E09"/>
    <w:rsid w:val="00211CB4"/>
    <w:rsid w:val="00214351"/>
    <w:rsid w:val="0021699C"/>
    <w:rsid w:val="00232DD0"/>
    <w:rsid w:val="00253AC2"/>
    <w:rsid w:val="002575B0"/>
    <w:rsid w:val="00263E06"/>
    <w:rsid w:val="002643A9"/>
    <w:rsid w:val="00282E21"/>
    <w:rsid w:val="002834DB"/>
    <w:rsid w:val="0028611A"/>
    <w:rsid w:val="00293753"/>
    <w:rsid w:val="002A4C54"/>
    <w:rsid w:val="002B2BAC"/>
    <w:rsid w:val="002B40AF"/>
    <w:rsid w:val="002E0B9D"/>
    <w:rsid w:val="002E1CB4"/>
    <w:rsid w:val="002F2254"/>
    <w:rsid w:val="00304997"/>
    <w:rsid w:val="00304A52"/>
    <w:rsid w:val="00332FDB"/>
    <w:rsid w:val="0033767D"/>
    <w:rsid w:val="003407DD"/>
    <w:rsid w:val="00340F98"/>
    <w:rsid w:val="0034266C"/>
    <w:rsid w:val="003527AF"/>
    <w:rsid w:val="0035480F"/>
    <w:rsid w:val="00355334"/>
    <w:rsid w:val="00356E3C"/>
    <w:rsid w:val="00360870"/>
    <w:rsid w:val="0036602C"/>
    <w:rsid w:val="00367EA1"/>
    <w:rsid w:val="0037383B"/>
    <w:rsid w:val="00390342"/>
    <w:rsid w:val="003939AE"/>
    <w:rsid w:val="00394115"/>
    <w:rsid w:val="003944B4"/>
    <w:rsid w:val="003A145F"/>
    <w:rsid w:val="003A6197"/>
    <w:rsid w:val="003B1980"/>
    <w:rsid w:val="003B7A21"/>
    <w:rsid w:val="003C167B"/>
    <w:rsid w:val="003C555F"/>
    <w:rsid w:val="003D535C"/>
    <w:rsid w:val="003E3365"/>
    <w:rsid w:val="003F1C52"/>
    <w:rsid w:val="003F4A55"/>
    <w:rsid w:val="003F598D"/>
    <w:rsid w:val="003F6343"/>
    <w:rsid w:val="003F6B6E"/>
    <w:rsid w:val="003F76F6"/>
    <w:rsid w:val="00404D86"/>
    <w:rsid w:val="0040714C"/>
    <w:rsid w:val="00412EA2"/>
    <w:rsid w:val="00413BFF"/>
    <w:rsid w:val="00427F86"/>
    <w:rsid w:val="004433C4"/>
    <w:rsid w:val="00450CD6"/>
    <w:rsid w:val="00452BE6"/>
    <w:rsid w:val="00470377"/>
    <w:rsid w:val="00490F50"/>
    <w:rsid w:val="004A3EB6"/>
    <w:rsid w:val="004C512B"/>
    <w:rsid w:val="004D2730"/>
    <w:rsid w:val="004D3847"/>
    <w:rsid w:val="004F1C05"/>
    <w:rsid w:val="004F273D"/>
    <w:rsid w:val="004F6BC2"/>
    <w:rsid w:val="00505CEF"/>
    <w:rsid w:val="0050719D"/>
    <w:rsid w:val="005075C6"/>
    <w:rsid w:val="00512EE1"/>
    <w:rsid w:val="005144D4"/>
    <w:rsid w:val="005163EE"/>
    <w:rsid w:val="00524CF4"/>
    <w:rsid w:val="00524E5B"/>
    <w:rsid w:val="00525B48"/>
    <w:rsid w:val="00527C05"/>
    <w:rsid w:val="00531F7D"/>
    <w:rsid w:val="005322FB"/>
    <w:rsid w:val="0054131E"/>
    <w:rsid w:val="005440D0"/>
    <w:rsid w:val="0054791B"/>
    <w:rsid w:val="005549D2"/>
    <w:rsid w:val="00573C07"/>
    <w:rsid w:val="0057420B"/>
    <w:rsid w:val="00583038"/>
    <w:rsid w:val="005861DA"/>
    <w:rsid w:val="0058761A"/>
    <w:rsid w:val="005C7026"/>
    <w:rsid w:val="005D12D7"/>
    <w:rsid w:val="005E017A"/>
    <w:rsid w:val="005E6F65"/>
    <w:rsid w:val="005F20C0"/>
    <w:rsid w:val="005F6EB8"/>
    <w:rsid w:val="005F70F2"/>
    <w:rsid w:val="00602C88"/>
    <w:rsid w:val="00611BC5"/>
    <w:rsid w:val="006206F1"/>
    <w:rsid w:val="00624E2C"/>
    <w:rsid w:val="00631502"/>
    <w:rsid w:val="00635D90"/>
    <w:rsid w:val="00640A40"/>
    <w:rsid w:val="0064124D"/>
    <w:rsid w:val="0064293A"/>
    <w:rsid w:val="006520B3"/>
    <w:rsid w:val="00653278"/>
    <w:rsid w:val="00661E95"/>
    <w:rsid w:val="0066596C"/>
    <w:rsid w:val="006671AA"/>
    <w:rsid w:val="0067193C"/>
    <w:rsid w:val="006866B6"/>
    <w:rsid w:val="00687806"/>
    <w:rsid w:val="00692569"/>
    <w:rsid w:val="0069513A"/>
    <w:rsid w:val="00695F41"/>
    <w:rsid w:val="006A62E9"/>
    <w:rsid w:val="006A6A3D"/>
    <w:rsid w:val="006B2071"/>
    <w:rsid w:val="006B2347"/>
    <w:rsid w:val="006B60C3"/>
    <w:rsid w:val="006C216C"/>
    <w:rsid w:val="006C6F9D"/>
    <w:rsid w:val="006D46B0"/>
    <w:rsid w:val="006E66BE"/>
    <w:rsid w:val="006F4598"/>
    <w:rsid w:val="006F4ACB"/>
    <w:rsid w:val="00713A26"/>
    <w:rsid w:val="0071455C"/>
    <w:rsid w:val="00714661"/>
    <w:rsid w:val="00724D5F"/>
    <w:rsid w:val="00726421"/>
    <w:rsid w:val="00737A3B"/>
    <w:rsid w:val="007515CD"/>
    <w:rsid w:val="00751AA4"/>
    <w:rsid w:val="007567B7"/>
    <w:rsid w:val="00757226"/>
    <w:rsid w:val="00757DE3"/>
    <w:rsid w:val="00760A37"/>
    <w:rsid w:val="00762A3E"/>
    <w:rsid w:val="0076654B"/>
    <w:rsid w:val="00766706"/>
    <w:rsid w:val="007820B3"/>
    <w:rsid w:val="00782E46"/>
    <w:rsid w:val="00785DEF"/>
    <w:rsid w:val="00791024"/>
    <w:rsid w:val="007937C1"/>
    <w:rsid w:val="007952EF"/>
    <w:rsid w:val="007A3700"/>
    <w:rsid w:val="007A71D1"/>
    <w:rsid w:val="007B439A"/>
    <w:rsid w:val="007B6783"/>
    <w:rsid w:val="007C1DBE"/>
    <w:rsid w:val="007F3AEA"/>
    <w:rsid w:val="007F697D"/>
    <w:rsid w:val="007F7643"/>
    <w:rsid w:val="00803645"/>
    <w:rsid w:val="008057E7"/>
    <w:rsid w:val="00805F0E"/>
    <w:rsid w:val="00813D04"/>
    <w:rsid w:val="008170F9"/>
    <w:rsid w:val="00822BFD"/>
    <w:rsid w:val="00823414"/>
    <w:rsid w:val="00836B7C"/>
    <w:rsid w:val="008451E8"/>
    <w:rsid w:val="00850EC9"/>
    <w:rsid w:val="0085509F"/>
    <w:rsid w:val="00881C63"/>
    <w:rsid w:val="00892D55"/>
    <w:rsid w:val="008A106B"/>
    <w:rsid w:val="008A3F48"/>
    <w:rsid w:val="008A4992"/>
    <w:rsid w:val="008A4F0A"/>
    <w:rsid w:val="008B022D"/>
    <w:rsid w:val="008B1C39"/>
    <w:rsid w:val="008B26AD"/>
    <w:rsid w:val="008B4E69"/>
    <w:rsid w:val="008C3976"/>
    <w:rsid w:val="008D0061"/>
    <w:rsid w:val="008D3AA9"/>
    <w:rsid w:val="008D5816"/>
    <w:rsid w:val="008F2995"/>
    <w:rsid w:val="008F4C38"/>
    <w:rsid w:val="00910535"/>
    <w:rsid w:val="009164C9"/>
    <w:rsid w:val="009209CA"/>
    <w:rsid w:val="00932D8D"/>
    <w:rsid w:val="009500F4"/>
    <w:rsid w:val="00956D62"/>
    <w:rsid w:val="00981C65"/>
    <w:rsid w:val="00983CC7"/>
    <w:rsid w:val="00983F38"/>
    <w:rsid w:val="0099106C"/>
    <w:rsid w:val="009A09E0"/>
    <w:rsid w:val="009A4690"/>
    <w:rsid w:val="009B6E53"/>
    <w:rsid w:val="009B781E"/>
    <w:rsid w:val="009C3797"/>
    <w:rsid w:val="009D492F"/>
    <w:rsid w:val="009E06C1"/>
    <w:rsid w:val="009E2A82"/>
    <w:rsid w:val="009E3984"/>
    <w:rsid w:val="009E4BFB"/>
    <w:rsid w:val="009F2A5C"/>
    <w:rsid w:val="00A07CDA"/>
    <w:rsid w:val="00A07D59"/>
    <w:rsid w:val="00A176FA"/>
    <w:rsid w:val="00A17839"/>
    <w:rsid w:val="00A27EB9"/>
    <w:rsid w:val="00A30CF9"/>
    <w:rsid w:val="00A31BDB"/>
    <w:rsid w:val="00A37E99"/>
    <w:rsid w:val="00A40963"/>
    <w:rsid w:val="00A437B3"/>
    <w:rsid w:val="00A519F7"/>
    <w:rsid w:val="00A61D09"/>
    <w:rsid w:val="00A626AE"/>
    <w:rsid w:val="00A706E5"/>
    <w:rsid w:val="00A82EE9"/>
    <w:rsid w:val="00A85C94"/>
    <w:rsid w:val="00A92549"/>
    <w:rsid w:val="00A92F98"/>
    <w:rsid w:val="00A95667"/>
    <w:rsid w:val="00AA397A"/>
    <w:rsid w:val="00AB3FAF"/>
    <w:rsid w:val="00AB6CF9"/>
    <w:rsid w:val="00AB775E"/>
    <w:rsid w:val="00AC0A8C"/>
    <w:rsid w:val="00AC3262"/>
    <w:rsid w:val="00AD2EBB"/>
    <w:rsid w:val="00AE1858"/>
    <w:rsid w:val="00AE3342"/>
    <w:rsid w:val="00AE5739"/>
    <w:rsid w:val="00B0564F"/>
    <w:rsid w:val="00B10DCC"/>
    <w:rsid w:val="00B15742"/>
    <w:rsid w:val="00B16FA1"/>
    <w:rsid w:val="00B177EA"/>
    <w:rsid w:val="00B17CEF"/>
    <w:rsid w:val="00B23C5C"/>
    <w:rsid w:val="00B33671"/>
    <w:rsid w:val="00B44945"/>
    <w:rsid w:val="00B46BDE"/>
    <w:rsid w:val="00B54155"/>
    <w:rsid w:val="00B61875"/>
    <w:rsid w:val="00B6246C"/>
    <w:rsid w:val="00B774BD"/>
    <w:rsid w:val="00B80A57"/>
    <w:rsid w:val="00B8412C"/>
    <w:rsid w:val="00B84FB9"/>
    <w:rsid w:val="00B85C66"/>
    <w:rsid w:val="00BA7F5B"/>
    <w:rsid w:val="00BB62C3"/>
    <w:rsid w:val="00BB7F63"/>
    <w:rsid w:val="00BC05D1"/>
    <w:rsid w:val="00BC6662"/>
    <w:rsid w:val="00BE3EDB"/>
    <w:rsid w:val="00BF0358"/>
    <w:rsid w:val="00C04484"/>
    <w:rsid w:val="00C101EF"/>
    <w:rsid w:val="00C10D34"/>
    <w:rsid w:val="00C15070"/>
    <w:rsid w:val="00C21BA2"/>
    <w:rsid w:val="00C311CE"/>
    <w:rsid w:val="00C512AA"/>
    <w:rsid w:val="00C527D4"/>
    <w:rsid w:val="00C625B8"/>
    <w:rsid w:val="00C8748C"/>
    <w:rsid w:val="00C91FF9"/>
    <w:rsid w:val="00CA3C97"/>
    <w:rsid w:val="00CB1D50"/>
    <w:rsid w:val="00CB3601"/>
    <w:rsid w:val="00CD5BC5"/>
    <w:rsid w:val="00CD7615"/>
    <w:rsid w:val="00CE0A8B"/>
    <w:rsid w:val="00CE4F6D"/>
    <w:rsid w:val="00D06199"/>
    <w:rsid w:val="00D0750F"/>
    <w:rsid w:val="00D12EC7"/>
    <w:rsid w:val="00D15711"/>
    <w:rsid w:val="00D2584A"/>
    <w:rsid w:val="00D331FC"/>
    <w:rsid w:val="00D341F9"/>
    <w:rsid w:val="00D37503"/>
    <w:rsid w:val="00D40C15"/>
    <w:rsid w:val="00D40C17"/>
    <w:rsid w:val="00D440DF"/>
    <w:rsid w:val="00D556AD"/>
    <w:rsid w:val="00D56210"/>
    <w:rsid w:val="00D56A78"/>
    <w:rsid w:val="00D752A3"/>
    <w:rsid w:val="00D75373"/>
    <w:rsid w:val="00D83702"/>
    <w:rsid w:val="00D86135"/>
    <w:rsid w:val="00D9179B"/>
    <w:rsid w:val="00DA6D96"/>
    <w:rsid w:val="00DC2F34"/>
    <w:rsid w:val="00DC523B"/>
    <w:rsid w:val="00DC6C70"/>
    <w:rsid w:val="00DD77C1"/>
    <w:rsid w:val="00DE11B4"/>
    <w:rsid w:val="00DE27F3"/>
    <w:rsid w:val="00DF52B5"/>
    <w:rsid w:val="00DF56FB"/>
    <w:rsid w:val="00E01397"/>
    <w:rsid w:val="00E03CF9"/>
    <w:rsid w:val="00E11533"/>
    <w:rsid w:val="00E11E98"/>
    <w:rsid w:val="00E12316"/>
    <w:rsid w:val="00E13202"/>
    <w:rsid w:val="00E15838"/>
    <w:rsid w:val="00E15A65"/>
    <w:rsid w:val="00E16D55"/>
    <w:rsid w:val="00E22D6A"/>
    <w:rsid w:val="00E25D2B"/>
    <w:rsid w:val="00E30294"/>
    <w:rsid w:val="00E30A79"/>
    <w:rsid w:val="00E40441"/>
    <w:rsid w:val="00E42207"/>
    <w:rsid w:val="00E47D62"/>
    <w:rsid w:val="00E5053B"/>
    <w:rsid w:val="00E54B18"/>
    <w:rsid w:val="00E54D3E"/>
    <w:rsid w:val="00E56ACA"/>
    <w:rsid w:val="00E6310F"/>
    <w:rsid w:val="00E662A2"/>
    <w:rsid w:val="00E72A1B"/>
    <w:rsid w:val="00E72D59"/>
    <w:rsid w:val="00E73FED"/>
    <w:rsid w:val="00E75371"/>
    <w:rsid w:val="00E81954"/>
    <w:rsid w:val="00E86C81"/>
    <w:rsid w:val="00E87E8D"/>
    <w:rsid w:val="00E923FA"/>
    <w:rsid w:val="00EB44F2"/>
    <w:rsid w:val="00EC75F6"/>
    <w:rsid w:val="00ED1AD4"/>
    <w:rsid w:val="00EE503D"/>
    <w:rsid w:val="00EE5C10"/>
    <w:rsid w:val="00EE67D1"/>
    <w:rsid w:val="00EE6D74"/>
    <w:rsid w:val="00EF452F"/>
    <w:rsid w:val="00EF5AD0"/>
    <w:rsid w:val="00EF65D7"/>
    <w:rsid w:val="00F27167"/>
    <w:rsid w:val="00F36424"/>
    <w:rsid w:val="00F52C64"/>
    <w:rsid w:val="00F66E74"/>
    <w:rsid w:val="00F8790C"/>
    <w:rsid w:val="00F935F8"/>
    <w:rsid w:val="00F97290"/>
    <w:rsid w:val="00F97A01"/>
    <w:rsid w:val="00FA2651"/>
    <w:rsid w:val="00FA62A5"/>
    <w:rsid w:val="00FB1842"/>
    <w:rsid w:val="00FC074C"/>
    <w:rsid w:val="00FC4007"/>
    <w:rsid w:val="00FD3824"/>
    <w:rsid w:val="00FD4306"/>
    <w:rsid w:val="00FE3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3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52E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952EF"/>
    <w:rPr>
      <w:sz w:val="18"/>
      <w:szCs w:val="18"/>
    </w:rPr>
  </w:style>
  <w:style w:type="character" w:styleId="a4">
    <w:name w:val="Hyperlink"/>
    <w:uiPriority w:val="99"/>
    <w:qFormat/>
    <w:rsid w:val="00C311CE"/>
    <w:rPr>
      <w:color w:val="0000FF"/>
      <w:u w:val="single"/>
    </w:rPr>
  </w:style>
  <w:style w:type="paragraph" w:styleId="a5">
    <w:name w:val="header"/>
    <w:basedOn w:val="a"/>
    <w:link w:val="Char0"/>
    <w:uiPriority w:val="99"/>
    <w:semiHidden/>
    <w:unhideWhenUsed/>
    <w:rsid w:val="001C01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1C011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C01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C011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ftware.broadinstitute.org/gsea/msigdb/genesets.jsp." TargetMode="Externa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gencodegenes.org/" TargetMode="Externa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20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23" Type="http://schemas.openxmlformats.org/officeDocument/2006/relationships/fontTable" Target="fontTable.xml"/><Relationship Id="rId10" Type="http://schemas.openxmlformats.org/officeDocument/2006/relationships/image" Target="media/image2.tiff"/><Relationship Id="rId19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6.tiff"/><Relationship Id="rId22" Type="http://schemas.openxmlformats.org/officeDocument/2006/relationships/image" Target="media/image11.tif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hj\Desktop\&#21407;&#22987;&#25968;&#25454;&#32479;&#35745;&#34920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hhj\Desktop\&#21407;&#22987;&#25968;&#25454;&#32479;&#35745;&#3492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/>
      <c:barChart>
        <c:barDir val="col"/>
        <c:grouping val="percentStacked"/>
        <c:ser>
          <c:idx val="0"/>
          <c:order val="0"/>
          <c:tx>
            <c:strRef>
              <c:f>染色体!$A$2</c:f>
              <c:strCache>
                <c:ptCount val="1"/>
                <c:pt idx="0">
                  <c:v>Complex karyotype </c:v>
                </c:pt>
              </c:strCache>
            </c:strRef>
          </c:tx>
          <c:dLbls>
            <c:dLbl>
              <c:idx val="0"/>
              <c:layout>
                <c:manualLayout>
                  <c:x val="6.666666666666668E-2"/>
                  <c:y val="-4.6296296296297014E-3"/>
                </c:manualLayout>
              </c:layout>
              <c:showVal val="1"/>
            </c:dLbl>
            <c:dLbl>
              <c:idx val="1"/>
              <c:layout>
                <c:manualLayout>
                  <c:x val="5.3302122488842474E-2"/>
                  <c:y val="3.4017335798631101E-2"/>
                </c:manualLayout>
              </c:layout>
              <c:showVal val="1"/>
            </c:dLbl>
            <c:dLbl>
              <c:idx val="2"/>
              <c:layout>
                <c:manualLayout>
                  <c:x val="5.8333333333334306E-2"/>
                  <c:y val="-4.6296296296297014E-3"/>
                </c:manualLayout>
              </c:layout>
              <c:showVal val="1"/>
            </c:dLbl>
            <c:txPr>
              <a:bodyPr/>
              <a:lstStyle/>
              <a:p>
                <a:pPr>
                  <a:defRPr sz="1000" i="1" baseline="0">
                    <a:latin typeface="Arial" pitchFamily="34" charset="0"/>
                  </a:defRPr>
                </a:pPr>
                <a:endParaRPr lang="zh-CN"/>
              </a:p>
            </c:txPr>
            <c:showVal val="1"/>
          </c:dLbls>
          <c:cat>
            <c:strRef>
              <c:f>染色体!$B$1:$D$1</c:f>
              <c:strCache>
                <c:ptCount val="3"/>
                <c:pt idx="0">
                  <c:v>ARC&lt;19.4</c:v>
                </c:pt>
                <c:pt idx="1">
                  <c:v>19.4≤ARC&lt;43</c:v>
                </c:pt>
                <c:pt idx="2">
                  <c:v>ARC≥43</c:v>
                </c:pt>
              </c:strCache>
            </c:strRef>
          </c:cat>
          <c:val>
            <c:numRef>
              <c:f>染色体!$B$2:$D$2</c:f>
              <c:numCache>
                <c:formatCode>General</c:formatCode>
                <c:ptCount val="3"/>
                <c:pt idx="0">
                  <c:v>27.4</c:v>
                </c:pt>
                <c:pt idx="1">
                  <c:v>20</c:v>
                </c:pt>
                <c:pt idx="2">
                  <c:v>9.1</c:v>
                </c:pt>
              </c:numCache>
            </c:numRef>
          </c:val>
        </c:ser>
        <c:ser>
          <c:idx val="1"/>
          <c:order val="1"/>
          <c:tx>
            <c:strRef>
              <c:f>染色体!$A$3</c:f>
              <c:strCache>
                <c:ptCount val="1"/>
                <c:pt idx="0">
                  <c:v>Non-complex karyotype</c:v>
                </c:pt>
              </c:strCache>
            </c:strRef>
          </c:tx>
          <c:dLbls>
            <c:dLbl>
              <c:idx val="0"/>
              <c:layout>
                <c:manualLayout>
                  <c:x val="6.3888888888888884E-2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5.3302122488842474E-2"/>
                  <c:y val="4.2511779749420914E-2"/>
                </c:manualLayout>
              </c:layout>
              <c:showVal val="1"/>
            </c:dLbl>
            <c:dLbl>
              <c:idx val="2"/>
              <c:layout>
                <c:manualLayout>
                  <c:x val="6.3888888888888884E-2"/>
                  <c:y val="-4.6296296296297014E-3"/>
                </c:manualLayout>
              </c:layout>
              <c:showVal val="1"/>
            </c:dLbl>
            <c:txPr>
              <a:bodyPr/>
              <a:lstStyle/>
              <a:p>
                <a:pPr>
                  <a:defRPr sz="1000" i="1" baseline="0">
                    <a:latin typeface="Arial" pitchFamily="34" charset="0"/>
                  </a:defRPr>
                </a:pPr>
                <a:endParaRPr lang="zh-CN"/>
              </a:p>
            </c:txPr>
            <c:showVal val="1"/>
          </c:dLbls>
          <c:cat>
            <c:strRef>
              <c:f>染色体!$B$1:$D$1</c:f>
              <c:strCache>
                <c:ptCount val="3"/>
                <c:pt idx="0">
                  <c:v>ARC&lt;19.4</c:v>
                </c:pt>
                <c:pt idx="1">
                  <c:v>19.4≤ARC&lt;43</c:v>
                </c:pt>
                <c:pt idx="2">
                  <c:v>ARC≥43</c:v>
                </c:pt>
              </c:strCache>
            </c:strRef>
          </c:cat>
          <c:val>
            <c:numRef>
              <c:f>染色体!$B$3:$D$3</c:f>
              <c:numCache>
                <c:formatCode>General</c:formatCode>
                <c:ptCount val="3"/>
                <c:pt idx="0">
                  <c:v>72.599999999999994</c:v>
                </c:pt>
                <c:pt idx="1">
                  <c:v>80</c:v>
                </c:pt>
                <c:pt idx="2">
                  <c:v>90.9</c:v>
                </c:pt>
              </c:numCache>
            </c:numRef>
          </c:val>
        </c:ser>
        <c:overlap val="100"/>
        <c:axId val="254780928"/>
        <c:axId val="49627520"/>
      </c:barChart>
      <c:catAx>
        <c:axId val="254780928"/>
        <c:scaling>
          <c:orientation val="minMax"/>
        </c:scaling>
        <c:axPos val="b"/>
        <c:tickLblPos val="nextTo"/>
        <c:txPr>
          <a:bodyPr/>
          <a:lstStyle/>
          <a:p>
            <a:pPr>
              <a:defRPr sz="1000" baseline="0">
                <a:latin typeface="Arial" pitchFamily="34" charset="0"/>
              </a:defRPr>
            </a:pPr>
            <a:endParaRPr lang="zh-CN"/>
          </a:p>
        </c:txPr>
        <c:crossAx val="49627520"/>
        <c:crosses val="autoZero"/>
        <c:auto val="1"/>
        <c:lblAlgn val="ctr"/>
        <c:lblOffset val="100"/>
      </c:catAx>
      <c:valAx>
        <c:axId val="49627520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000" baseline="0">
                <a:latin typeface="Arial" pitchFamily="34" charset="0"/>
              </a:defRPr>
            </a:pPr>
            <a:endParaRPr lang="zh-CN"/>
          </a:p>
        </c:txPr>
        <c:crossAx val="254780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472375137694898"/>
          <c:y val="0.43393359033129381"/>
          <c:w val="0.29391965494759031"/>
          <c:h val="0.14449663157532538"/>
        </c:manualLayout>
      </c:layout>
      <c:txPr>
        <a:bodyPr/>
        <a:lstStyle/>
        <a:p>
          <a:pPr>
            <a:defRPr sz="1000" baseline="0">
              <a:latin typeface="Arial" pitchFamily="34" charset="0"/>
            </a:defRPr>
          </a:pPr>
          <a:endParaRPr lang="zh-CN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>
        <c:manualLayout>
          <c:layoutTarget val="inner"/>
          <c:xMode val="edge"/>
          <c:yMode val="edge"/>
          <c:x val="0.14943998272036998"/>
          <c:y val="8.5980524623771089E-3"/>
          <c:w val="0.67567248211621678"/>
          <c:h val="0.93092621664052333"/>
        </c:manualLayout>
      </c:layout>
      <c:barChart>
        <c:barDir val="bar"/>
        <c:grouping val="stacked"/>
        <c:ser>
          <c:idx val="0"/>
          <c:order val="0"/>
          <c:tx>
            <c:strRef>
              <c:f>基因分部!$B$1</c:f>
              <c:strCache>
                <c:ptCount val="1"/>
                <c:pt idx="0">
                  <c:v>ARC&lt;19.4</c:v>
                </c:pt>
              </c:strCache>
            </c:strRef>
          </c:tx>
          <c:dLbls>
            <c:dLbl>
              <c:idx val="0"/>
              <c:layout>
                <c:manualLayout>
                  <c:x val="4.4887780548629685E-2"/>
                  <c:y val="2.3668639053254438E-3"/>
                </c:manualLayout>
              </c:layout>
              <c:showVal val="1"/>
            </c:dLbl>
            <c:dLbl>
              <c:idx val="1"/>
              <c:layout>
                <c:manualLayout>
                  <c:x val="6.9543569241716424E-2"/>
                  <c:y val="-2.4271844660194715E-3"/>
                </c:manualLayout>
              </c:layout>
              <c:showVal val="1"/>
            </c:dLbl>
            <c:dLbl>
              <c:idx val="2"/>
              <c:layout>
                <c:manualLayout>
                  <c:x val="2.6737573380022212E-2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2.9628582396284867E-2"/>
                  <c:y val="0"/>
                </c:manualLayout>
              </c:layout>
              <c:showVal val="1"/>
            </c:dLbl>
            <c:dLbl>
              <c:idx val="4"/>
              <c:layout>
                <c:manualLayout>
                  <c:x val="2.9231230162817499E-2"/>
                  <c:y val="8.8995735667717849E-17"/>
                </c:manualLayout>
              </c:layout>
              <c:showVal val="1"/>
            </c:dLbl>
            <c:dLbl>
              <c:idx val="5"/>
              <c:layout>
                <c:manualLayout>
                  <c:x val="3.7753330774200809E-2"/>
                  <c:y val="-1.9111688708814833E-7"/>
                </c:manualLayout>
              </c:layout>
              <c:showVal val="1"/>
            </c:dLbl>
            <c:dLbl>
              <c:idx val="6"/>
              <c:layout>
                <c:manualLayout>
                  <c:x val="3.3112810958083272E-2"/>
                  <c:y val="0"/>
                </c:manualLayout>
              </c:layout>
              <c:showVal val="1"/>
            </c:dLbl>
            <c:dLbl>
              <c:idx val="7"/>
              <c:layout>
                <c:manualLayout>
                  <c:x val="3.3112810958083272E-2"/>
                  <c:y val="0"/>
                </c:manualLayout>
              </c:layout>
              <c:showVal val="1"/>
            </c:dLbl>
            <c:dLbl>
              <c:idx val="8"/>
              <c:layout>
                <c:manualLayout>
                  <c:x val="3.5375209490015012E-2"/>
                  <c:y val="-2.3667915296995646E-3"/>
                </c:manualLayout>
              </c:layout>
              <c:showVal val="1"/>
            </c:dLbl>
            <c:dLbl>
              <c:idx val="9"/>
              <c:layout>
                <c:manualLayout>
                  <c:x val="3.6250058516764432E-2"/>
                  <c:y val="0"/>
                </c:manualLayout>
              </c:layout>
              <c:showVal val="1"/>
            </c:dLbl>
            <c:dLbl>
              <c:idx val="10"/>
              <c:layout>
                <c:manualLayout>
                  <c:x val="4.8140664937691924E-2"/>
                  <c:y val="2.4271844660194715E-3"/>
                </c:manualLayout>
              </c:layout>
              <c:showVal val="1"/>
            </c:dLbl>
            <c:dLbl>
              <c:idx val="11"/>
              <c:layout>
                <c:manualLayout>
                  <c:x val="3.5490932242268805E-2"/>
                  <c:y val="-2.3667915296995646E-3"/>
                </c:manualLayout>
              </c:layout>
              <c:showVal val="1"/>
            </c:dLbl>
            <c:dLbl>
              <c:idx val="12"/>
              <c:layout>
                <c:manualLayout>
                  <c:x val="4.8140664937691924E-2"/>
                  <c:y val="0"/>
                </c:manualLayout>
              </c:layout>
              <c:showVal val="1"/>
            </c:dLbl>
            <c:dLbl>
              <c:idx val="13"/>
              <c:layout>
                <c:manualLayout>
                  <c:x val="3.3163182188433345E-2"/>
                  <c:y val="0"/>
                </c:manualLayout>
              </c:layout>
              <c:showVal val="1"/>
            </c:dLbl>
            <c:dLbl>
              <c:idx val="14"/>
              <c:layout>
                <c:manualLayout>
                  <c:x val="5.0518786221876923E-2"/>
                  <c:y val="0"/>
                </c:manualLayout>
              </c:layout>
              <c:showVal val="1"/>
            </c:dLbl>
            <c:dLbl>
              <c:idx val="15"/>
              <c:layout>
                <c:manualLayout>
                  <c:x val="5.9156422331869733E-2"/>
                  <c:y val="0"/>
                </c:manualLayout>
              </c:layout>
              <c:showVal val="1"/>
            </c:dLbl>
            <c:dLbl>
              <c:idx val="16"/>
              <c:layout>
                <c:manualLayout>
                  <c:x val="7.5918994073422924E-2"/>
                  <c:y val="-6.0392936319854922E-5"/>
                </c:manualLayout>
              </c:layout>
              <c:showVal val="1"/>
            </c:dLbl>
            <c:dLbl>
              <c:idx val="17"/>
              <c:layout>
                <c:manualLayout>
                  <c:x val="2.9115694664207423E-2"/>
                  <c:y val="-4.7939759957189914E-3"/>
                </c:manualLayout>
              </c:layout>
              <c:showVal val="1"/>
            </c:dLbl>
            <c:dLbl>
              <c:idx val="18"/>
              <c:layout>
                <c:manualLayout>
                  <c:x val="3.2006703680470996E-2"/>
                  <c:y val="0"/>
                </c:manualLayout>
              </c:layout>
              <c:showVal val="1"/>
            </c:dLbl>
            <c:dLbl>
              <c:idx val="19"/>
              <c:layout>
                <c:manualLayout>
                  <c:x val="6.9543569241716424E-2"/>
                  <c:y val="0"/>
                </c:manualLayout>
              </c:layout>
              <c:showVal val="1"/>
            </c:dLbl>
            <c:dLbl>
              <c:idx val="20"/>
              <c:layout>
                <c:manualLayout>
                  <c:x val="8.6190605484659746E-2"/>
                  <c:y val="-2.4271844660194706E-3"/>
                </c:manualLayout>
              </c:layout>
              <c:showVal val="1"/>
            </c:dLbl>
            <c:dLbl>
              <c:idx val="21"/>
              <c:layout>
                <c:manualLayout>
                  <c:x val="1.2468827930174564E-2"/>
                  <c:y val="0"/>
                </c:manualLayout>
              </c:layout>
              <c:showVal val="1"/>
            </c:dLbl>
            <c:dLbl>
              <c:idx val="22"/>
              <c:layout>
                <c:manualLayout>
                  <c:x val="1.2468827930174564E-2"/>
                  <c:y val="0"/>
                </c:manualLayout>
              </c:layout>
              <c:showVal val="1"/>
            </c:dLbl>
            <c:dLbl>
              <c:idx val="23"/>
              <c:layout>
                <c:manualLayout>
                  <c:x val="1.2468827930174564E-2"/>
                  <c:y val="0"/>
                </c:manualLayout>
              </c:layout>
              <c:showVal val="1"/>
            </c:dLbl>
            <c:dLbl>
              <c:idx val="24"/>
              <c:layout>
                <c:manualLayout>
                  <c:x val="1.2468827930174564E-2"/>
                  <c:y val="-1.8636723663980567E-7"/>
                </c:manualLayout>
              </c:layout>
              <c:showVal val="1"/>
            </c:dLbl>
            <c:dLbl>
              <c:idx val="25"/>
              <c:layout>
                <c:manualLayout>
                  <c:x val="4.7381546134663381E-2"/>
                  <c:y val="-2.3668639053254438E-3"/>
                </c:manualLayout>
              </c:layout>
              <c:showVal val="1"/>
            </c:dLbl>
            <c:dLbl>
              <c:idx val="26"/>
              <c:layout>
                <c:manualLayout>
                  <c:x val="1.2468827930174564E-2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i="1">
                    <a:latin typeface="+mn-lt"/>
                  </a:defRPr>
                </a:pPr>
                <a:endParaRPr lang="zh-CN"/>
              </a:p>
            </c:txPr>
            <c:showVal val="1"/>
          </c:dLbls>
          <c:cat>
            <c:strRef>
              <c:f>基因分部!$A$2:$A$22</c:f>
              <c:strCache>
                <c:ptCount val="21"/>
                <c:pt idx="0">
                  <c:v>NPM1</c:v>
                </c:pt>
                <c:pt idx="1">
                  <c:v>TP53</c:v>
                </c:pt>
                <c:pt idx="2">
                  <c:v>MPL</c:v>
                </c:pt>
                <c:pt idx="3">
                  <c:v>JAK2</c:v>
                </c:pt>
                <c:pt idx="4">
                  <c:v>FLT3</c:v>
                </c:pt>
                <c:pt idx="5">
                  <c:v>PTPN11</c:v>
                </c:pt>
                <c:pt idx="6">
                  <c:v>KRAS</c:v>
                </c:pt>
                <c:pt idx="7">
                  <c:v>NRAS</c:v>
                </c:pt>
                <c:pt idx="8">
                  <c:v>WT1</c:v>
                </c:pt>
                <c:pt idx="9">
                  <c:v>CEBPA</c:v>
                </c:pt>
                <c:pt idx="10">
                  <c:v>RUNX1</c:v>
                </c:pt>
                <c:pt idx="11">
                  <c:v>EZH2</c:v>
                </c:pt>
                <c:pt idx="12">
                  <c:v>SETBP1</c:v>
                </c:pt>
                <c:pt idx="13">
                  <c:v>IDH1</c:v>
                </c:pt>
                <c:pt idx="14">
                  <c:v>DNMT3A</c:v>
                </c:pt>
                <c:pt idx="15">
                  <c:v>TET2</c:v>
                </c:pt>
                <c:pt idx="16">
                  <c:v>ASXL1</c:v>
                </c:pt>
                <c:pt idx="17">
                  <c:v>ZRSR2</c:v>
                </c:pt>
                <c:pt idx="18">
                  <c:v>SRSF2</c:v>
                </c:pt>
                <c:pt idx="19">
                  <c:v>SF3B1</c:v>
                </c:pt>
                <c:pt idx="20">
                  <c:v>U2AF1</c:v>
                </c:pt>
              </c:strCache>
            </c:strRef>
          </c:cat>
          <c:val>
            <c:numRef>
              <c:f>基因分部!$B$2:$B$22</c:f>
              <c:numCache>
                <c:formatCode>General</c:formatCode>
                <c:ptCount val="21"/>
                <c:pt idx="0">
                  <c:v>6.2</c:v>
                </c:pt>
                <c:pt idx="1">
                  <c:v>13</c:v>
                </c:pt>
                <c:pt idx="2">
                  <c:v>1.2</c:v>
                </c:pt>
                <c:pt idx="3">
                  <c:v>1.3</c:v>
                </c:pt>
                <c:pt idx="4">
                  <c:v>1.9000000000000001</c:v>
                </c:pt>
                <c:pt idx="5">
                  <c:v>3.7</c:v>
                </c:pt>
                <c:pt idx="6">
                  <c:v>1.2</c:v>
                </c:pt>
                <c:pt idx="7">
                  <c:v>5</c:v>
                </c:pt>
                <c:pt idx="8">
                  <c:v>2.5</c:v>
                </c:pt>
                <c:pt idx="9">
                  <c:v>3.1</c:v>
                </c:pt>
                <c:pt idx="10">
                  <c:v>6.2</c:v>
                </c:pt>
                <c:pt idx="11">
                  <c:v>1.9000000000000001</c:v>
                </c:pt>
                <c:pt idx="12">
                  <c:v>6.2</c:v>
                </c:pt>
                <c:pt idx="13">
                  <c:v>1.9000000000000001</c:v>
                </c:pt>
                <c:pt idx="14">
                  <c:v>8.1</c:v>
                </c:pt>
                <c:pt idx="15">
                  <c:v>9.9</c:v>
                </c:pt>
                <c:pt idx="16">
                  <c:v>11.8</c:v>
                </c:pt>
                <c:pt idx="17">
                  <c:v>2.5</c:v>
                </c:pt>
                <c:pt idx="18">
                  <c:v>1.9000000000000001</c:v>
                </c:pt>
                <c:pt idx="19">
                  <c:v>13</c:v>
                </c:pt>
                <c:pt idx="20">
                  <c:v>14.9</c:v>
                </c:pt>
              </c:numCache>
            </c:numRef>
          </c:val>
        </c:ser>
        <c:ser>
          <c:idx val="1"/>
          <c:order val="1"/>
          <c:tx>
            <c:strRef>
              <c:f>基因分部!$C$1</c:f>
              <c:strCache>
                <c:ptCount val="1"/>
              </c:strCache>
            </c:strRef>
          </c:tx>
          <c:spPr>
            <a:noFill/>
          </c:spPr>
          <c:cat>
            <c:strRef>
              <c:f>基因分部!$A$2:$A$22</c:f>
              <c:strCache>
                <c:ptCount val="21"/>
                <c:pt idx="0">
                  <c:v>NPM1</c:v>
                </c:pt>
                <c:pt idx="1">
                  <c:v>TP53</c:v>
                </c:pt>
                <c:pt idx="2">
                  <c:v>MPL</c:v>
                </c:pt>
                <c:pt idx="3">
                  <c:v>JAK2</c:v>
                </c:pt>
                <c:pt idx="4">
                  <c:v>FLT3</c:v>
                </c:pt>
                <c:pt idx="5">
                  <c:v>PTPN11</c:v>
                </c:pt>
                <c:pt idx="6">
                  <c:v>KRAS</c:v>
                </c:pt>
                <c:pt idx="7">
                  <c:v>NRAS</c:v>
                </c:pt>
                <c:pt idx="8">
                  <c:v>WT1</c:v>
                </c:pt>
                <c:pt idx="9">
                  <c:v>CEBPA</c:v>
                </c:pt>
                <c:pt idx="10">
                  <c:v>RUNX1</c:v>
                </c:pt>
                <c:pt idx="11">
                  <c:v>EZH2</c:v>
                </c:pt>
                <c:pt idx="12">
                  <c:v>SETBP1</c:v>
                </c:pt>
                <c:pt idx="13">
                  <c:v>IDH1</c:v>
                </c:pt>
                <c:pt idx="14">
                  <c:v>DNMT3A</c:v>
                </c:pt>
                <c:pt idx="15">
                  <c:v>TET2</c:v>
                </c:pt>
                <c:pt idx="16">
                  <c:v>ASXL1</c:v>
                </c:pt>
                <c:pt idx="17">
                  <c:v>ZRSR2</c:v>
                </c:pt>
                <c:pt idx="18">
                  <c:v>SRSF2</c:v>
                </c:pt>
                <c:pt idx="19">
                  <c:v>SF3B1</c:v>
                </c:pt>
                <c:pt idx="20">
                  <c:v>U2AF1</c:v>
                </c:pt>
              </c:strCache>
            </c:strRef>
          </c:cat>
          <c:val>
            <c:numRef>
              <c:f>基因分部!$C$2:$C$22</c:f>
              <c:numCache>
                <c:formatCode>General</c:formatCode>
                <c:ptCount val="21"/>
                <c:pt idx="0">
                  <c:v>23.8</c:v>
                </c:pt>
                <c:pt idx="1">
                  <c:v>17</c:v>
                </c:pt>
                <c:pt idx="2">
                  <c:v>28.8</c:v>
                </c:pt>
                <c:pt idx="3">
                  <c:v>28.7</c:v>
                </c:pt>
                <c:pt idx="4">
                  <c:v>28.1</c:v>
                </c:pt>
                <c:pt idx="5">
                  <c:v>26.3</c:v>
                </c:pt>
                <c:pt idx="6">
                  <c:v>28.8</c:v>
                </c:pt>
                <c:pt idx="7">
                  <c:v>25</c:v>
                </c:pt>
                <c:pt idx="8">
                  <c:v>27.5</c:v>
                </c:pt>
                <c:pt idx="9">
                  <c:v>26.9</c:v>
                </c:pt>
                <c:pt idx="10">
                  <c:v>23.8</c:v>
                </c:pt>
                <c:pt idx="11">
                  <c:v>28.1</c:v>
                </c:pt>
                <c:pt idx="12">
                  <c:v>23.8</c:v>
                </c:pt>
                <c:pt idx="13">
                  <c:v>28.1</c:v>
                </c:pt>
                <c:pt idx="14">
                  <c:v>21.9</c:v>
                </c:pt>
                <c:pt idx="15">
                  <c:v>20.100000000000001</c:v>
                </c:pt>
                <c:pt idx="16">
                  <c:v>18.2</c:v>
                </c:pt>
                <c:pt idx="17">
                  <c:v>27.5</c:v>
                </c:pt>
                <c:pt idx="18">
                  <c:v>28.1</c:v>
                </c:pt>
                <c:pt idx="19">
                  <c:v>17</c:v>
                </c:pt>
                <c:pt idx="20">
                  <c:v>15.1</c:v>
                </c:pt>
              </c:numCache>
            </c:numRef>
          </c:val>
        </c:ser>
        <c:ser>
          <c:idx val="2"/>
          <c:order val="2"/>
          <c:tx>
            <c:strRef>
              <c:f>基因分部!$D$1</c:f>
              <c:strCache>
                <c:ptCount val="1"/>
                <c:pt idx="0">
                  <c:v>19.4≤ARC&lt;43</c:v>
                </c:pt>
              </c:strCache>
            </c:strRef>
          </c:tx>
          <c:spPr>
            <a:solidFill>
              <a:schemeClr val="accent2"/>
            </a:solidFill>
          </c:spPr>
          <c:dLbls>
            <c:dLbl>
              <c:idx val="0"/>
              <c:layout>
                <c:manualLayout>
                  <c:x val="3.7688166505940812E-2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4.587807915211551E-2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2.6903667362626411E-2"/>
                  <c:y val="2.3667915296995646E-3"/>
                </c:manualLayout>
              </c:layout>
              <c:showVal val="1"/>
            </c:dLbl>
            <c:dLbl>
              <c:idx val="3"/>
              <c:layout>
                <c:manualLayout>
                  <c:x val="2.9281788646811611E-2"/>
                  <c:y val="-6.0392936319854922E-5"/>
                </c:manualLayout>
              </c:layout>
              <c:showVal val="1"/>
            </c:dLbl>
            <c:dLbl>
              <c:idx val="4"/>
              <c:layout>
                <c:manualLayout>
                  <c:x val="2.9281788646811611E-2"/>
                  <c:y val="8.8995735667717849E-17"/>
                </c:manualLayout>
              </c:layout>
              <c:showVal val="1"/>
            </c:dLbl>
            <c:dLbl>
              <c:idx val="5"/>
              <c:layout>
                <c:manualLayout>
                  <c:x val="3.142865168013334E-2"/>
                  <c:y val="-4.8257013989756183E-4"/>
                </c:manualLayout>
              </c:layout>
              <c:showVal val="1"/>
            </c:dLbl>
            <c:dLbl>
              <c:idx val="6"/>
              <c:layout>
                <c:manualLayout>
                  <c:x val="3.1247764659620203E-2"/>
                  <c:y val="0"/>
                </c:manualLayout>
              </c:layout>
              <c:showVal val="1"/>
            </c:dLbl>
            <c:dLbl>
              <c:idx val="7"/>
              <c:layout>
                <c:manualLayout>
                  <c:x val="3.3344069208946975E-2"/>
                  <c:y val="0"/>
                </c:manualLayout>
              </c:layout>
              <c:showVal val="1"/>
            </c:dLbl>
            <c:dLbl>
              <c:idx val="8"/>
              <c:layout>
                <c:manualLayout>
                  <c:x val="2.8703549392830027E-2"/>
                  <c:y val="2.3667915296995646E-3"/>
                </c:manualLayout>
              </c:layout>
              <c:showVal val="1"/>
            </c:dLbl>
            <c:dLbl>
              <c:idx val="9"/>
              <c:layout>
                <c:manualLayout>
                  <c:x val="3.0272173172170968E-2"/>
                  <c:y val="-2.3667915296995646E-3"/>
                </c:manualLayout>
              </c:layout>
              <c:showVal val="1"/>
            </c:dLbl>
            <c:dLbl>
              <c:idx val="10"/>
              <c:layout>
                <c:manualLayout>
                  <c:x val="5.5275028790247767E-2"/>
                  <c:y val="0"/>
                </c:manualLayout>
              </c:layout>
              <c:showVal val="1"/>
            </c:dLbl>
            <c:dLbl>
              <c:idx val="11"/>
              <c:layout>
                <c:manualLayout>
                  <c:x val="3.5837913245386682E-2"/>
                  <c:y val="2.3667915296995646E-3"/>
                </c:manualLayout>
              </c:layout>
              <c:showVal val="1"/>
            </c:dLbl>
            <c:dLbl>
              <c:idx val="12"/>
              <c:layout>
                <c:manualLayout>
                  <c:x val="4.5762543653505933E-2"/>
                  <c:y val="0"/>
                </c:manualLayout>
              </c:layout>
              <c:showVal val="1"/>
            </c:dLbl>
            <c:dLbl>
              <c:idx val="13"/>
              <c:layout>
                <c:manualLayout>
                  <c:x val="3.9900249376558602E-2"/>
                  <c:y val="0"/>
                </c:manualLayout>
              </c:layout>
              <c:showVal val="1"/>
            </c:dLbl>
            <c:dLbl>
              <c:idx val="14"/>
              <c:layout>
                <c:manualLayout>
                  <c:x val="4.5762169146217134E-2"/>
                  <c:y val="0"/>
                </c:manualLayout>
              </c:layout>
              <c:showVal val="1"/>
            </c:dLbl>
            <c:dLbl>
              <c:idx val="15"/>
              <c:layout>
                <c:manualLayout>
                  <c:x val="3.7406483790523692E-2"/>
                  <c:y val="0"/>
                </c:manualLayout>
              </c:layout>
              <c:showVal val="1"/>
            </c:dLbl>
            <c:dLbl>
              <c:idx val="16"/>
              <c:layout>
                <c:manualLayout>
                  <c:x val="7.2037413278155923E-2"/>
                  <c:y val="0"/>
                </c:manualLayout>
              </c:layout>
              <c:showVal val="1"/>
            </c:dLbl>
            <c:dLbl>
              <c:idx val="17"/>
              <c:layout>
                <c:manualLayout>
                  <c:x val="1.2468827930174517E-2"/>
                  <c:y val="2.3668639053254438E-3"/>
                </c:manualLayout>
              </c:layout>
              <c:showVal val="1"/>
            </c:dLbl>
            <c:dLbl>
              <c:idx val="18"/>
              <c:layout>
                <c:manualLayout>
                  <c:x val="3.8794273783553691E-2"/>
                  <c:y val="-4.8257013989756183E-4"/>
                </c:manualLayout>
              </c:layout>
              <c:showVal val="1"/>
            </c:dLbl>
            <c:dLbl>
              <c:idx val="19"/>
              <c:layout>
                <c:manualLayout>
                  <c:x val="7.562238430065446E-2"/>
                  <c:y val="-2.3065897102668002E-3"/>
                </c:manualLayout>
              </c:layout>
              <c:showVal val="1"/>
            </c:dLbl>
            <c:dLbl>
              <c:idx val="20"/>
              <c:layout>
                <c:manualLayout>
                  <c:x val="0.10521557575814483"/>
                  <c:y val="1.3905583698081243E-18"/>
                </c:manualLayout>
              </c:layout>
              <c:showVal val="1"/>
            </c:dLbl>
            <c:dLbl>
              <c:idx val="21"/>
              <c:layout>
                <c:manualLayout>
                  <c:x val="3.7406483790523692E-2"/>
                  <c:y val="0"/>
                </c:manualLayout>
              </c:layout>
              <c:showVal val="1"/>
            </c:dLbl>
            <c:dLbl>
              <c:idx val="22"/>
              <c:layout>
                <c:manualLayout>
                  <c:x val="3.7406483790523692E-2"/>
                  <c:y val="0"/>
                </c:manualLayout>
              </c:layout>
              <c:showVal val="1"/>
            </c:dLbl>
            <c:dLbl>
              <c:idx val="23"/>
              <c:layout>
                <c:manualLayout>
                  <c:x val="1.2468827930174517E-2"/>
                  <c:y val="0"/>
                </c:manualLayout>
              </c:layout>
              <c:showVal val="1"/>
            </c:dLbl>
            <c:dLbl>
              <c:idx val="24"/>
              <c:layout>
                <c:manualLayout>
                  <c:x val="1.2468435211184781E-2"/>
                  <c:y val="-1.8636723663980567E-7"/>
                </c:manualLayout>
              </c:layout>
              <c:showVal val="1"/>
            </c:dLbl>
            <c:dLbl>
              <c:idx val="25"/>
              <c:layout>
                <c:manualLayout>
                  <c:x val="1.2468827930174517E-2"/>
                  <c:y val="0"/>
                </c:manualLayout>
              </c:layout>
              <c:showVal val="1"/>
            </c:dLbl>
            <c:dLbl>
              <c:idx val="26"/>
              <c:layout>
                <c:manualLayout>
                  <c:x val="3.9900249376558602E-2"/>
                  <c:y val="2.3668639053254438E-3"/>
                </c:manualLayout>
              </c:layout>
              <c:showVal val="1"/>
            </c:dLbl>
            <c:txPr>
              <a:bodyPr/>
              <a:lstStyle/>
              <a:p>
                <a:pPr>
                  <a:defRPr i="1">
                    <a:latin typeface="+mn-lt"/>
                  </a:defRPr>
                </a:pPr>
                <a:endParaRPr lang="zh-CN"/>
              </a:p>
            </c:txPr>
            <c:showVal val="1"/>
          </c:dLbls>
          <c:cat>
            <c:strRef>
              <c:f>基因分部!$A$2:$A$22</c:f>
              <c:strCache>
                <c:ptCount val="21"/>
                <c:pt idx="0">
                  <c:v>NPM1</c:v>
                </c:pt>
                <c:pt idx="1">
                  <c:v>TP53</c:v>
                </c:pt>
                <c:pt idx="2">
                  <c:v>MPL</c:v>
                </c:pt>
                <c:pt idx="3">
                  <c:v>JAK2</c:v>
                </c:pt>
                <c:pt idx="4">
                  <c:v>FLT3</c:v>
                </c:pt>
                <c:pt idx="5">
                  <c:v>PTPN11</c:v>
                </c:pt>
                <c:pt idx="6">
                  <c:v>KRAS</c:v>
                </c:pt>
                <c:pt idx="7">
                  <c:v>NRAS</c:v>
                </c:pt>
                <c:pt idx="8">
                  <c:v>WT1</c:v>
                </c:pt>
                <c:pt idx="9">
                  <c:v>CEBPA</c:v>
                </c:pt>
                <c:pt idx="10">
                  <c:v>RUNX1</c:v>
                </c:pt>
                <c:pt idx="11">
                  <c:v>EZH2</c:v>
                </c:pt>
                <c:pt idx="12">
                  <c:v>SETBP1</c:v>
                </c:pt>
                <c:pt idx="13">
                  <c:v>IDH1</c:v>
                </c:pt>
                <c:pt idx="14">
                  <c:v>DNMT3A</c:v>
                </c:pt>
                <c:pt idx="15">
                  <c:v>TET2</c:v>
                </c:pt>
                <c:pt idx="16">
                  <c:v>ASXL1</c:v>
                </c:pt>
                <c:pt idx="17">
                  <c:v>ZRSR2</c:v>
                </c:pt>
                <c:pt idx="18">
                  <c:v>SRSF2</c:v>
                </c:pt>
                <c:pt idx="19">
                  <c:v>SF3B1</c:v>
                </c:pt>
                <c:pt idx="20">
                  <c:v>U2AF1</c:v>
                </c:pt>
              </c:strCache>
            </c:strRef>
          </c:cat>
          <c:val>
            <c:numRef>
              <c:f>基因分部!$D$2:$D$22</c:f>
              <c:numCache>
                <c:formatCode>General</c:formatCode>
                <c:ptCount val="21"/>
                <c:pt idx="0">
                  <c:v>2.2000000000000002</c:v>
                </c:pt>
                <c:pt idx="1">
                  <c:v>6.7</c:v>
                </c:pt>
                <c:pt idx="2">
                  <c:v>0.4</c:v>
                </c:pt>
                <c:pt idx="3">
                  <c:v>1.4</c:v>
                </c:pt>
                <c:pt idx="4">
                  <c:v>0.4</c:v>
                </c:pt>
                <c:pt idx="5">
                  <c:v>2.2000000000000002</c:v>
                </c:pt>
                <c:pt idx="6">
                  <c:v>1.8</c:v>
                </c:pt>
                <c:pt idx="7">
                  <c:v>4</c:v>
                </c:pt>
                <c:pt idx="8">
                  <c:v>0.4</c:v>
                </c:pt>
                <c:pt idx="9">
                  <c:v>1.3</c:v>
                </c:pt>
                <c:pt idx="10">
                  <c:v>8.6</c:v>
                </c:pt>
                <c:pt idx="11">
                  <c:v>1.8</c:v>
                </c:pt>
                <c:pt idx="12">
                  <c:v>6.3</c:v>
                </c:pt>
                <c:pt idx="13">
                  <c:v>2.7</c:v>
                </c:pt>
                <c:pt idx="14">
                  <c:v>6.3</c:v>
                </c:pt>
                <c:pt idx="15">
                  <c:v>4.9000000000000004</c:v>
                </c:pt>
                <c:pt idx="16">
                  <c:v>11.7</c:v>
                </c:pt>
                <c:pt idx="17">
                  <c:v>0</c:v>
                </c:pt>
                <c:pt idx="18">
                  <c:v>3.6</c:v>
                </c:pt>
                <c:pt idx="19">
                  <c:v>11.7</c:v>
                </c:pt>
                <c:pt idx="20">
                  <c:v>20.6</c:v>
                </c:pt>
              </c:numCache>
            </c:numRef>
          </c:val>
        </c:ser>
        <c:ser>
          <c:idx val="3"/>
          <c:order val="3"/>
          <c:tx>
            <c:strRef>
              <c:f>基因分部!$E$1</c:f>
              <c:strCache>
                <c:ptCount val="1"/>
              </c:strCache>
            </c:strRef>
          </c:tx>
          <c:spPr>
            <a:noFill/>
          </c:spPr>
          <c:cat>
            <c:strRef>
              <c:f>基因分部!$A$2:$A$22</c:f>
              <c:strCache>
                <c:ptCount val="21"/>
                <c:pt idx="0">
                  <c:v>NPM1</c:v>
                </c:pt>
                <c:pt idx="1">
                  <c:v>TP53</c:v>
                </c:pt>
                <c:pt idx="2">
                  <c:v>MPL</c:v>
                </c:pt>
                <c:pt idx="3">
                  <c:v>JAK2</c:v>
                </c:pt>
                <c:pt idx="4">
                  <c:v>FLT3</c:v>
                </c:pt>
                <c:pt idx="5">
                  <c:v>PTPN11</c:v>
                </c:pt>
                <c:pt idx="6">
                  <c:v>KRAS</c:v>
                </c:pt>
                <c:pt idx="7">
                  <c:v>NRAS</c:v>
                </c:pt>
                <c:pt idx="8">
                  <c:v>WT1</c:v>
                </c:pt>
                <c:pt idx="9">
                  <c:v>CEBPA</c:v>
                </c:pt>
                <c:pt idx="10">
                  <c:v>RUNX1</c:v>
                </c:pt>
                <c:pt idx="11">
                  <c:v>EZH2</c:v>
                </c:pt>
                <c:pt idx="12">
                  <c:v>SETBP1</c:v>
                </c:pt>
                <c:pt idx="13">
                  <c:v>IDH1</c:v>
                </c:pt>
                <c:pt idx="14">
                  <c:v>DNMT3A</c:v>
                </c:pt>
                <c:pt idx="15">
                  <c:v>TET2</c:v>
                </c:pt>
                <c:pt idx="16">
                  <c:v>ASXL1</c:v>
                </c:pt>
                <c:pt idx="17">
                  <c:v>ZRSR2</c:v>
                </c:pt>
                <c:pt idx="18">
                  <c:v>SRSF2</c:v>
                </c:pt>
                <c:pt idx="19">
                  <c:v>SF3B1</c:v>
                </c:pt>
                <c:pt idx="20">
                  <c:v>U2AF1</c:v>
                </c:pt>
              </c:strCache>
            </c:strRef>
          </c:cat>
          <c:val>
            <c:numRef>
              <c:f>基因分部!$E$2:$E$22</c:f>
              <c:numCache>
                <c:formatCode>General</c:formatCode>
                <c:ptCount val="21"/>
                <c:pt idx="0">
                  <c:v>27.8</c:v>
                </c:pt>
                <c:pt idx="1">
                  <c:v>23.3</c:v>
                </c:pt>
                <c:pt idx="2">
                  <c:v>29.6</c:v>
                </c:pt>
                <c:pt idx="3">
                  <c:v>28.6</c:v>
                </c:pt>
                <c:pt idx="4">
                  <c:v>29.6</c:v>
                </c:pt>
                <c:pt idx="5">
                  <c:v>27.8</c:v>
                </c:pt>
                <c:pt idx="6">
                  <c:v>28.2</c:v>
                </c:pt>
                <c:pt idx="7">
                  <c:v>26</c:v>
                </c:pt>
                <c:pt idx="8">
                  <c:v>29.6</c:v>
                </c:pt>
                <c:pt idx="9">
                  <c:v>28.7</c:v>
                </c:pt>
                <c:pt idx="10">
                  <c:v>21.4</c:v>
                </c:pt>
                <c:pt idx="11">
                  <c:v>28.2</c:v>
                </c:pt>
                <c:pt idx="12">
                  <c:v>23.7</c:v>
                </c:pt>
                <c:pt idx="13">
                  <c:v>27.3</c:v>
                </c:pt>
                <c:pt idx="14">
                  <c:v>23.7</c:v>
                </c:pt>
                <c:pt idx="15">
                  <c:v>25.1</c:v>
                </c:pt>
                <c:pt idx="16">
                  <c:v>18.3</c:v>
                </c:pt>
                <c:pt idx="17">
                  <c:v>30</c:v>
                </c:pt>
                <c:pt idx="18">
                  <c:v>26.4</c:v>
                </c:pt>
                <c:pt idx="19">
                  <c:v>18.3</c:v>
                </c:pt>
                <c:pt idx="20">
                  <c:v>9.4</c:v>
                </c:pt>
              </c:numCache>
            </c:numRef>
          </c:val>
        </c:ser>
        <c:ser>
          <c:idx val="4"/>
          <c:order val="4"/>
          <c:tx>
            <c:strRef>
              <c:f>基因分部!$F$1</c:f>
              <c:strCache>
                <c:ptCount val="1"/>
                <c:pt idx="0">
                  <c:v>ARC≥43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dLbls>
            <c:dLbl>
              <c:idx val="0"/>
              <c:layout>
                <c:manualLayout>
                  <c:x val="3.3163182188433442E-2"/>
                  <c:y val="-2.3667915296995646E-3"/>
                </c:manualLayout>
              </c:layout>
              <c:showVal val="1"/>
            </c:dLbl>
            <c:dLbl>
              <c:idx val="1"/>
              <c:layout>
                <c:manualLayout>
                  <c:x val="4.470680760624407E-2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2.7250273858455416E-2"/>
                  <c:y val="6.0392936319854922E-5"/>
                </c:manualLayout>
              </c:layout>
              <c:showVal val="1"/>
            </c:dLbl>
            <c:dLbl>
              <c:idx val="3"/>
              <c:layout>
                <c:manualLayout>
                  <c:x val="2.8819084891439677E-2"/>
                  <c:y val="-2.3669826465866602E-3"/>
                </c:manualLayout>
              </c:layout>
              <c:showVal val="1"/>
            </c:dLbl>
            <c:dLbl>
              <c:idx val="4"/>
              <c:layout>
                <c:manualLayout>
                  <c:x val="3.1081483423371643E-2"/>
                  <c:y val="8.8995735667717849E-17"/>
                </c:manualLayout>
              </c:layout>
              <c:showVal val="1"/>
            </c:dLbl>
            <c:dLbl>
              <c:idx val="5"/>
              <c:layout>
                <c:manualLayout>
                  <c:x val="2.8703549392830027E-2"/>
                  <c:y val="6.0392936319944484E-5"/>
                </c:manualLayout>
              </c:layout>
              <c:showVal val="1"/>
            </c:dLbl>
            <c:dLbl>
              <c:idx val="6"/>
              <c:layout>
                <c:manualLayout>
                  <c:x val="4.0362897562893914E-2"/>
                  <c:y val="-2.4875774023392812E-3"/>
                </c:manualLayout>
              </c:layout>
              <c:showVal val="1"/>
            </c:dLbl>
            <c:dLbl>
              <c:idx val="7"/>
              <c:layout>
                <c:manualLayout>
                  <c:x val="4.5119140131264765E-2"/>
                  <c:y val="2.3667915296995646E-3"/>
                </c:manualLayout>
              </c:layout>
              <c:showVal val="1"/>
            </c:dLbl>
            <c:dLbl>
              <c:idx val="8"/>
              <c:layout>
                <c:manualLayout>
                  <c:x val="3.2765829954965596E-2"/>
                  <c:y val="-2.3667915296995646E-3"/>
                </c:manualLayout>
              </c:layout>
              <c:showVal val="1"/>
            </c:dLbl>
            <c:dLbl>
              <c:idx val="9"/>
              <c:layout>
                <c:manualLayout>
                  <c:x val="3.5259673991405074E-2"/>
                  <c:y val="-2.3667915296995646E-3"/>
                </c:manualLayout>
              </c:layout>
              <c:showVal val="1"/>
            </c:dLbl>
            <c:dLbl>
              <c:idx val="10"/>
              <c:layout>
                <c:manualLayout>
                  <c:x val="4.7034557660078462E-2"/>
                  <c:y val="2.3667915296995646E-3"/>
                </c:manualLayout>
              </c:layout>
              <c:showVal val="1"/>
            </c:dLbl>
            <c:dLbl>
              <c:idx val="11"/>
              <c:layout>
                <c:manualLayout>
                  <c:x val="3.2765829954965499E-2"/>
                  <c:y val="2.3667915296995646E-3"/>
                </c:manualLayout>
              </c:layout>
              <c:showVal val="1"/>
            </c:dLbl>
            <c:dLbl>
              <c:idx val="12"/>
              <c:layout>
                <c:manualLayout>
                  <c:x val="4.2047056840844033E-2"/>
                  <c:y val="-2.3667915296995646E-3"/>
                </c:manualLayout>
              </c:layout>
              <c:showVal val="1"/>
            </c:dLbl>
            <c:dLbl>
              <c:idx val="13"/>
              <c:layout>
                <c:manualLayout>
                  <c:x val="2.9925187032418948E-2"/>
                  <c:y val="0"/>
                </c:manualLayout>
              </c:layout>
              <c:showVal val="1"/>
            </c:dLbl>
            <c:dLbl>
              <c:idx val="14"/>
              <c:layout>
                <c:manualLayout>
                  <c:x val="4.4193919874165932E-2"/>
                  <c:y val="0"/>
                </c:manualLayout>
              </c:layout>
              <c:showVal val="1"/>
            </c:dLbl>
            <c:dLbl>
              <c:idx val="15"/>
              <c:layout>
                <c:manualLayout>
                  <c:x val="4.1700075837726919E-2"/>
                  <c:y val="0"/>
                </c:manualLayout>
              </c:layout>
              <c:showVal val="1"/>
            </c:dLbl>
            <c:dLbl>
              <c:idx val="16"/>
              <c:layout>
                <c:manualLayout>
                  <c:x val="7.0237531247952109E-2"/>
                  <c:y val="0"/>
                </c:manualLayout>
              </c:layout>
              <c:showVal val="1"/>
            </c:dLbl>
            <c:dLbl>
              <c:idx val="17"/>
              <c:layout>
                <c:manualLayout>
                  <c:x val="2.7431421446384212E-2"/>
                  <c:y val="0"/>
                </c:manualLayout>
              </c:layout>
              <c:showVal val="1"/>
            </c:dLbl>
            <c:dLbl>
              <c:idx val="18"/>
              <c:layout>
                <c:manualLayout>
                  <c:x val="3.9321954553540497E-2"/>
                  <c:y val="2.3667915296995646E-3"/>
                </c:manualLayout>
              </c:layout>
              <c:showVal val="1"/>
            </c:dLbl>
            <c:dLbl>
              <c:idx val="19"/>
              <c:layout>
                <c:manualLayout>
                  <c:x val="4.6456318406096979E-2"/>
                  <c:y val="0"/>
                </c:manualLayout>
              </c:layout>
              <c:showVal val="1"/>
            </c:dLbl>
            <c:dLbl>
              <c:idx val="20"/>
              <c:layout>
                <c:manualLayout>
                  <c:x val="0.11304371436329112"/>
                  <c:y val="6.0201819432766502E-5"/>
                </c:manualLayout>
              </c:layout>
              <c:showVal val="1"/>
            </c:dLbl>
            <c:dLbl>
              <c:idx val="21"/>
              <c:layout>
                <c:manualLayout>
                  <c:x val="2.7431421446384212E-2"/>
                  <c:y val="2.3668639053254438E-3"/>
                </c:manualLayout>
              </c:layout>
              <c:showVal val="1"/>
            </c:dLbl>
            <c:dLbl>
              <c:idx val="22"/>
              <c:layout>
                <c:manualLayout>
                  <c:x val="2.7431421446384212E-2"/>
                  <c:y val="2.3668639053254438E-3"/>
                </c:manualLayout>
              </c:layout>
              <c:showVal val="1"/>
            </c:dLbl>
            <c:dLbl>
              <c:idx val="23"/>
              <c:layout>
                <c:manualLayout>
                  <c:x val="2.7431421446384212E-2"/>
                  <c:y val="-4.7337278106509032E-3"/>
                </c:manualLayout>
              </c:layout>
              <c:showVal val="1"/>
            </c:dLbl>
            <c:dLbl>
              <c:idx val="24"/>
              <c:layout>
                <c:manualLayout>
                  <c:x val="2.4937655860349201E-2"/>
                  <c:y val="-1.0848000915710171E-17"/>
                </c:manualLayout>
              </c:layout>
              <c:showVal val="1"/>
            </c:dLbl>
            <c:dLbl>
              <c:idx val="25"/>
              <c:layout>
                <c:manualLayout>
                  <c:x val="1.2468827930174564E-2"/>
                  <c:y val="2.3668639053254438E-3"/>
                </c:manualLayout>
              </c:layout>
              <c:showVal val="1"/>
            </c:dLbl>
            <c:dLbl>
              <c:idx val="26"/>
              <c:layout>
                <c:manualLayout>
                  <c:x val="2.7431421446384212E-2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i="1">
                    <a:latin typeface="+mn-lt"/>
                  </a:defRPr>
                </a:pPr>
                <a:endParaRPr lang="zh-CN"/>
              </a:p>
            </c:txPr>
            <c:showVal val="1"/>
          </c:dLbls>
          <c:cat>
            <c:strRef>
              <c:f>基因分部!$A$2:$A$22</c:f>
              <c:strCache>
                <c:ptCount val="21"/>
                <c:pt idx="0">
                  <c:v>NPM1</c:v>
                </c:pt>
                <c:pt idx="1">
                  <c:v>TP53</c:v>
                </c:pt>
                <c:pt idx="2">
                  <c:v>MPL</c:v>
                </c:pt>
                <c:pt idx="3">
                  <c:v>JAK2</c:v>
                </c:pt>
                <c:pt idx="4">
                  <c:v>FLT3</c:v>
                </c:pt>
                <c:pt idx="5">
                  <c:v>PTPN11</c:v>
                </c:pt>
                <c:pt idx="6">
                  <c:v>KRAS</c:v>
                </c:pt>
                <c:pt idx="7">
                  <c:v>NRAS</c:v>
                </c:pt>
                <c:pt idx="8">
                  <c:v>WT1</c:v>
                </c:pt>
                <c:pt idx="9">
                  <c:v>CEBPA</c:v>
                </c:pt>
                <c:pt idx="10">
                  <c:v>RUNX1</c:v>
                </c:pt>
                <c:pt idx="11">
                  <c:v>EZH2</c:v>
                </c:pt>
                <c:pt idx="12">
                  <c:v>SETBP1</c:v>
                </c:pt>
                <c:pt idx="13">
                  <c:v>IDH1</c:v>
                </c:pt>
                <c:pt idx="14">
                  <c:v>DNMT3A</c:v>
                </c:pt>
                <c:pt idx="15">
                  <c:v>TET2</c:v>
                </c:pt>
                <c:pt idx="16">
                  <c:v>ASXL1</c:v>
                </c:pt>
                <c:pt idx="17">
                  <c:v>ZRSR2</c:v>
                </c:pt>
                <c:pt idx="18">
                  <c:v>SRSF2</c:v>
                </c:pt>
                <c:pt idx="19">
                  <c:v>SF3B1</c:v>
                </c:pt>
                <c:pt idx="20">
                  <c:v>U2AF1</c:v>
                </c:pt>
              </c:strCache>
            </c:strRef>
          </c:cat>
          <c:val>
            <c:numRef>
              <c:f>基因分部!$F$2:$F$22</c:f>
              <c:numCache>
                <c:formatCode>General</c:formatCode>
                <c:ptCount val="21"/>
                <c:pt idx="0">
                  <c:v>1.8</c:v>
                </c:pt>
                <c:pt idx="1">
                  <c:v>5.4</c:v>
                </c:pt>
                <c:pt idx="2">
                  <c:v>0.30000000000000032</c:v>
                </c:pt>
                <c:pt idx="3">
                  <c:v>0.8</c:v>
                </c:pt>
                <c:pt idx="4">
                  <c:v>1.3</c:v>
                </c:pt>
                <c:pt idx="5">
                  <c:v>2</c:v>
                </c:pt>
                <c:pt idx="6">
                  <c:v>3.1</c:v>
                </c:pt>
                <c:pt idx="7">
                  <c:v>5.4</c:v>
                </c:pt>
                <c:pt idx="8">
                  <c:v>1.8</c:v>
                </c:pt>
                <c:pt idx="9">
                  <c:v>3.8</c:v>
                </c:pt>
                <c:pt idx="10">
                  <c:v>6.6</c:v>
                </c:pt>
                <c:pt idx="11">
                  <c:v>1.5</c:v>
                </c:pt>
                <c:pt idx="12">
                  <c:v>5.4</c:v>
                </c:pt>
                <c:pt idx="13">
                  <c:v>2.6</c:v>
                </c:pt>
                <c:pt idx="14">
                  <c:v>6.4</c:v>
                </c:pt>
                <c:pt idx="15">
                  <c:v>5.6</c:v>
                </c:pt>
                <c:pt idx="16">
                  <c:v>13</c:v>
                </c:pt>
                <c:pt idx="17">
                  <c:v>0.5</c:v>
                </c:pt>
                <c:pt idx="18">
                  <c:v>4.5999999999999996</c:v>
                </c:pt>
                <c:pt idx="19">
                  <c:v>6.6</c:v>
                </c:pt>
                <c:pt idx="20">
                  <c:v>22.2</c:v>
                </c:pt>
              </c:numCache>
            </c:numRef>
          </c:val>
        </c:ser>
        <c:overlap val="100"/>
        <c:axId val="214886272"/>
        <c:axId val="214887808"/>
      </c:barChart>
      <c:catAx>
        <c:axId val="214886272"/>
        <c:scaling>
          <c:orientation val="minMax"/>
        </c:scaling>
        <c:axPos val="l"/>
        <c:tickLblPos val="nextTo"/>
        <c:txPr>
          <a:bodyPr/>
          <a:lstStyle/>
          <a:p>
            <a:pPr>
              <a:defRPr sz="900" baseline="0">
                <a:latin typeface="Arial Unicode MS" pitchFamily="34" charset="-122"/>
              </a:defRPr>
            </a:pPr>
            <a:endParaRPr lang="zh-CN"/>
          </a:p>
        </c:txPr>
        <c:crossAx val="214887808"/>
        <c:crosses val="autoZero"/>
        <c:auto val="1"/>
        <c:lblAlgn val="ctr"/>
        <c:lblOffset val="100"/>
      </c:catAx>
      <c:valAx>
        <c:axId val="214887808"/>
        <c:scaling>
          <c:orientation val="minMax"/>
          <c:max val="90"/>
          <c:min val="0"/>
        </c:scaling>
        <c:delete val="1"/>
        <c:axPos val="b"/>
        <c:majorGridlines>
          <c:spPr>
            <a:ln>
              <a:solidFill>
                <a:srgbClr val="4F81BD"/>
              </a:solidFill>
            </a:ln>
          </c:spPr>
        </c:majorGridlines>
        <c:numFmt formatCode="#,##0;\-#,##0" sourceLinked="0"/>
        <c:tickLblPos val="nextTo"/>
        <c:crossAx val="214886272"/>
        <c:crosses val="autoZero"/>
        <c:crossBetween val="between"/>
        <c:majorUnit val="30"/>
      </c:valAx>
      <c:spPr>
        <a:ln>
          <a:solidFill>
            <a:prstClr val="white">
              <a:lumMod val="50000"/>
            </a:prstClr>
          </a:solidFill>
        </a:ln>
      </c:spPr>
    </c:plotArea>
    <c:legend>
      <c:legendPos val="r"/>
      <c:layout>
        <c:manualLayout>
          <c:xMode val="edge"/>
          <c:yMode val="edge"/>
          <c:x val="0.83134439531529813"/>
          <c:y val="0.38363322927829285"/>
          <c:w val="0.16865560468470167"/>
          <c:h val="0.22799981363276534"/>
        </c:manualLayout>
      </c:layout>
      <c:txPr>
        <a:bodyPr/>
        <a:lstStyle/>
        <a:p>
          <a:pPr>
            <a:defRPr sz="900" baseline="0">
              <a:latin typeface="Arial Unicode MS" pitchFamily="34" charset="-122"/>
            </a:defRPr>
          </a:pPr>
          <a:endParaRPr lang="zh-CN"/>
        </a:p>
      </c:txPr>
    </c:legend>
    <c:plotVisOnly val="1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0.12288</cdr:x>
      <cdr:y>0.94662</cdr:y>
    </cdr:from>
    <cdr:to>
      <cdr:x>0.17516</cdr:x>
      <cdr:y>0.97959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596900" y="3829050"/>
          <a:ext cx="254000" cy="133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altLang="zh-CN" sz="1100"/>
            <a:t>0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0.35556</cdr:x>
      <cdr:y>0.94976</cdr:y>
    </cdr:from>
    <cdr:to>
      <cdr:x>0.44575</cdr:x>
      <cdr:y>0.98901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727200" y="3841750"/>
          <a:ext cx="438150" cy="158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altLang="zh-CN" sz="1100"/>
            <a:t>0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0.57647</cdr:x>
      <cdr:y>0.94819</cdr:y>
    </cdr:from>
    <cdr:to>
      <cdr:x>0.63268</cdr:x>
      <cdr:y>0.98587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2800350" y="3835400"/>
          <a:ext cx="273050" cy="152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altLang="zh-CN" sz="1100"/>
            <a:t>0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0.77908</cdr:x>
      <cdr:y>0.94819</cdr:y>
    </cdr:from>
    <cdr:to>
      <cdr:x>0.90065</cdr:x>
      <cdr:y>0.9843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3784600" y="3835400"/>
          <a:ext cx="590550" cy="146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altLang="zh-CN" sz="1100"/>
            <a:t>30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0.03598</cdr:x>
      <cdr:y>0.00818</cdr:y>
    </cdr:from>
    <cdr:to>
      <cdr:x>0.13224</cdr:x>
      <cdr:y>0.18325</cdr:y>
    </cdr:to>
    <cdr:sp macro="" textlink="">
      <cdr:nvSpPr>
        <cdr:cNvPr id="6" name="矩形 5"/>
        <cdr:cNvSpPr/>
      </cdr:nvSpPr>
      <cdr:spPr>
        <a:xfrm xmlns:a="http://schemas.openxmlformats.org/drawingml/2006/main">
          <a:off x="214314" y="41258"/>
          <a:ext cx="573356" cy="882670"/>
        </a:xfrm>
        <a:prstGeom xmlns:a="http://schemas.openxmlformats.org/drawingml/2006/main" prst="rect">
          <a:avLst/>
        </a:prstGeom>
        <a:solidFill xmlns:a="http://schemas.openxmlformats.org/drawingml/2006/main">
          <a:srgbClr val="FF0000">
            <a:alpha val="30000"/>
          </a:srgbClr>
        </a:solidFill>
        <a:ln xmlns:a="http://schemas.openxmlformats.org/drawingml/2006/main">
          <a:solidFill>
            <a:srgbClr val="FF0000">
              <a:alpha val="30000"/>
            </a:srgb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zh-CN"/>
        </a:p>
      </cdr:txBody>
    </cdr:sp>
  </cdr:relSizeAnchor>
  <cdr:relSizeAnchor xmlns:cdr="http://schemas.openxmlformats.org/drawingml/2006/chartDrawing">
    <cdr:from>
      <cdr:x>0.03567</cdr:x>
      <cdr:y>0.18689</cdr:y>
    </cdr:from>
    <cdr:to>
      <cdr:x>0.13193</cdr:x>
      <cdr:y>0.4466</cdr:y>
    </cdr:to>
    <cdr:sp macro="" textlink="">
      <cdr:nvSpPr>
        <cdr:cNvPr id="7" name="矩形 6"/>
        <cdr:cNvSpPr/>
      </cdr:nvSpPr>
      <cdr:spPr>
        <a:xfrm xmlns:a="http://schemas.openxmlformats.org/drawingml/2006/main">
          <a:off x="212462" y="942281"/>
          <a:ext cx="573356" cy="1309432"/>
        </a:xfrm>
        <a:prstGeom xmlns:a="http://schemas.openxmlformats.org/drawingml/2006/main" prst="rect">
          <a:avLst/>
        </a:prstGeom>
        <a:solidFill xmlns:a="http://schemas.openxmlformats.org/drawingml/2006/main">
          <a:schemeClr val="tx2">
            <a:alpha val="30000"/>
          </a:schemeClr>
        </a:solidFill>
        <a:ln xmlns:a="http://schemas.openxmlformats.org/drawingml/2006/main">
          <a:solidFill>
            <a:schemeClr val="tx2">
              <a:alpha val="3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zh-CN"/>
        </a:p>
      </cdr:txBody>
    </cdr:sp>
  </cdr:relSizeAnchor>
  <cdr:relSizeAnchor xmlns:cdr="http://schemas.openxmlformats.org/drawingml/2006/chartDrawing">
    <cdr:from>
      <cdr:x>0.03567</cdr:x>
      <cdr:y>0.44903</cdr:y>
    </cdr:from>
    <cdr:to>
      <cdr:x>0.13193</cdr:x>
      <cdr:y>0.5801</cdr:y>
    </cdr:to>
    <cdr:sp macro="" textlink="">
      <cdr:nvSpPr>
        <cdr:cNvPr id="8" name="矩形 7"/>
        <cdr:cNvSpPr/>
      </cdr:nvSpPr>
      <cdr:spPr>
        <a:xfrm xmlns:a="http://schemas.openxmlformats.org/drawingml/2006/main">
          <a:off x="212462" y="2263964"/>
          <a:ext cx="573356" cy="660842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75000"/>
            <a:alpha val="30000"/>
          </a:schemeClr>
        </a:solidFill>
        <a:ln xmlns:a="http://schemas.openxmlformats.org/drawingml/2006/main">
          <a:solidFill>
            <a:schemeClr val="accent6">
              <a:lumMod val="75000"/>
              <a:alpha val="3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zh-CN"/>
        </a:p>
      </cdr:txBody>
    </cdr:sp>
  </cdr:relSizeAnchor>
  <cdr:relSizeAnchor xmlns:cdr="http://schemas.openxmlformats.org/drawingml/2006/chartDrawing">
    <cdr:from>
      <cdr:x>0.03567</cdr:x>
      <cdr:y>0.58374</cdr:y>
    </cdr:from>
    <cdr:to>
      <cdr:x>0.13193</cdr:x>
      <cdr:y>0.8483</cdr:y>
    </cdr:to>
    <cdr:sp macro="" textlink="">
      <cdr:nvSpPr>
        <cdr:cNvPr id="9" name="矩形 8"/>
        <cdr:cNvSpPr/>
      </cdr:nvSpPr>
      <cdr:spPr>
        <a:xfrm xmlns:a="http://schemas.openxmlformats.org/drawingml/2006/main">
          <a:off x="212462" y="2943159"/>
          <a:ext cx="573356" cy="133388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4">
            <a:lumMod val="75000"/>
            <a:alpha val="30000"/>
          </a:schemeClr>
        </a:solidFill>
        <a:ln xmlns:a="http://schemas.openxmlformats.org/drawingml/2006/main">
          <a:solidFill>
            <a:srgbClr val="7030A0">
              <a:alpha val="30000"/>
            </a:srgb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zh-CN"/>
        </a:p>
      </cdr:txBody>
    </cdr:sp>
  </cdr:relSizeAnchor>
  <cdr:relSizeAnchor xmlns:cdr="http://schemas.openxmlformats.org/drawingml/2006/chartDrawing">
    <cdr:from>
      <cdr:x>0.03567</cdr:x>
      <cdr:y>0.85073</cdr:y>
    </cdr:from>
    <cdr:to>
      <cdr:x>0.13193</cdr:x>
      <cdr:y>0.94175</cdr:y>
    </cdr:to>
    <cdr:sp macro="" textlink="">
      <cdr:nvSpPr>
        <cdr:cNvPr id="10" name="矩形 9"/>
        <cdr:cNvSpPr/>
      </cdr:nvSpPr>
      <cdr:spPr>
        <a:xfrm xmlns:a="http://schemas.openxmlformats.org/drawingml/2006/main">
          <a:off x="212462" y="4289296"/>
          <a:ext cx="573356" cy="458913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3">
            <a:lumMod val="75000"/>
            <a:alpha val="30000"/>
          </a:schemeClr>
        </a:solidFill>
        <a:ln xmlns:a="http://schemas.openxmlformats.org/drawingml/2006/main">
          <a:solidFill>
            <a:schemeClr val="accent3">
              <a:lumMod val="75000"/>
              <a:alpha val="3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zh-CN"/>
        </a:p>
      </cdr:txBody>
    </cdr:sp>
  </cdr:relSizeAnchor>
</c:userShap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F30EE-7FBD-4A59-B402-A28FD34D4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24</Pages>
  <Words>2467</Words>
  <Characters>14065</Characters>
  <Application>Microsoft Office Word</Application>
  <DocSecurity>0</DocSecurity>
  <Lines>117</Lines>
  <Paragraphs>32</Paragraphs>
  <ScaleCrop>false</ScaleCrop>
  <Company/>
  <LinksUpToDate>false</LinksUpToDate>
  <CharactersWithSpaces>16500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816</cp:revision>
  <dcterms:created xsi:type="dcterms:W3CDTF">2020-04-23T01:47:00Z</dcterms:created>
  <dcterms:modified xsi:type="dcterms:W3CDTF">2020-07-29T00:57:00Z</dcterms:modified>
</cp:coreProperties>
</file>