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EBFBB" w14:textId="77777777" w:rsidR="005D18B2" w:rsidRDefault="005D18B2" w:rsidP="005D18B2">
      <w:pPr>
        <w:spacing w:after="0" w:line="276" w:lineRule="auto"/>
        <w:rPr>
          <w:rFonts w:cstheme="minorHAnsi"/>
          <w:b/>
          <w:bCs/>
          <w:sz w:val="28"/>
          <w:szCs w:val="28"/>
        </w:rPr>
      </w:pPr>
      <w:r w:rsidRPr="00F32CED">
        <w:rPr>
          <w:rFonts w:cstheme="minorHAnsi"/>
          <w:b/>
          <w:bCs/>
          <w:sz w:val="28"/>
          <w:szCs w:val="28"/>
        </w:rPr>
        <w:t>Supplementary Information</w:t>
      </w:r>
    </w:p>
    <w:p w14:paraId="5BAE573A" w14:textId="77777777" w:rsidR="005D18B2" w:rsidRPr="00F32CED" w:rsidRDefault="005D18B2" w:rsidP="005D18B2">
      <w:pPr>
        <w:spacing w:after="0" w:line="276" w:lineRule="auto"/>
        <w:rPr>
          <w:rFonts w:cstheme="minorHAnsi"/>
          <w:b/>
          <w:bCs/>
          <w:sz w:val="28"/>
          <w:szCs w:val="28"/>
        </w:rPr>
      </w:pPr>
    </w:p>
    <w:p w14:paraId="4A55344C" w14:textId="77777777" w:rsidR="005D18B2" w:rsidRPr="00F32CED" w:rsidRDefault="005D18B2" w:rsidP="005D18B2">
      <w:pPr>
        <w:spacing w:after="0" w:line="276" w:lineRule="auto"/>
        <w:rPr>
          <w:rFonts w:cstheme="minorHAnsi"/>
          <w:b/>
          <w:bCs/>
        </w:rPr>
      </w:pPr>
      <w:proofErr w:type="spellStart"/>
      <w:r w:rsidRPr="00F32CED">
        <w:rPr>
          <w:rFonts w:cstheme="minorHAnsi"/>
          <w:b/>
          <w:bCs/>
        </w:rPr>
        <w:t>KarMMa</w:t>
      </w:r>
      <w:proofErr w:type="spellEnd"/>
      <w:r w:rsidRPr="00F32CED">
        <w:rPr>
          <w:rFonts w:cstheme="minorHAnsi"/>
          <w:b/>
          <w:bCs/>
        </w:rPr>
        <w:t xml:space="preserve">-RW: Comparison of </w:t>
      </w:r>
      <w:proofErr w:type="spellStart"/>
      <w:r w:rsidRPr="00F32CED">
        <w:rPr>
          <w:rFonts w:cstheme="minorHAnsi"/>
          <w:b/>
          <w:bCs/>
        </w:rPr>
        <w:t>idecabtagene</w:t>
      </w:r>
      <w:proofErr w:type="spellEnd"/>
      <w:r w:rsidRPr="00F32CED">
        <w:rPr>
          <w:rFonts w:cstheme="minorHAnsi"/>
          <w:b/>
          <w:bCs/>
        </w:rPr>
        <w:t xml:space="preserve"> </w:t>
      </w:r>
      <w:proofErr w:type="spellStart"/>
      <w:r w:rsidRPr="00F32CED">
        <w:rPr>
          <w:rFonts w:cstheme="minorHAnsi"/>
          <w:b/>
          <w:bCs/>
        </w:rPr>
        <w:t>vicleucel</w:t>
      </w:r>
      <w:proofErr w:type="spellEnd"/>
      <w:r w:rsidRPr="00F32CED">
        <w:rPr>
          <w:rFonts w:cstheme="minorHAnsi"/>
          <w:b/>
          <w:bCs/>
        </w:rPr>
        <w:t xml:space="preserve"> with real-world outcomes in relapsed and refractory multiple myeloma</w:t>
      </w:r>
    </w:p>
    <w:p w14:paraId="41C4147C" w14:textId="77777777" w:rsidR="005D18B2" w:rsidRPr="00F32CED" w:rsidRDefault="005D18B2" w:rsidP="005D18B2">
      <w:pPr>
        <w:spacing w:after="0" w:line="276" w:lineRule="auto"/>
        <w:rPr>
          <w:rFonts w:cstheme="minorHAnsi"/>
          <w:b/>
          <w:bCs/>
        </w:rPr>
      </w:pPr>
    </w:p>
    <w:p w14:paraId="1A52C0D3" w14:textId="77777777" w:rsidR="005D18B2" w:rsidRPr="00F32CED" w:rsidRDefault="005D18B2" w:rsidP="005D18B2">
      <w:pPr>
        <w:spacing w:after="0" w:line="276" w:lineRule="auto"/>
        <w:rPr>
          <w:rFonts w:cstheme="minorHAnsi"/>
        </w:rPr>
      </w:pPr>
      <w:r w:rsidRPr="00F32CED">
        <w:rPr>
          <w:rFonts w:cstheme="minorHAnsi"/>
        </w:rPr>
        <w:t>Sundar Jagannath,</w:t>
      </w:r>
      <w:r w:rsidRPr="00F32CED">
        <w:rPr>
          <w:rFonts w:cstheme="minorHAnsi"/>
          <w:vertAlign w:val="superscript"/>
        </w:rPr>
        <w:t xml:space="preserve"> </w:t>
      </w:r>
      <w:r w:rsidRPr="00F32CED">
        <w:rPr>
          <w:rFonts w:cstheme="minorHAnsi"/>
        </w:rPr>
        <w:t>Yi Lin,</w:t>
      </w:r>
      <w:r w:rsidRPr="00F32CED">
        <w:rPr>
          <w:rFonts w:cstheme="minorHAnsi"/>
          <w:vertAlign w:val="superscript"/>
        </w:rPr>
        <w:t xml:space="preserve"> </w:t>
      </w:r>
      <w:r w:rsidRPr="00F32CED">
        <w:rPr>
          <w:rFonts w:cstheme="minorHAnsi"/>
        </w:rPr>
        <w:t>Hartmut Goldschmidt,</w:t>
      </w:r>
      <w:r w:rsidRPr="00F32CED">
        <w:rPr>
          <w:rFonts w:cstheme="minorHAnsi"/>
          <w:vertAlign w:val="superscript"/>
        </w:rPr>
        <w:t xml:space="preserve"> </w:t>
      </w:r>
      <w:r w:rsidRPr="00F32CED">
        <w:rPr>
          <w:rFonts w:cstheme="minorHAnsi"/>
        </w:rPr>
        <w:t>Donna Reece,</w:t>
      </w:r>
      <w:r w:rsidRPr="00F32CED">
        <w:rPr>
          <w:rFonts w:cstheme="minorHAnsi"/>
          <w:vertAlign w:val="superscript"/>
        </w:rPr>
        <w:t xml:space="preserve"> </w:t>
      </w:r>
      <w:r w:rsidRPr="00F32CED">
        <w:rPr>
          <w:rFonts w:cstheme="minorHAnsi"/>
        </w:rPr>
        <w:t xml:space="preserve">Ajay </w:t>
      </w:r>
      <w:proofErr w:type="spellStart"/>
      <w:r w:rsidRPr="00F32CED">
        <w:rPr>
          <w:rFonts w:cstheme="minorHAnsi"/>
        </w:rPr>
        <w:t>Nooka</w:t>
      </w:r>
      <w:proofErr w:type="spellEnd"/>
      <w:r w:rsidRPr="00F32CED">
        <w:rPr>
          <w:rFonts w:cstheme="minorHAnsi"/>
        </w:rPr>
        <w:t>,</w:t>
      </w:r>
      <w:r w:rsidRPr="00F32CED">
        <w:rPr>
          <w:rFonts w:cstheme="minorHAnsi"/>
          <w:vertAlign w:val="superscript"/>
        </w:rPr>
        <w:t xml:space="preserve"> </w:t>
      </w:r>
      <w:r w:rsidRPr="00F32CED">
        <w:rPr>
          <w:rFonts w:cstheme="minorHAnsi"/>
        </w:rPr>
        <w:t xml:space="preserve">Alicia </w:t>
      </w:r>
      <w:proofErr w:type="spellStart"/>
      <w:r w:rsidRPr="00F32CED">
        <w:rPr>
          <w:rFonts w:cstheme="minorHAnsi"/>
        </w:rPr>
        <w:t>Senin</w:t>
      </w:r>
      <w:proofErr w:type="spellEnd"/>
      <w:r w:rsidRPr="00F32CED">
        <w:rPr>
          <w:rFonts w:cstheme="minorHAnsi"/>
        </w:rPr>
        <w:t>,</w:t>
      </w:r>
      <w:r w:rsidRPr="00F32CED">
        <w:rPr>
          <w:rFonts w:cstheme="minorHAnsi"/>
          <w:vertAlign w:val="superscript"/>
        </w:rPr>
        <w:t xml:space="preserve"> </w:t>
      </w:r>
      <w:r w:rsidRPr="00F32CED">
        <w:rPr>
          <w:rFonts w:cstheme="minorHAnsi"/>
        </w:rPr>
        <w:t>Paula Rodriguez Otero,</w:t>
      </w:r>
      <w:r w:rsidRPr="00F32CED">
        <w:rPr>
          <w:rFonts w:cstheme="minorHAnsi"/>
          <w:vertAlign w:val="superscript"/>
        </w:rPr>
        <w:t xml:space="preserve"> </w:t>
      </w:r>
      <w:r w:rsidRPr="00F32CED">
        <w:rPr>
          <w:rFonts w:cstheme="minorHAnsi"/>
        </w:rPr>
        <w:t>Ray Powles,</w:t>
      </w:r>
      <w:r w:rsidRPr="00F32CED">
        <w:rPr>
          <w:rFonts w:cstheme="minorHAnsi"/>
          <w:vertAlign w:val="superscript"/>
        </w:rPr>
        <w:t xml:space="preserve"> </w:t>
      </w:r>
      <w:r w:rsidRPr="00F32CED">
        <w:rPr>
          <w:rFonts w:cstheme="minorHAnsi"/>
        </w:rPr>
        <w:t>Kosei Matsue,</w:t>
      </w:r>
      <w:r w:rsidRPr="00F32CED">
        <w:rPr>
          <w:rFonts w:cstheme="minorHAnsi"/>
          <w:vertAlign w:val="superscript"/>
        </w:rPr>
        <w:t xml:space="preserve"> </w:t>
      </w:r>
      <w:r w:rsidRPr="00F32CED">
        <w:rPr>
          <w:rFonts w:cstheme="minorHAnsi"/>
        </w:rPr>
        <w:t>Nina Shah,</w:t>
      </w:r>
      <w:r w:rsidRPr="00F32CED">
        <w:rPr>
          <w:rFonts w:cstheme="minorHAnsi"/>
          <w:vertAlign w:val="superscript"/>
        </w:rPr>
        <w:t xml:space="preserve"> </w:t>
      </w:r>
      <w:r w:rsidRPr="00F32CED">
        <w:rPr>
          <w:rFonts w:cstheme="minorHAnsi"/>
        </w:rPr>
        <w:t>Larry D. Anderson, Jr,</w:t>
      </w:r>
      <w:r w:rsidRPr="00F32CED">
        <w:rPr>
          <w:rFonts w:cstheme="minorHAnsi"/>
          <w:vertAlign w:val="superscript"/>
        </w:rPr>
        <w:t xml:space="preserve"> </w:t>
      </w:r>
      <w:r w:rsidRPr="00F32CED">
        <w:rPr>
          <w:rFonts w:cstheme="minorHAnsi"/>
        </w:rPr>
        <w:t>Matthew Streetly, Kimberly Wilson,</w:t>
      </w:r>
      <w:r w:rsidRPr="00F32CED">
        <w:rPr>
          <w:rFonts w:cstheme="minorHAnsi"/>
          <w:vertAlign w:val="superscript"/>
        </w:rPr>
        <w:t xml:space="preserve"> </w:t>
      </w:r>
      <w:r w:rsidRPr="00F32CED">
        <w:rPr>
          <w:rFonts w:cstheme="minorHAnsi"/>
        </w:rPr>
        <w:t>Hoa Van Le,</w:t>
      </w:r>
      <w:r w:rsidRPr="00F32CED">
        <w:rPr>
          <w:rFonts w:cstheme="minorHAnsi"/>
          <w:vertAlign w:val="superscript"/>
        </w:rPr>
        <w:t xml:space="preserve"> </w:t>
      </w:r>
      <w:r w:rsidRPr="00F32CED">
        <w:rPr>
          <w:rFonts w:cstheme="minorHAnsi"/>
        </w:rPr>
        <w:t>Arlene S. Swern,</w:t>
      </w:r>
      <w:r w:rsidRPr="00F32CED">
        <w:rPr>
          <w:rFonts w:cstheme="minorHAnsi"/>
          <w:vertAlign w:val="superscript"/>
        </w:rPr>
        <w:t xml:space="preserve"> </w:t>
      </w:r>
      <w:r w:rsidRPr="00F32CED">
        <w:rPr>
          <w:rFonts w:cstheme="minorHAnsi"/>
        </w:rPr>
        <w:t>Amit Agarwal,</w:t>
      </w:r>
      <w:r w:rsidRPr="00F32CED">
        <w:rPr>
          <w:rFonts w:cstheme="minorHAnsi"/>
          <w:vertAlign w:val="superscript"/>
        </w:rPr>
        <w:t xml:space="preserve"> </w:t>
      </w:r>
      <w:r w:rsidRPr="00F32CED">
        <w:rPr>
          <w:rFonts w:cstheme="minorHAnsi"/>
        </w:rPr>
        <w:t>and David S. Siegel</w:t>
      </w:r>
    </w:p>
    <w:p w14:paraId="73BC2814" w14:textId="77777777" w:rsidR="005D18B2" w:rsidRPr="00F32CED" w:rsidRDefault="005D18B2" w:rsidP="005D18B2">
      <w:pPr>
        <w:spacing w:before="120" w:after="0" w:line="480" w:lineRule="auto"/>
        <w:rPr>
          <w:rFonts w:cstheme="minorHAnsi"/>
          <w:b/>
          <w:bCs/>
        </w:rPr>
      </w:pPr>
    </w:p>
    <w:p w14:paraId="145A87C5" w14:textId="77777777" w:rsidR="005D18B2" w:rsidRPr="00F32CED" w:rsidRDefault="005D18B2" w:rsidP="005D18B2">
      <w:pPr>
        <w:spacing w:before="120" w:after="0" w:line="480" w:lineRule="auto"/>
        <w:rPr>
          <w:rFonts w:cstheme="minorHAnsi"/>
          <w:b/>
          <w:bCs/>
          <w:sz w:val="24"/>
          <w:szCs w:val="24"/>
        </w:rPr>
      </w:pPr>
      <w:r w:rsidRPr="00F32CED">
        <w:rPr>
          <w:rFonts w:cstheme="minorHAnsi"/>
          <w:b/>
          <w:bCs/>
          <w:sz w:val="24"/>
          <w:szCs w:val="24"/>
        </w:rPr>
        <w:t>Supplementary Methods</w:t>
      </w:r>
    </w:p>
    <w:p w14:paraId="701757D2" w14:textId="77777777" w:rsidR="005D18B2" w:rsidRPr="00F32CED" w:rsidRDefault="005D18B2" w:rsidP="005D18B2">
      <w:pPr>
        <w:spacing w:before="120" w:after="0" w:line="480" w:lineRule="auto"/>
        <w:rPr>
          <w:rFonts w:cstheme="minorHAnsi"/>
          <w:b/>
          <w:i/>
        </w:rPr>
      </w:pPr>
      <w:r w:rsidRPr="00F32CED">
        <w:rPr>
          <w:rFonts w:cstheme="minorHAnsi"/>
          <w:b/>
          <w:i/>
        </w:rPr>
        <w:t>Study design and patients</w:t>
      </w:r>
    </w:p>
    <w:p w14:paraId="4A910987" w14:textId="77777777" w:rsidR="005D18B2" w:rsidRPr="00F32CED" w:rsidRDefault="005D18B2" w:rsidP="005D18B2">
      <w:pPr>
        <w:spacing w:before="120" w:after="0" w:line="480" w:lineRule="auto"/>
        <w:rPr>
          <w:rFonts w:cstheme="minorHAnsi"/>
        </w:rPr>
      </w:pPr>
      <w:r w:rsidRPr="00F32CED">
        <w:rPr>
          <w:rFonts w:cstheme="minorHAnsi"/>
        </w:rPr>
        <w:t xml:space="preserve">In the Eligible RRMM cohort, patients had to be refractory to their last and have measurable disease by monoclonal-protein and/or serum free light chain levels. Refractory to a last regimen was defined as documented disease progression during or within 60 days of completing the last regimen before study entry. Measurable disease was defined as monoclonal-protein levels of ≥1.0 g/dL in serum and ≥200 mg/24 h in urine, and/or serum free light chain levels of ≥10 mg/dL, provided serum free light chain ratio is abnormal. </w:t>
      </w:r>
    </w:p>
    <w:p w14:paraId="39274BCC" w14:textId="77777777" w:rsidR="005D18B2" w:rsidRPr="00F32CED" w:rsidRDefault="005D18B2" w:rsidP="005D18B2">
      <w:pPr>
        <w:spacing w:before="120" w:after="0" w:line="480" w:lineRule="auto"/>
        <w:rPr>
          <w:rFonts w:cstheme="minorHAnsi"/>
          <w:bCs/>
          <w:iCs/>
        </w:rPr>
      </w:pPr>
      <w:r w:rsidRPr="00F32CED">
        <w:rPr>
          <w:rFonts w:cstheme="minorHAnsi"/>
          <w:bCs/>
          <w:iCs/>
        </w:rPr>
        <w:t xml:space="preserve">Exclusion criteria included Eastern Cooperative Oncology Group performance status ≥2 at the date that the real-world patient became refractory to the last regimen (baseline), central nervous system involvement with multiple myeloma; history or presence of clinically relevant central nervous system pathology, solitary plasmacytomas without other evidence of measurable disease, active or history of plasma cell leukemia, secondary malignancies requiring therapy in the last 3 years or that are not in complete remission.  </w:t>
      </w:r>
    </w:p>
    <w:p w14:paraId="33939D16" w14:textId="77777777" w:rsidR="005D18B2" w:rsidRPr="00F32CED" w:rsidRDefault="005D18B2" w:rsidP="005D18B2">
      <w:pPr>
        <w:spacing w:before="120" w:after="0" w:line="480" w:lineRule="auto"/>
        <w:rPr>
          <w:rFonts w:cstheme="minorHAnsi"/>
          <w:b/>
          <w:bCs/>
          <w:i/>
          <w:iCs/>
        </w:rPr>
      </w:pPr>
      <w:r w:rsidRPr="00F32CED">
        <w:rPr>
          <w:rFonts w:cstheme="minorHAnsi"/>
          <w:b/>
          <w:bCs/>
          <w:i/>
          <w:iCs/>
        </w:rPr>
        <w:t>Data sources</w:t>
      </w:r>
    </w:p>
    <w:p w14:paraId="40FE35E0" w14:textId="77777777" w:rsidR="005D18B2" w:rsidRPr="00F32CED" w:rsidRDefault="005D18B2" w:rsidP="005D18B2">
      <w:pPr>
        <w:spacing w:before="120" w:after="0" w:line="480" w:lineRule="auto"/>
        <w:rPr>
          <w:rFonts w:cstheme="minorHAnsi"/>
          <w:bCs/>
          <w:iCs/>
        </w:rPr>
      </w:pPr>
      <w:r w:rsidRPr="00F32CED">
        <w:rPr>
          <w:rFonts w:cstheme="minorHAnsi"/>
        </w:rPr>
        <w:t xml:space="preserve">Acquisition of clinical site data was managed by IQVIA (Human Data Science Company™) and obtained through manual chart abstraction into the study electronic case report form. The external databases included COTA real-world evidence database, Flatiron, Guardian Research Network, and M2Gen. COTA generates longitudinal patient records with detailed clinical, demographic, testing, </w:t>
      </w:r>
      <w:r w:rsidRPr="00F32CED">
        <w:rPr>
          <w:rFonts w:cstheme="minorHAnsi"/>
        </w:rPr>
        <w:lastRenderedPageBreak/>
        <w:t xml:space="preserve">treatment, and outcome information from both structured and unstructured fields. The Flatiron Health database is a longitudinal, demographically, and geographically diverse database consisting of de-identified patient-level data derived from structured electronic health records, unstructured reports, and physician notes collected from chart abstraction. The Guardian Research Network is a nationwide consortium of regional community health systems harnessing real-time clinical and molecular oncology de-identified patient electronic health records information. M2Gen is an alliance of 19 of the nation’s leading cancer centers that partners with ORIEN™ network; collection of longitudinal clinical data was allowed from patients who receives care at one of the ORIEN™ cancer centers. </w:t>
      </w:r>
    </w:p>
    <w:p w14:paraId="7365A6E4" w14:textId="77777777" w:rsidR="005D18B2" w:rsidRPr="00F32CED" w:rsidRDefault="005D18B2" w:rsidP="005D18B2">
      <w:pPr>
        <w:spacing w:before="120" w:after="0" w:line="480" w:lineRule="auto"/>
        <w:rPr>
          <w:rFonts w:cstheme="minorHAnsi"/>
          <w:b/>
          <w:bCs/>
          <w:i/>
          <w:iCs/>
        </w:rPr>
      </w:pPr>
      <w:r w:rsidRPr="00F32CED">
        <w:rPr>
          <w:rFonts w:cstheme="minorHAnsi"/>
          <w:b/>
          <w:bCs/>
          <w:i/>
          <w:iCs/>
        </w:rPr>
        <w:t>Propensity score balancing</w:t>
      </w:r>
    </w:p>
    <w:p w14:paraId="1DC074D6" w14:textId="77777777" w:rsidR="005D18B2" w:rsidRPr="00F32CED" w:rsidRDefault="005D18B2" w:rsidP="005D18B2">
      <w:pPr>
        <w:spacing w:before="120" w:after="0" w:line="480" w:lineRule="auto"/>
        <w:rPr>
          <w:rFonts w:cstheme="minorHAnsi"/>
          <w:i/>
          <w:iCs/>
          <w:lang w:val="en-GB"/>
        </w:rPr>
      </w:pPr>
      <w:r w:rsidRPr="00F32CED">
        <w:rPr>
          <w:rFonts w:cstheme="minorHAnsi"/>
          <w:lang w:val="en-GB"/>
        </w:rPr>
        <w:t xml:space="preserve">To ensure a balance of baseline characteristics, propensity score trimmed stabilized inverse probability treatment weighting (IPTW) was used to weight the real-world cohorts and the respective </w:t>
      </w:r>
      <w:proofErr w:type="spellStart"/>
      <w:r w:rsidRPr="00F32CED">
        <w:rPr>
          <w:rFonts w:cstheme="minorHAnsi"/>
          <w:lang w:val="en-GB"/>
        </w:rPr>
        <w:t>KarMMa</w:t>
      </w:r>
      <w:proofErr w:type="spellEnd"/>
      <w:r w:rsidRPr="00F32CED">
        <w:rPr>
          <w:rFonts w:cstheme="minorHAnsi"/>
          <w:lang w:val="en-GB"/>
        </w:rPr>
        <w:t xml:space="preserve"> cohorts. The following steps were carried out separately for each of the populations. As a sensitivity analysis, propensity score balancing was carried out for the treated patients.</w:t>
      </w:r>
    </w:p>
    <w:p w14:paraId="7B4F00E4" w14:textId="77777777" w:rsidR="005D18B2" w:rsidRPr="00F32CED" w:rsidRDefault="005D18B2" w:rsidP="005D18B2">
      <w:pPr>
        <w:spacing w:before="120" w:after="0" w:line="480" w:lineRule="auto"/>
        <w:rPr>
          <w:rFonts w:cstheme="minorHAnsi"/>
          <w:i/>
          <w:iCs/>
          <w:lang w:val="en-GB"/>
        </w:rPr>
      </w:pPr>
      <w:r w:rsidRPr="00F32CED">
        <w:rPr>
          <w:rFonts w:cstheme="minorHAnsi"/>
          <w:i/>
          <w:iCs/>
          <w:lang w:val="en-GB"/>
        </w:rPr>
        <w:t xml:space="preserve">Step 1: Selection of covariates to include in multivariate logistic regression </w:t>
      </w:r>
      <w:proofErr w:type="spellStart"/>
      <w:proofErr w:type="gramStart"/>
      <w:r w:rsidRPr="00F32CED">
        <w:rPr>
          <w:rFonts w:cstheme="minorHAnsi"/>
          <w:i/>
          <w:iCs/>
          <w:lang w:val="en-GB"/>
        </w:rPr>
        <w:t>modeling</w:t>
      </w:r>
      <w:proofErr w:type="spellEnd"/>
      <w:proofErr w:type="gramEnd"/>
      <w:r w:rsidRPr="00F32CED">
        <w:rPr>
          <w:rFonts w:cstheme="minorHAnsi"/>
          <w:i/>
          <w:iCs/>
          <w:lang w:val="en-GB"/>
        </w:rPr>
        <w:t xml:space="preserve"> </w:t>
      </w:r>
    </w:p>
    <w:p w14:paraId="20E23227" w14:textId="34511A70" w:rsidR="005D18B2" w:rsidRPr="00F32CED" w:rsidRDefault="005D18B2" w:rsidP="005D18B2">
      <w:pPr>
        <w:spacing w:before="120" w:after="0" w:line="480" w:lineRule="auto"/>
        <w:rPr>
          <w:rFonts w:cstheme="minorHAnsi"/>
          <w:lang w:val="en-GB"/>
        </w:rPr>
      </w:pPr>
      <w:r w:rsidRPr="00F32CED">
        <w:rPr>
          <w:rFonts w:cstheme="minorHAnsi"/>
          <w:lang w:val="en-GB"/>
        </w:rPr>
        <w:t xml:space="preserve">Variables for consideration in the propensity score analysis were selected based on clinical importance relating to outcome and disease severity based on the expertise of the study team with a further review by a team of experts. An expert panel consisting of 7 clinical experts selected and ranked the order of prognostic factors across studies using a structured approach. Univariate logistic regression was also used to identify potential covariates for the initial propensity score model. Covariates considered included age, sex, bone lesions, time from initial diagnosis, number of prior regimens, cytogenetic risk (high/low), refractoriness to immunomodulatory agents, </w:t>
      </w:r>
      <w:r>
        <w:rPr>
          <w:rFonts w:cstheme="minorHAnsi"/>
          <w:lang w:val="en-GB"/>
        </w:rPr>
        <w:t>proteasome inhibitors (</w:t>
      </w:r>
      <w:r w:rsidRPr="00F32CED">
        <w:rPr>
          <w:rFonts w:cstheme="minorHAnsi"/>
          <w:lang w:val="en-GB"/>
        </w:rPr>
        <w:t>PIs</w:t>
      </w:r>
      <w:r>
        <w:rPr>
          <w:rFonts w:cstheme="minorHAnsi"/>
          <w:lang w:val="en-GB"/>
        </w:rPr>
        <w:t>)</w:t>
      </w:r>
      <w:r w:rsidRPr="00F32CED">
        <w:rPr>
          <w:rFonts w:cstheme="minorHAnsi"/>
          <w:lang w:val="en-GB"/>
        </w:rPr>
        <w:t xml:space="preserve">, or anti-CD38 antibodies, and baseline laboratory tests (platelet, </w:t>
      </w:r>
      <w:proofErr w:type="spellStart"/>
      <w:r w:rsidRPr="00F32CED">
        <w:rPr>
          <w:rFonts w:cstheme="minorHAnsi"/>
          <w:lang w:val="en-GB"/>
        </w:rPr>
        <w:t>hemoglobin</w:t>
      </w:r>
      <w:proofErr w:type="spellEnd"/>
      <w:r w:rsidRPr="00F32CED">
        <w:rPr>
          <w:rFonts w:cstheme="minorHAnsi"/>
          <w:lang w:val="en-GB"/>
        </w:rPr>
        <w:t xml:space="preserve">, albumin, and calcium). The analysis allowed for as much as 30% missing data for highly prognostic covariates in the Eligible RRMM cohort. Any values missing for the candidate covariates </w:t>
      </w:r>
      <w:r w:rsidRPr="00F32CED">
        <w:rPr>
          <w:rFonts w:cstheme="minorHAnsi"/>
          <w:lang w:val="en-GB"/>
        </w:rPr>
        <w:lastRenderedPageBreak/>
        <w:t>were imputed via multiple imputation procedures using the full conditional specification statement SAS procedure (PROC MI). </w:t>
      </w:r>
    </w:p>
    <w:p w14:paraId="20AAB772" w14:textId="77777777" w:rsidR="005D18B2" w:rsidRPr="00F32CED" w:rsidRDefault="005D18B2" w:rsidP="005D18B2">
      <w:pPr>
        <w:spacing w:before="120" w:after="0" w:line="480" w:lineRule="auto"/>
        <w:rPr>
          <w:rFonts w:cstheme="minorHAnsi"/>
          <w:i/>
          <w:iCs/>
          <w:lang w:val="en-GB"/>
        </w:rPr>
      </w:pPr>
      <w:r w:rsidRPr="00F32CED">
        <w:rPr>
          <w:rFonts w:cstheme="minorHAnsi"/>
          <w:i/>
          <w:iCs/>
          <w:lang w:val="en-GB"/>
        </w:rPr>
        <w:t xml:space="preserve">Step 2: Propensity score </w:t>
      </w:r>
      <w:proofErr w:type="spellStart"/>
      <w:r w:rsidRPr="00F32CED">
        <w:rPr>
          <w:rFonts w:cstheme="minorHAnsi"/>
          <w:i/>
          <w:iCs/>
          <w:lang w:val="en-GB"/>
        </w:rPr>
        <w:t>modeling</w:t>
      </w:r>
      <w:proofErr w:type="spellEnd"/>
      <w:r w:rsidRPr="00F32CED">
        <w:rPr>
          <w:rFonts w:cstheme="minorHAnsi"/>
          <w:i/>
          <w:iCs/>
          <w:lang w:val="en-GB"/>
        </w:rPr>
        <w:t xml:space="preserve"> </w:t>
      </w:r>
    </w:p>
    <w:p w14:paraId="504C4982" w14:textId="26701713" w:rsidR="005D18B2" w:rsidRPr="00F32CED" w:rsidRDefault="005D18B2" w:rsidP="005D18B2">
      <w:pPr>
        <w:spacing w:before="120" w:after="0" w:line="480" w:lineRule="auto"/>
        <w:rPr>
          <w:rFonts w:cstheme="minorHAnsi"/>
          <w:lang w:val="en-GB"/>
        </w:rPr>
      </w:pPr>
      <w:r w:rsidRPr="00F32CED">
        <w:rPr>
          <w:rFonts w:cstheme="minorHAnsi"/>
          <w:lang w:val="en-GB"/>
        </w:rPr>
        <w:t>Variables identified as statistically significant (</w:t>
      </w:r>
      <w:r w:rsidRPr="00F32CED">
        <w:rPr>
          <w:rFonts w:cstheme="minorHAnsi"/>
          <w:i/>
          <w:iCs/>
          <w:lang w:val="en-GB"/>
        </w:rPr>
        <w:t>P</w:t>
      </w:r>
      <w:r w:rsidRPr="00F32CED">
        <w:rPr>
          <w:rFonts w:cstheme="minorHAnsi"/>
          <w:lang w:val="en-GB"/>
        </w:rPr>
        <w:t xml:space="preserve">≤0.15) in the model were included in the initial/full multivariate logistic regression. All possible models from the full model were evaluated with the best model fit being selected to obtain a propensity score. The final propensity score model included age; baseline albumin; number of prior regimens; number of prior regimens per year; creatinine clearance group; prior refractoriness to </w:t>
      </w:r>
      <w:r>
        <w:rPr>
          <w:rFonts w:cstheme="minorHAnsi"/>
          <w:lang w:val="en-GB"/>
        </w:rPr>
        <w:t xml:space="preserve">immunomodulatory </w:t>
      </w:r>
      <w:r w:rsidRPr="00F32CED">
        <w:rPr>
          <w:rFonts w:cstheme="minorHAnsi"/>
          <w:lang w:val="en-GB"/>
        </w:rPr>
        <w:t>agents, PIs, and anti-CD38 antibodies; bone lesions; and baseline calcium.</w:t>
      </w:r>
    </w:p>
    <w:p w14:paraId="19ACE9CE" w14:textId="77777777" w:rsidR="005D18B2" w:rsidRPr="00F32CED" w:rsidRDefault="005D18B2" w:rsidP="005D18B2">
      <w:pPr>
        <w:spacing w:before="120" w:after="0" w:line="480" w:lineRule="auto"/>
        <w:rPr>
          <w:rFonts w:cstheme="minorHAnsi"/>
          <w:lang w:val="en-GB"/>
        </w:rPr>
      </w:pPr>
      <w:r w:rsidRPr="00F32CED">
        <w:rPr>
          <w:rFonts w:cstheme="minorHAnsi"/>
          <w:lang w:val="en-GB"/>
        </w:rPr>
        <w:t>The final propensity score obtained for each imputed data set and the propensity score stabilized IPTW were then used to perform the balancing. For the clinical trial, the weights were 1/propensity score times the proportion of subjects from the clinical trial. For the real-world study, the weights are 1</w:t>
      </w:r>
      <w:proofErr w:type="gramStart"/>
      <w:r w:rsidRPr="00F32CED">
        <w:rPr>
          <w:rFonts w:cstheme="minorHAnsi"/>
          <w:lang w:val="en-GB"/>
        </w:rPr>
        <w:t>/(</w:t>
      </w:r>
      <w:proofErr w:type="gramEnd"/>
      <w:r w:rsidRPr="00F32CED">
        <w:rPr>
          <w:rFonts w:cstheme="minorHAnsi"/>
          <w:lang w:val="en-GB"/>
        </w:rPr>
        <w:t>1−propensity score) times the proportion of real-world patients. The propensity score model that achieved the best balance was chosen as the primary model.</w:t>
      </w:r>
    </w:p>
    <w:p w14:paraId="199234B1" w14:textId="77777777" w:rsidR="005D18B2" w:rsidRPr="00F32CED" w:rsidRDefault="005D18B2" w:rsidP="005D18B2">
      <w:pPr>
        <w:keepNext/>
        <w:spacing w:before="120" w:after="0" w:line="480" w:lineRule="auto"/>
        <w:rPr>
          <w:rFonts w:cstheme="minorHAnsi"/>
          <w:i/>
          <w:iCs/>
          <w:lang w:val="en-GB"/>
        </w:rPr>
      </w:pPr>
      <w:r w:rsidRPr="00F32CED">
        <w:rPr>
          <w:rFonts w:cstheme="minorHAnsi"/>
          <w:i/>
          <w:iCs/>
          <w:lang w:val="en-GB"/>
        </w:rPr>
        <w:t xml:space="preserve">Step 3: Assessment of balance between cohorts on using propensity </w:t>
      </w:r>
      <w:proofErr w:type="gramStart"/>
      <w:r w:rsidRPr="00F32CED">
        <w:rPr>
          <w:rFonts w:cstheme="minorHAnsi"/>
          <w:i/>
          <w:iCs/>
          <w:lang w:val="en-GB"/>
        </w:rPr>
        <w:t>scores</w:t>
      </w:r>
      <w:proofErr w:type="gramEnd"/>
    </w:p>
    <w:p w14:paraId="18FC2E43" w14:textId="77777777" w:rsidR="005D18B2" w:rsidRPr="00F32CED" w:rsidRDefault="005D18B2" w:rsidP="005D18B2">
      <w:pPr>
        <w:spacing w:before="120" w:after="0" w:line="480" w:lineRule="auto"/>
        <w:rPr>
          <w:rFonts w:cstheme="minorHAnsi"/>
          <w:lang w:val="en-GB"/>
        </w:rPr>
      </w:pPr>
      <w:r w:rsidRPr="00F32CED">
        <w:rPr>
          <w:rFonts w:cstheme="minorHAnsi"/>
          <w:lang w:val="en-GB"/>
        </w:rPr>
        <w:t xml:space="preserve">Assessment of balance in propensity score between cohorts was conducted through a side-by-side comparison of raw baseline data for the Eligible RRMM cohort and the </w:t>
      </w:r>
      <w:proofErr w:type="spellStart"/>
      <w:r w:rsidRPr="00F32CED">
        <w:rPr>
          <w:rFonts w:cstheme="minorHAnsi"/>
          <w:lang w:val="en-GB"/>
        </w:rPr>
        <w:t>KarMMa</w:t>
      </w:r>
      <w:proofErr w:type="spellEnd"/>
      <w:r w:rsidRPr="00F32CED">
        <w:rPr>
          <w:rFonts w:cstheme="minorHAnsi"/>
          <w:lang w:val="en-GB"/>
        </w:rPr>
        <w:t xml:space="preserve"> cohort and raw and inverse propensity score weighted Eligible RRMM and </w:t>
      </w:r>
      <w:proofErr w:type="spellStart"/>
      <w:r w:rsidRPr="00F32CED">
        <w:rPr>
          <w:rFonts w:cstheme="minorHAnsi"/>
          <w:lang w:val="en-GB"/>
        </w:rPr>
        <w:t>KarMMa</w:t>
      </w:r>
      <w:proofErr w:type="spellEnd"/>
      <w:r w:rsidRPr="00F32CED">
        <w:rPr>
          <w:rFonts w:cstheme="minorHAnsi"/>
          <w:lang w:val="en-GB"/>
        </w:rPr>
        <w:t xml:space="preserve"> baseline data. For these comparisons, pooled standardized mean differences were computed using Rubin’s rules before and after balancing. For the pooled standardized differences, a threshold of 0.2 was used to indicate potentially important imbalances.</w:t>
      </w:r>
      <w:r w:rsidRPr="00F32CED">
        <w:rPr>
          <w:rFonts w:cstheme="minorHAnsi"/>
          <w:vertAlign w:val="superscript"/>
          <w:lang w:val="en-GB"/>
        </w:rPr>
        <w:t xml:space="preserve">1 </w:t>
      </w:r>
    </w:p>
    <w:p w14:paraId="1D879084" w14:textId="77777777" w:rsidR="005D18B2" w:rsidRPr="00F32CED" w:rsidRDefault="005D18B2" w:rsidP="005D18B2">
      <w:pPr>
        <w:spacing w:before="120" w:after="0" w:line="480" w:lineRule="auto"/>
        <w:rPr>
          <w:rFonts w:cstheme="minorHAnsi"/>
          <w:i/>
          <w:iCs/>
          <w:lang w:val="en-GB"/>
        </w:rPr>
      </w:pPr>
      <w:r w:rsidRPr="00F32CED">
        <w:rPr>
          <w:rFonts w:cstheme="minorHAnsi"/>
          <w:i/>
          <w:iCs/>
          <w:lang w:val="en-GB"/>
        </w:rPr>
        <w:t xml:space="preserve">Step 4: Balancing methods and criteria </w:t>
      </w:r>
    </w:p>
    <w:p w14:paraId="74BFD910" w14:textId="77777777" w:rsidR="005D18B2" w:rsidRPr="00F32CED" w:rsidRDefault="005D18B2" w:rsidP="005D18B2">
      <w:pPr>
        <w:spacing w:before="120" w:after="0" w:line="480" w:lineRule="auto"/>
        <w:rPr>
          <w:rFonts w:cstheme="minorHAnsi"/>
          <w:lang w:val="en-GB"/>
        </w:rPr>
      </w:pPr>
      <w:r w:rsidRPr="00F32CED">
        <w:rPr>
          <w:rFonts w:cstheme="minorHAnsi"/>
          <w:lang w:val="en-GB"/>
        </w:rPr>
        <w:t xml:space="preserve">It was originally planned to provide 2:1 match for the Eligible RRMM cohort and the </w:t>
      </w:r>
      <w:proofErr w:type="spellStart"/>
      <w:r w:rsidRPr="00F32CED">
        <w:rPr>
          <w:rFonts w:cstheme="minorHAnsi"/>
          <w:lang w:val="en-GB"/>
        </w:rPr>
        <w:t>KarMMa</w:t>
      </w:r>
      <w:proofErr w:type="spellEnd"/>
      <w:r w:rsidRPr="00F32CED">
        <w:rPr>
          <w:rFonts w:cstheme="minorHAnsi"/>
          <w:lang w:val="en-GB"/>
        </w:rPr>
        <w:t xml:space="preserve"> cohort; however, it </w:t>
      </w:r>
      <w:proofErr w:type="gramStart"/>
      <w:r w:rsidRPr="00F32CED">
        <w:rPr>
          <w:rFonts w:cstheme="minorHAnsi"/>
          <w:lang w:val="en-GB"/>
        </w:rPr>
        <w:t>actually included</w:t>
      </w:r>
      <w:proofErr w:type="gramEnd"/>
      <w:r w:rsidRPr="00F32CED">
        <w:rPr>
          <w:rFonts w:cstheme="minorHAnsi"/>
          <w:lang w:val="en-GB"/>
        </w:rPr>
        <w:t xml:space="preserve"> the same number of real-world patients as in the </w:t>
      </w:r>
      <w:proofErr w:type="spellStart"/>
      <w:r w:rsidRPr="00F32CED">
        <w:rPr>
          <w:rFonts w:cstheme="minorHAnsi"/>
          <w:lang w:val="en-GB"/>
        </w:rPr>
        <w:t>KarMMa</w:t>
      </w:r>
      <w:proofErr w:type="spellEnd"/>
      <w:r w:rsidRPr="00F32CED">
        <w:rPr>
          <w:rFonts w:cstheme="minorHAnsi"/>
          <w:lang w:val="en-GB"/>
        </w:rPr>
        <w:t xml:space="preserve"> cohort. The </w:t>
      </w:r>
      <w:r w:rsidRPr="00F32CED">
        <w:rPr>
          <w:rFonts w:cstheme="minorHAnsi"/>
          <w:lang w:val="en-GB"/>
        </w:rPr>
        <w:lastRenderedPageBreak/>
        <w:t xml:space="preserve">IPTW was chosen as the primary methodology with a sensitivity analysis using the greedy nearest </w:t>
      </w:r>
      <w:proofErr w:type="spellStart"/>
      <w:r w:rsidRPr="00F32CED">
        <w:rPr>
          <w:rFonts w:cstheme="minorHAnsi"/>
          <w:lang w:val="en-GB"/>
        </w:rPr>
        <w:t>neighbor</w:t>
      </w:r>
      <w:proofErr w:type="spellEnd"/>
      <w:r w:rsidRPr="00F32CED">
        <w:rPr>
          <w:rFonts w:cstheme="minorHAnsi"/>
          <w:lang w:val="en-GB"/>
        </w:rPr>
        <w:t xml:space="preserve"> matching (with </w:t>
      </w:r>
      <w:proofErr w:type="spellStart"/>
      <w:r w:rsidRPr="00F32CED">
        <w:rPr>
          <w:rFonts w:cstheme="minorHAnsi"/>
          <w:lang w:val="en-GB"/>
        </w:rPr>
        <w:t>caliper</w:t>
      </w:r>
      <w:proofErr w:type="spellEnd"/>
      <w:r w:rsidRPr="00F32CED">
        <w:rPr>
          <w:rFonts w:cstheme="minorHAnsi"/>
          <w:lang w:val="en-GB"/>
        </w:rPr>
        <w:t xml:space="preserve"> width of 0.2 standard deviation of the logit of propensity score).</w:t>
      </w:r>
    </w:p>
    <w:p w14:paraId="7EF73518" w14:textId="77777777" w:rsidR="005D18B2" w:rsidRPr="00F32CED" w:rsidRDefault="005D18B2" w:rsidP="005D18B2">
      <w:pPr>
        <w:spacing w:before="120" w:after="0" w:line="480" w:lineRule="auto"/>
        <w:rPr>
          <w:rFonts w:cstheme="minorHAnsi"/>
          <w:lang w:val="en-GB"/>
        </w:rPr>
      </w:pPr>
      <w:r w:rsidRPr="00F32CED">
        <w:rPr>
          <w:rFonts w:cstheme="minorHAnsi"/>
          <w:lang w:val="en-GB"/>
        </w:rPr>
        <w:t xml:space="preserve">The greedy nearest </w:t>
      </w:r>
      <w:proofErr w:type="spellStart"/>
      <w:r w:rsidRPr="00F32CED">
        <w:rPr>
          <w:rFonts w:cstheme="minorHAnsi"/>
          <w:lang w:val="en-GB"/>
        </w:rPr>
        <w:t>neighbor</w:t>
      </w:r>
      <w:proofErr w:type="spellEnd"/>
      <w:r w:rsidRPr="00F32CED">
        <w:rPr>
          <w:rFonts w:cstheme="minorHAnsi"/>
          <w:lang w:val="en-GB"/>
        </w:rPr>
        <w:t xml:space="preserve"> match took the closest </w:t>
      </w:r>
      <w:proofErr w:type="spellStart"/>
      <w:r w:rsidRPr="00F32CED">
        <w:rPr>
          <w:rFonts w:cstheme="minorHAnsi"/>
          <w:lang w:val="en-GB"/>
        </w:rPr>
        <w:t>neighbor</w:t>
      </w:r>
      <w:proofErr w:type="spellEnd"/>
      <w:r w:rsidRPr="00F32CED">
        <w:rPr>
          <w:rFonts w:cstheme="minorHAnsi"/>
          <w:lang w:val="en-GB"/>
        </w:rPr>
        <w:t xml:space="preserve"> real-world patient in the Eligible RRMM cohort, matched to the patient in the </w:t>
      </w:r>
      <w:proofErr w:type="spellStart"/>
      <w:r w:rsidRPr="00F32CED">
        <w:rPr>
          <w:rFonts w:cstheme="minorHAnsi"/>
          <w:lang w:val="en-GB"/>
        </w:rPr>
        <w:t>KarMMa</w:t>
      </w:r>
      <w:proofErr w:type="spellEnd"/>
      <w:r w:rsidRPr="00F32CED">
        <w:rPr>
          <w:rFonts w:cstheme="minorHAnsi"/>
          <w:lang w:val="en-GB"/>
        </w:rPr>
        <w:t xml:space="preserve"> study. This matching was done without replacement so that once a pair was matched, they were removed from the pool of candidates for matching. In this 1:1 greedy nearest </w:t>
      </w:r>
      <w:proofErr w:type="spellStart"/>
      <w:r w:rsidRPr="00F32CED">
        <w:rPr>
          <w:rFonts w:cstheme="minorHAnsi"/>
          <w:lang w:val="en-GB"/>
        </w:rPr>
        <w:t>neighbor</w:t>
      </w:r>
      <w:proofErr w:type="spellEnd"/>
      <w:r w:rsidRPr="00F32CED">
        <w:rPr>
          <w:rFonts w:cstheme="minorHAnsi"/>
          <w:lang w:val="en-GB"/>
        </w:rPr>
        <w:t xml:space="preserve"> matching one patient in the real-world cohort was matched with a single patient in the </w:t>
      </w:r>
      <w:proofErr w:type="spellStart"/>
      <w:r w:rsidRPr="00F32CED">
        <w:rPr>
          <w:rFonts w:cstheme="minorHAnsi"/>
          <w:lang w:val="en-GB"/>
        </w:rPr>
        <w:t>KarMMa</w:t>
      </w:r>
      <w:proofErr w:type="spellEnd"/>
      <w:r w:rsidRPr="00F32CED">
        <w:rPr>
          <w:rFonts w:cstheme="minorHAnsi"/>
          <w:lang w:val="en-GB"/>
        </w:rPr>
        <w:t xml:space="preserve"> study, such that the matching produced the smallest within-pair difference among all available pairs with this treated unit. Matching was done based on the logit of the propensity using a </w:t>
      </w:r>
      <w:proofErr w:type="spellStart"/>
      <w:r w:rsidRPr="00F32CED">
        <w:rPr>
          <w:rFonts w:cstheme="minorHAnsi"/>
          <w:lang w:val="en-GB"/>
        </w:rPr>
        <w:t>caliper</w:t>
      </w:r>
      <w:proofErr w:type="spellEnd"/>
      <w:r w:rsidRPr="00F32CED">
        <w:rPr>
          <w:rFonts w:cstheme="minorHAnsi"/>
          <w:lang w:val="en-GB"/>
        </w:rPr>
        <w:t xml:space="preserve"> distance of 0.2 standard deviation.  A dataset of propensity score was provided by patient, matched set, and cohort prior to conducting any analyses.</w:t>
      </w:r>
    </w:p>
    <w:p w14:paraId="6CBCC457" w14:textId="77777777" w:rsidR="005D18B2" w:rsidRPr="00F32CED" w:rsidRDefault="005D18B2" w:rsidP="005D18B2">
      <w:pPr>
        <w:spacing w:before="120" w:after="0" w:line="480" w:lineRule="auto"/>
        <w:rPr>
          <w:rFonts w:cstheme="minorHAnsi"/>
          <w:i/>
          <w:iCs/>
          <w:lang w:val="en-GB"/>
        </w:rPr>
      </w:pPr>
      <w:r w:rsidRPr="00F32CED">
        <w:rPr>
          <w:rFonts w:cstheme="minorHAnsi"/>
          <w:i/>
          <w:iCs/>
          <w:lang w:val="en-GB"/>
        </w:rPr>
        <w:t xml:space="preserve">Step 5: Risk ratios and hazards ratios </w:t>
      </w:r>
    </w:p>
    <w:p w14:paraId="20C529BB" w14:textId="77777777" w:rsidR="005D18B2" w:rsidRPr="00F32CED" w:rsidRDefault="005D18B2" w:rsidP="005D18B2">
      <w:pPr>
        <w:spacing w:before="120" w:after="0" w:line="480" w:lineRule="auto"/>
        <w:rPr>
          <w:rFonts w:cstheme="minorHAnsi"/>
          <w:lang w:val="en-GB"/>
        </w:rPr>
      </w:pPr>
      <w:r w:rsidRPr="00F32CED">
        <w:rPr>
          <w:rFonts w:cstheme="minorHAnsi"/>
          <w:lang w:val="en-GB"/>
        </w:rPr>
        <w:t>Risk ratios and hazards ratios were then estimated for each of the 30 datasets. Overall estimates were then obtained using Rubin’s rules. This approach provided unbiased estimates with appropriate confidence intervals.</w:t>
      </w:r>
    </w:p>
    <w:p w14:paraId="46DEA29B" w14:textId="77777777" w:rsidR="005D18B2" w:rsidRPr="00F32CED" w:rsidRDefault="005D18B2" w:rsidP="005D18B2">
      <w:pPr>
        <w:spacing w:before="120" w:after="0" w:line="480" w:lineRule="auto"/>
        <w:rPr>
          <w:rFonts w:cstheme="minorHAnsi"/>
          <w:i/>
          <w:iCs/>
          <w:lang w:val="en-GB"/>
        </w:rPr>
      </w:pPr>
      <w:r w:rsidRPr="00F32CED">
        <w:rPr>
          <w:rFonts w:cstheme="minorHAnsi"/>
          <w:i/>
          <w:iCs/>
          <w:lang w:val="en-GB"/>
        </w:rPr>
        <w:t>Step 6: Analysis firewall</w:t>
      </w:r>
    </w:p>
    <w:p w14:paraId="6610EC92" w14:textId="77777777" w:rsidR="005D18B2" w:rsidRPr="00F32CED" w:rsidRDefault="005D18B2" w:rsidP="005D18B2">
      <w:pPr>
        <w:spacing w:before="120" w:after="0" w:line="480" w:lineRule="auto"/>
        <w:rPr>
          <w:rFonts w:cstheme="minorHAnsi"/>
          <w:lang w:val="en-GB"/>
        </w:rPr>
      </w:pPr>
      <w:r w:rsidRPr="00F32CED">
        <w:rPr>
          <w:rFonts w:cstheme="minorHAnsi"/>
          <w:lang w:val="en-GB"/>
        </w:rPr>
        <w:t>For the initial wave of analysis, there was a firewall between the propensity score balancing process and the analysis of the postbaseline response and outcome data. The balancing process was conducted by statisticians and programmers without knowledge of outcome data. Once the IPTW and the matching flags were generated and frozen, the statisticians and programmers were given access to the outcome data.</w:t>
      </w:r>
    </w:p>
    <w:p w14:paraId="32509C32" w14:textId="77777777" w:rsidR="005D18B2" w:rsidRPr="00F32CED" w:rsidRDefault="005D18B2" w:rsidP="005D18B2">
      <w:pPr>
        <w:spacing w:line="256" w:lineRule="auto"/>
        <w:rPr>
          <w:rFonts w:cstheme="minorHAnsi"/>
        </w:rPr>
      </w:pPr>
      <w:r w:rsidRPr="00F32CED">
        <w:rPr>
          <w:rFonts w:cstheme="minorHAnsi"/>
        </w:rPr>
        <w:br w:type="page"/>
      </w:r>
      <w:r w:rsidRPr="00F32CED">
        <w:rPr>
          <w:rFonts w:cstheme="minorHAnsi"/>
          <w:b/>
          <w:bCs/>
        </w:rPr>
        <w:lastRenderedPageBreak/>
        <w:t>Supplementary Table 1.</w:t>
      </w:r>
      <w:r w:rsidRPr="00F32CED">
        <w:rPr>
          <w:rFonts w:cstheme="minorHAnsi"/>
        </w:rPr>
        <w:t xml:space="preserve"> </w:t>
      </w:r>
      <w:r w:rsidRPr="00F32CED">
        <w:rPr>
          <w:rFonts w:cstheme="minorHAnsi"/>
          <w:b/>
          <w:bCs/>
          <w:iCs/>
        </w:rPr>
        <w:t xml:space="preserve">Balance of baseline demographics and disease characteristics </w:t>
      </w:r>
    </w:p>
    <w:tbl>
      <w:tblPr>
        <w:tblStyle w:val="C-Table2"/>
        <w:tblW w:w="5050" w:type="pct"/>
        <w:tblInd w:w="0" w:type="dxa"/>
        <w:tblLayout w:type="fixed"/>
        <w:tblLook w:val="04A0" w:firstRow="1" w:lastRow="0" w:firstColumn="1" w:lastColumn="0" w:noHBand="0" w:noVBand="1"/>
      </w:tblPr>
      <w:tblGrid>
        <w:gridCol w:w="2169"/>
        <w:gridCol w:w="1127"/>
        <w:gridCol w:w="1127"/>
        <w:gridCol w:w="1194"/>
        <w:gridCol w:w="1161"/>
        <w:gridCol w:w="1161"/>
        <w:gridCol w:w="1161"/>
      </w:tblGrid>
      <w:tr w:rsidR="005D18B2" w:rsidRPr="00F32CED" w14:paraId="5D5CD926" w14:textId="77777777" w:rsidTr="008A6C13">
        <w:trPr>
          <w:trHeight w:val="134"/>
          <w:tblHeader/>
        </w:trPr>
        <w:tc>
          <w:tcPr>
            <w:tcW w:w="2187" w:type="dxa"/>
            <w:tcBorders>
              <w:top w:val="single" w:sz="6" w:space="0" w:color="auto"/>
              <w:left w:val="single" w:sz="6" w:space="0" w:color="auto"/>
              <w:bottom w:val="single" w:sz="6" w:space="0" w:color="auto"/>
              <w:right w:val="single" w:sz="6" w:space="0" w:color="auto"/>
            </w:tcBorders>
          </w:tcPr>
          <w:p w14:paraId="5984E701" w14:textId="77777777" w:rsidR="005D18B2" w:rsidRPr="00F32CED" w:rsidRDefault="005D18B2" w:rsidP="008A6C13">
            <w:pPr>
              <w:keepNext/>
              <w:spacing w:before="60" w:after="60"/>
              <w:rPr>
                <w:rFonts w:asciiTheme="minorHAnsi" w:eastAsia="Calibri" w:hAnsiTheme="minorHAnsi" w:cstheme="minorHAnsi"/>
                <w:bCs/>
              </w:rPr>
            </w:pPr>
          </w:p>
        </w:tc>
        <w:tc>
          <w:tcPr>
            <w:tcW w:w="3475" w:type="dxa"/>
            <w:gridSpan w:val="3"/>
            <w:tcBorders>
              <w:top w:val="single" w:sz="6" w:space="0" w:color="auto"/>
              <w:left w:val="single" w:sz="6" w:space="0" w:color="auto"/>
              <w:bottom w:val="single" w:sz="6" w:space="0" w:color="auto"/>
              <w:right w:val="single" w:sz="6" w:space="0" w:color="auto"/>
            </w:tcBorders>
            <w:vAlign w:val="center"/>
            <w:hideMark/>
          </w:tcPr>
          <w:p w14:paraId="5A9EFE15"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Before balancing</w:t>
            </w:r>
          </w:p>
        </w:tc>
        <w:tc>
          <w:tcPr>
            <w:tcW w:w="3510" w:type="dxa"/>
            <w:gridSpan w:val="3"/>
            <w:tcBorders>
              <w:top w:val="single" w:sz="6" w:space="0" w:color="auto"/>
              <w:left w:val="single" w:sz="6" w:space="0" w:color="auto"/>
              <w:bottom w:val="single" w:sz="6" w:space="0" w:color="auto"/>
              <w:right w:val="single" w:sz="6" w:space="0" w:color="auto"/>
            </w:tcBorders>
            <w:vAlign w:val="center"/>
            <w:hideMark/>
          </w:tcPr>
          <w:p w14:paraId="20865AF9"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After balancing</w:t>
            </w:r>
          </w:p>
        </w:tc>
      </w:tr>
      <w:tr w:rsidR="005D18B2" w:rsidRPr="00F32CED" w14:paraId="294220AB" w14:textId="77777777" w:rsidTr="008A6C13">
        <w:trPr>
          <w:trHeight w:val="1411"/>
          <w:tblHeader/>
        </w:trPr>
        <w:tc>
          <w:tcPr>
            <w:tcW w:w="2187" w:type="dxa"/>
            <w:tcBorders>
              <w:top w:val="single" w:sz="6" w:space="0" w:color="auto"/>
              <w:left w:val="single" w:sz="6" w:space="0" w:color="auto"/>
              <w:bottom w:val="single" w:sz="6" w:space="0" w:color="auto"/>
              <w:right w:val="single" w:sz="6" w:space="0" w:color="auto"/>
            </w:tcBorders>
            <w:vAlign w:val="bottom"/>
            <w:hideMark/>
          </w:tcPr>
          <w:p w14:paraId="4E0366B6" w14:textId="77777777" w:rsidR="005D18B2" w:rsidRPr="00F32CED" w:rsidRDefault="005D18B2" w:rsidP="008A6C13">
            <w:pPr>
              <w:keepNext/>
              <w:spacing w:before="60" w:after="60"/>
              <w:rPr>
                <w:rFonts w:asciiTheme="minorHAnsi" w:eastAsia="Calibri" w:hAnsiTheme="minorHAnsi" w:cstheme="minorHAnsi"/>
                <w:b/>
              </w:rPr>
            </w:pPr>
            <w:r w:rsidRPr="00F32CED">
              <w:rPr>
                <w:rFonts w:asciiTheme="minorHAnsi" w:eastAsia="Calibri" w:hAnsiTheme="minorHAnsi" w:cstheme="minorHAnsi"/>
                <w:b/>
              </w:rPr>
              <w:t>Covariate*</w:t>
            </w:r>
          </w:p>
        </w:tc>
        <w:tc>
          <w:tcPr>
            <w:tcW w:w="1136" w:type="dxa"/>
            <w:tcBorders>
              <w:top w:val="single" w:sz="6" w:space="0" w:color="auto"/>
              <w:left w:val="single" w:sz="6" w:space="0" w:color="auto"/>
              <w:bottom w:val="single" w:sz="6" w:space="0" w:color="auto"/>
              <w:right w:val="single" w:sz="6" w:space="0" w:color="auto"/>
            </w:tcBorders>
            <w:vAlign w:val="center"/>
            <w:hideMark/>
          </w:tcPr>
          <w:p w14:paraId="73884123" w14:textId="77777777" w:rsidR="005D18B2" w:rsidRPr="00F32CED" w:rsidRDefault="005D18B2" w:rsidP="008A6C13">
            <w:pPr>
              <w:keepNext/>
              <w:spacing w:before="60" w:after="60"/>
              <w:jc w:val="center"/>
              <w:rPr>
                <w:rFonts w:asciiTheme="minorHAnsi" w:eastAsia="Calibri" w:hAnsiTheme="minorHAnsi" w:cstheme="minorHAnsi"/>
                <w:b/>
              </w:rPr>
            </w:pP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 xml:space="preserve"> cohort</w:t>
            </w:r>
            <w:r w:rsidRPr="00F32CED">
              <w:rPr>
                <w:rFonts w:asciiTheme="minorHAnsi" w:eastAsia="Calibri" w:hAnsiTheme="minorHAnsi" w:cstheme="minorHAnsi"/>
                <w:b/>
                <w:vertAlign w:val="superscript"/>
              </w:rPr>
              <w:t>†</w:t>
            </w:r>
          </w:p>
          <w:p w14:paraId="4D37C091"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(N=128)</w:t>
            </w:r>
          </w:p>
        </w:tc>
        <w:tc>
          <w:tcPr>
            <w:tcW w:w="1136" w:type="dxa"/>
            <w:tcBorders>
              <w:top w:val="single" w:sz="6" w:space="0" w:color="auto"/>
              <w:left w:val="single" w:sz="6" w:space="0" w:color="auto"/>
              <w:bottom w:val="single" w:sz="6" w:space="0" w:color="auto"/>
              <w:right w:val="single" w:sz="6" w:space="0" w:color="auto"/>
            </w:tcBorders>
            <w:vAlign w:val="center"/>
            <w:hideMark/>
          </w:tcPr>
          <w:p w14:paraId="6EE36765"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Eligible RRMM cohort</w:t>
            </w:r>
          </w:p>
          <w:p w14:paraId="25027D09"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(N=190)</w:t>
            </w:r>
          </w:p>
        </w:tc>
        <w:tc>
          <w:tcPr>
            <w:tcW w:w="1203" w:type="dxa"/>
            <w:tcBorders>
              <w:top w:val="single" w:sz="6" w:space="0" w:color="auto"/>
              <w:left w:val="single" w:sz="6" w:space="0" w:color="auto"/>
              <w:bottom w:val="single" w:sz="6" w:space="0" w:color="auto"/>
              <w:right w:val="single" w:sz="6" w:space="0" w:color="auto"/>
            </w:tcBorders>
            <w:vAlign w:val="center"/>
            <w:hideMark/>
          </w:tcPr>
          <w:p w14:paraId="6B83991C"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SMD</w:t>
            </w:r>
          </w:p>
          <w:p w14:paraId="3295B505"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w:t>
            </w: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 xml:space="preserve"> − Eligible RRMM)</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44E3F62" w14:textId="77777777" w:rsidR="005D18B2" w:rsidRPr="00F32CED" w:rsidRDefault="005D18B2" w:rsidP="008A6C13">
            <w:pPr>
              <w:keepNext/>
              <w:spacing w:before="60" w:after="60"/>
              <w:jc w:val="center"/>
              <w:rPr>
                <w:rFonts w:asciiTheme="minorHAnsi" w:eastAsia="Calibri" w:hAnsiTheme="minorHAnsi" w:cstheme="minorHAnsi"/>
                <w:b/>
              </w:rPr>
            </w:pP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 xml:space="preserve"> cohort</w:t>
            </w:r>
            <w:r w:rsidRPr="00F32CED">
              <w:rPr>
                <w:rFonts w:asciiTheme="minorHAnsi" w:eastAsia="Calibri" w:hAnsiTheme="minorHAnsi" w:cstheme="minorHAnsi"/>
                <w:b/>
                <w:vertAlign w:val="superscript"/>
              </w:rPr>
              <w:t>†</w:t>
            </w:r>
          </w:p>
          <w:p w14:paraId="38E25FC7"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(N=128)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F813294"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Eligible RRMM cohort</w:t>
            </w:r>
          </w:p>
          <w:p w14:paraId="7A7E3712"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(N=190)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713AF8A"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SMD (</w:t>
            </w: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 xml:space="preserve"> − Eligible RRMM)</w:t>
            </w:r>
          </w:p>
        </w:tc>
      </w:tr>
      <w:tr w:rsidR="005D18B2" w:rsidRPr="00F32CED" w14:paraId="6A850BA8" w14:textId="77777777" w:rsidTr="008A6C13">
        <w:trPr>
          <w:trHeight w:val="344"/>
        </w:trPr>
        <w:tc>
          <w:tcPr>
            <w:tcW w:w="2187" w:type="dxa"/>
            <w:tcBorders>
              <w:top w:val="single" w:sz="6" w:space="0" w:color="auto"/>
              <w:left w:val="single" w:sz="6" w:space="0" w:color="auto"/>
              <w:bottom w:val="single" w:sz="6" w:space="0" w:color="auto"/>
              <w:right w:val="single" w:sz="6" w:space="0" w:color="auto"/>
            </w:tcBorders>
            <w:vAlign w:val="center"/>
            <w:hideMark/>
          </w:tcPr>
          <w:p w14:paraId="68EC0A4C"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Age, years</w:t>
            </w:r>
          </w:p>
        </w:tc>
        <w:tc>
          <w:tcPr>
            <w:tcW w:w="1136" w:type="dxa"/>
            <w:tcBorders>
              <w:top w:val="single" w:sz="6" w:space="0" w:color="auto"/>
              <w:left w:val="single" w:sz="6" w:space="0" w:color="auto"/>
              <w:bottom w:val="single" w:sz="6" w:space="0" w:color="auto"/>
              <w:right w:val="single" w:sz="6" w:space="0" w:color="auto"/>
            </w:tcBorders>
            <w:vAlign w:val="center"/>
            <w:hideMark/>
          </w:tcPr>
          <w:p w14:paraId="4253FF11"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59.8</w:t>
            </w:r>
          </w:p>
        </w:tc>
        <w:tc>
          <w:tcPr>
            <w:tcW w:w="1136" w:type="dxa"/>
            <w:tcBorders>
              <w:top w:val="single" w:sz="6" w:space="0" w:color="auto"/>
              <w:left w:val="single" w:sz="6" w:space="0" w:color="auto"/>
              <w:bottom w:val="single" w:sz="6" w:space="0" w:color="auto"/>
              <w:right w:val="single" w:sz="6" w:space="0" w:color="auto"/>
            </w:tcBorders>
            <w:vAlign w:val="center"/>
            <w:hideMark/>
          </w:tcPr>
          <w:p w14:paraId="2B6D19E0"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64.5</w:t>
            </w:r>
          </w:p>
        </w:tc>
        <w:tc>
          <w:tcPr>
            <w:tcW w:w="1203" w:type="dxa"/>
            <w:tcBorders>
              <w:top w:val="single" w:sz="6" w:space="0" w:color="auto"/>
              <w:left w:val="single" w:sz="6" w:space="0" w:color="auto"/>
              <w:bottom w:val="single" w:sz="6" w:space="0" w:color="auto"/>
              <w:right w:val="single" w:sz="6" w:space="0" w:color="auto"/>
            </w:tcBorders>
            <w:vAlign w:val="center"/>
            <w:hideMark/>
          </w:tcPr>
          <w:p w14:paraId="13867308"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−0.5068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7F7A66A"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2B8064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62.9</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8D690F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−0.2189</w:t>
            </w:r>
          </w:p>
        </w:tc>
      </w:tr>
      <w:tr w:rsidR="005D18B2" w:rsidRPr="00F32CED" w14:paraId="0AF53E03" w14:textId="77777777" w:rsidTr="008A6C13">
        <w:trPr>
          <w:trHeight w:val="563"/>
        </w:trPr>
        <w:tc>
          <w:tcPr>
            <w:tcW w:w="2187" w:type="dxa"/>
            <w:tcBorders>
              <w:top w:val="single" w:sz="6" w:space="0" w:color="auto"/>
              <w:left w:val="single" w:sz="6" w:space="0" w:color="auto"/>
              <w:bottom w:val="single" w:sz="6" w:space="0" w:color="auto"/>
              <w:right w:val="single" w:sz="6" w:space="0" w:color="auto"/>
            </w:tcBorders>
            <w:vAlign w:val="center"/>
            <w:hideMark/>
          </w:tcPr>
          <w:p w14:paraId="0D1D0C64"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Male, %</w:t>
            </w:r>
          </w:p>
        </w:tc>
        <w:tc>
          <w:tcPr>
            <w:tcW w:w="1136" w:type="dxa"/>
            <w:tcBorders>
              <w:top w:val="single" w:sz="6" w:space="0" w:color="auto"/>
              <w:left w:val="single" w:sz="6" w:space="0" w:color="auto"/>
              <w:bottom w:val="single" w:sz="6" w:space="0" w:color="auto"/>
              <w:right w:val="single" w:sz="6" w:space="0" w:color="auto"/>
            </w:tcBorders>
            <w:vAlign w:val="center"/>
            <w:hideMark/>
          </w:tcPr>
          <w:p w14:paraId="2E71226F"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36" w:type="dxa"/>
            <w:tcBorders>
              <w:top w:val="single" w:sz="6" w:space="0" w:color="auto"/>
              <w:left w:val="single" w:sz="6" w:space="0" w:color="auto"/>
              <w:bottom w:val="single" w:sz="6" w:space="0" w:color="auto"/>
              <w:right w:val="single" w:sz="6" w:space="0" w:color="auto"/>
            </w:tcBorders>
            <w:vAlign w:val="center"/>
            <w:hideMark/>
          </w:tcPr>
          <w:p w14:paraId="4542C874"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203" w:type="dxa"/>
            <w:tcBorders>
              <w:top w:val="single" w:sz="6" w:space="0" w:color="auto"/>
              <w:left w:val="single" w:sz="6" w:space="0" w:color="auto"/>
              <w:bottom w:val="single" w:sz="6" w:space="0" w:color="auto"/>
              <w:right w:val="single" w:sz="6" w:space="0" w:color="auto"/>
            </w:tcBorders>
            <w:vAlign w:val="center"/>
            <w:hideMark/>
          </w:tcPr>
          <w:p w14:paraId="2E10D299"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0.0194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66C03DC"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8DCE551"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D561877"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−0.0753</w:t>
            </w:r>
          </w:p>
        </w:tc>
      </w:tr>
      <w:tr w:rsidR="005D18B2" w:rsidRPr="00F32CED" w14:paraId="44951CE0" w14:textId="77777777" w:rsidTr="008A6C13">
        <w:trPr>
          <w:trHeight w:val="563"/>
        </w:trPr>
        <w:tc>
          <w:tcPr>
            <w:tcW w:w="2187" w:type="dxa"/>
            <w:tcBorders>
              <w:top w:val="single" w:sz="6" w:space="0" w:color="auto"/>
              <w:left w:val="single" w:sz="6" w:space="0" w:color="auto"/>
              <w:bottom w:val="single" w:sz="6" w:space="0" w:color="auto"/>
              <w:right w:val="single" w:sz="6" w:space="0" w:color="auto"/>
            </w:tcBorders>
            <w:vAlign w:val="center"/>
            <w:hideMark/>
          </w:tcPr>
          <w:p w14:paraId="7D58B614"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Time since initial diagnosis</w:t>
            </w:r>
          </w:p>
        </w:tc>
        <w:tc>
          <w:tcPr>
            <w:tcW w:w="1136" w:type="dxa"/>
            <w:tcBorders>
              <w:top w:val="single" w:sz="6" w:space="0" w:color="auto"/>
              <w:left w:val="single" w:sz="6" w:space="0" w:color="auto"/>
              <w:bottom w:val="single" w:sz="6" w:space="0" w:color="auto"/>
              <w:right w:val="single" w:sz="6" w:space="0" w:color="auto"/>
            </w:tcBorders>
            <w:vAlign w:val="center"/>
            <w:hideMark/>
          </w:tcPr>
          <w:p w14:paraId="4F4E17EC"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6.9</w:t>
            </w:r>
          </w:p>
        </w:tc>
        <w:tc>
          <w:tcPr>
            <w:tcW w:w="1136" w:type="dxa"/>
            <w:tcBorders>
              <w:top w:val="single" w:sz="6" w:space="0" w:color="auto"/>
              <w:left w:val="single" w:sz="6" w:space="0" w:color="auto"/>
              <w:bottom w:val="single" w:sz="6" w:space="0" w:color="auto"/>
              <w:right w:val="single" w:sz="6" w:space="0" w:color="auto"/>
            </w:tcBorders>
            <w:vAlign w:val="center"/>
            <w:hideMark/>
          </w:tcPr>
          <w:p w14:paraId="01F89FEA"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4.9</w:t>
            </w:r>
          </w:p>
        </w:tc>
        <w:tc>
          <w:tcPr>
            <w:tcW w:w="1203" w:type="dxa"/>
            <w:tcBorders>
              <w:top w:val="single" w:sz="6" w:space="0" w:color="auto"/>
              <w:left w:val="single" w:sz="6" w:space="0" w:color="auto"/>
              <w:bottom w:val="single" w:sz="6" w:space="0" w:color="auto"/>
              <w:right w:val="single" w:sz="6" w:space="0" w:color="auto"/>
            </w:tcBorders>
            <w:vAlign w:val="center"/>
            <w:hideMark/>
          </w:tcPr>
          <w:p w14:paraId="3A1B8C0E"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0.5814</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DD8C9D5"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0C3CB92"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5.9</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26555B0"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0.1289</w:t>
            </w:r>
          </w:p>
        </w:tc>
      </w:tr>
      <w:tr w:rsidR="005D18B2" w:rsidRPr="00F32CED" w14:paraId="740D01BB" w14:textId="77777777" w:rsidTr="008A6C13">
        <w:trPr>
          <w:trHeight w:val="573"/>
        </w:trPr>
        <w:tc>
          <w:tcPr>
            <w:tcW w:w="2187" w:type="dxa"/>
            <w:tcBorders>
              <w:top w:val="single" w:sz="6" w:space="0" w:color="auto"/>
              <w:left w:val="single" w:sz="6" w:space="0" w:color="auto"/>
              <w:bottom w:val="single" w:sz="6" w:space="0" w:color="auto"/>
              <w:right w:val="single" w:sz="6" w:space="0" w:color="auto"/>
            </w:tcBorders>
            <w:vAlign w:val="center"/>
            <w:hideMark/>
          </w:tcPr>
          <w:p w14:paraId="27819258"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Corrected calcium, mmol/L</w:t>
            </w:r>
          </w:p>
        </w:tc>
        <w:tc>
          <w:tcPr>
            <w:tcW w:w="1136" w:type="dxa"/>
            <w:tcBorders>
              <w:top w:val="single" w:sz="6" w:space="0" w:color="auto"/>
              <w:left w:val="single" w:sz="6" w:space="0" w:color="auto"/>
              <w:bottom w:val="single" w:sz="6" w:space="0" w:color="auto"/>
              <w:right w:val="single" w:sz="6" w:space="0" w:color="auto"/>
            </w:tcBorders>
            <w:vAlign w:val="center"/>
            <w:hideMark/>
          </w:tcPr>
          <w:p w14:paraId="30D8130F"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3.0</w:t>
            </w:r>
          </w:p>
        </w:tc>
        <w:tc>
          <w:tcPr>
            <w:tcW w:w="1136" w:type="dxa"/>
            <w:tcBorders>
              <w:top w:val="single" w:sz="6" w:space="0" w:color="auto"/>
              <w:left w:val="single" w:sz="6" w:space="0" w:color="auto"/>
              <w:bottom w:val="single" w:sz="6" w:space="0" w:color="auto"/>
              <w:right w:val="single" w:sz="6" w:space="0" w:color="auto"/>
            </w:tcBorders>
            <w:vAlign w:val="center"/>
            <w:hideMark/>
          </w:tcPr>
          <w:p w14:paraId="6C5FFF29"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2.4</w:t>
            </w:r>
          </w:p>
        </w:tc>
        <w:tc>
          <w:tcPr>
            <w:tcW w:w="1203" w:type="dxa"/>
            <w:tcBorders>
              <w:top w:val="single" w:sz="6" w:space="0" w:color="auto"/>
              <w:left w:val="single" w:sz="6" w:space="0" w:color="auto"/>
              <w:bottom w:val="single" w:sz="6" w:space="0" w:color="auto"/>
              <w:right w:val="single" w:sz="6" w:space="0" w:color="auto"/>
            </w:tcBorders>
            <w:vAlign w:val="center"/>
            <w:hideMark/>
          </w:tcPr>
          <w:p w14:paraId="39CCCA7F"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0.4302</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08134B2"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2.8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77CF39DF"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2.5</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3EC1C78"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0.2693</w:t>
            </w:r>
          </w:p>
        </w:tc>
      </w:tr>
      <w:tr w:rsidR="005D18B2" w:rsidRPr="00F32CED" w14:paraId="2BA26ABC" w14:textId="77777777" w:rsidTr="008A6C13">
        <w:trPr>
          <w:trHeight w:val="573"/>
        </w:trPr>
        <w:tc>
          <w:tcPr>
            <w:tcW w:w="2187" w:type="dxa"/>
            <w:tcBorders>
              <w:top w:val="single" w:sz="6" w:space="0" w:color="auto"/>
              <w:left w:val="single" w:sz="6" w:space="0" w:color="auto"/>
              <w:bottom w:val="single" w:sz="6" w:space="0" w:color="auto"/>
              <w:right w:val="single" w:sz="6" w:space="0" w:color="auto"/>
            </w:tcBorders>
            <w:vAlign w:val="center"/>
            <w:hideMark/>
          </w:tcPr>
          <w:p w14:paraId="3208507B"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Number of prior regimens</w:t>
            </w:r>
          </w:p>
        </w:tc>
        <w:tc>
          <w:tcPr>
            <w:tcW w:w="1136" w:type="dxa"/>
            <w:tcBorders>
              <w:top w:val="single" w:sz="6" w:space="0" w:color="auto"/>
              <w:left w:val="single" w:sz="6" w:space="0" w:color="auto"/>
              <w:bottom w:val="single" w:sz="6" w:space="0" w:color="auto"/>
              <w:right w:val="single" w:sz="6" w:space="0" w:color="auto"/>
            </w:tcBorders>
            <w:vAlign w:val="center"/>
            <w:hideMark/>
          </w:tcPr>
          <w:p w14:paraId="040447BE"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5.6</w:t>
            </w:r>
          </w:p>
        </w:tc>
        <w:tc>
          <w:tcPr>
            <w:tcW w:w="1136" w:type="dxa"/>
            <w:tcBorders>
              <w:top w:val="single" w:sz="6" w:space="0" w:color="auto"/>
              <w:left w:val="single" w:sz="6" w:space="0" w:color="auto"/>
              <w:bottom w:val="single" w:sz="6" w:space="0" w:color="auto"/>
              <w:right w:val="single" w:sz="6" w:space="0" w:color="auto"/>
            </w:tcBorders>
            <w:vAlign w:val="center"/>
            <w:hideMark/>
          </w:tcPr>
          <w:p w14:paraId="3340FB52"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4.8</w:t>
            </w:r>
          </w:p>
        </w:tc>
        <w:tc>
          <w:tcPr>
            <w:tcW w:w="1203" w:type="dxa"/>
            <w:tcBorders>
              <w:top w:val="single" w:sz="6" w:space="0" w:color="auto"/>
              <w:left w:val="single" w:sz="6" w:space="0" w:color="auto"/>
              <w:bottom w:val="single" w:sz="6" w:space="0" w:color="auto"/>
              <w:right w:val="single" w:sz="6" w:space="0" w:color="auto"/>
            </w:tcBorders>
            <w:vAlign w:val="center"/>
            <w:hideMark/>
          </w:tcPr>
          <w:p w14:paraId="5EF65493"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0.5288</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B1778C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E820B71"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DFDC605"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0.0611</w:t>
            </w:r>
          </w:p>
        </w:tc>
      </w:tr>
      <w:tr w:rsidR="005D18B2" w:rsidRPr="00F32CED" w14:paraId="470D571E" w14:textId="77777777" w:rsidTr="008A6C13">
        <w:trPr>
          <w:trHeight w:val="701"/>
        </w:trPr>
        <w:tc>
          <w:tcPr>
            <w:tcW w:w="2187" w:type="dxa"/>
            <w:tcBorders>
              <w:top w:val="single" w:sz="6" w:space="0" w:color="auto"/>
              <w:left w:val="single" w:sz="6" w:space="0" w:color="auto"/>
              <w:bottom w:val="single" w:sz="6" w:space="0" w:color="auto"/>
              <w:right w:val="single" w:sz="6" w:space="0" w:color="auto"/>
            </w:tcBorders>
            <w:vAlign w:val="center"/>
            <w:hideMark/>
          </w:tcPr>
          <w:p w14:paraId="10E57BA0"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Number of prior regimens per year since diagnosis</w:t>
            </w:r>
          </w:p>
        </w:tc>
        <w:tc>
          <w:tcPr>
            <w:tcW w:w="1136" w:type="dxa"/>
            <w:tcBorders>
              <w:top w:val="single" w:sz="6" w:space="0" w:color="auto"/>
              <w:left w:val="single" w:sz="6" w:space="0" w:color="auto"/>
              <w:bottom w:val="single" w:sz="6" w:space="0" w:color="auto"/>
              <w:right w:val="single" w:sz="6" w:space="0" w:color="auto"/>
            </w:tcBorders>
            <w:vAlign w:val="center"/>
            <w:hideMark/>
          </w:tcPr>
          <w:p w14:paraId="4EC46DFC"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1.2</w:t>
            </w:r>
          </w:p>
        </w:tc>
        <w:tc>
          <w:tcPr>
            <w:tcW w:w="1136" w:type="dxa"/>
            <w:tcBorders>
              <w:top w:val="single" w:sz="6" w:space="0" w:color="auto"/>
              <w:left w:val="single" w:sz="6" w:space="0" w:color="auto"/>
              <w:bottom w:val="single" w:sz="6" w:space="0" w:color="auto"/>
              <w:right w:val="single" w:sz="6" w:space="0" w:color="auto"/>
            </w:tcBorders>
            <w:vAlign w:val="center"/>
            <w:hideMark/>
          </w:tcPr>
          <w:p w14:paraId="60BC339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1.3</w:t>
            </w:r>
          </w:p>
        </w:tc>
        <w:tc>
          <w:tcPr>
            <w:tcW w:w="1203" w:type="dxa"/>
            <w:tcBorders>
              <w:top w:val="single" w:sz="6" w:space="0" w:color="auto"/>
              <w:left w:val="single" w:sz="6" w:space="0" w:color="auto"/>
              <w:bottom w:val="single" w:sz="6" w:space="0" w:color="auto"/>
              <w:right w:val="single" w:sz="6" w:space="0" w:color="auto"/>
            </w:tcBorders>
            <w:vAlign w:val="center"/>
            <w:hideMark/>
          </w:tcPr>
          <w:p w14:paraId="2F14EA6C"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−0.1423</w:t>
            </w:r>
          </w:p>
        </w:tc>
        <w:tc>
          <w:tcPr>
            <w:tcW w:w="1170" w:type="dxa"/>
            <w:tcBorders>
              <w:top w:val="single" w:sz="6" w:space="0" w:color="auto"/>
              <w:left w:val="single" w:sz="6" w:space="0" w:color="auto"/>
              <w:bottom w:val="single" w:sz="6" w:space="0" w:color="auto"/>
              <w:right w:val="single" w:sz="6" w:space="0" w:color="auto"/>
            </w:tcBorders>
            <w:vAlign w:val="center"/>
            <w:hideMark/>
          </w:tcPr>
          <w:p w14:paraId="507209A6"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1E90C08"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1.2</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47F69DF"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−0.0770</w:t>
            </w:r>
          </w:p>
        </w:tc>
      </w:tr>
      <w:tr w:rsidR="005D18B2" w:rsidRPr="00F32CED" w14:paraId="5A282D45" w14:textId="77777777" w:rsidTr="008A6C13">
        <w:trPr>
          <w:trHeight w:val="736"/>
        </w:trPr>
        <w:tc>
          <w:tcPr>
            <w:tcW w:w="2187" w:type="dxa"/>
            <w:tcBorders>
              <w:top w:val="single" w:sz="6" w:space="0" w:color="auto"/>
              <w:left w:val="single" w:sz="6" w:space="0" w:color="auto"/>
              <w:bottom w:val="single" w:sz="6" w:space="0" w:color="auto"/>
              <w:right w:val="single" w:sz="6" w:space="0" w:color="auto"/>
            </w:tcBorders>
            <w:vAlign w:val="center"/>
            <w:hideMark/>
          </w:tcPr>
          <w:p w14:paraId="65D40232" w14:textId="35320C52"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 xml:space="preserve">Triple-class refractory </w:t>
            </w:r>
            <w:proofErr w:type="gramStart"/>
            <w:r w:rsidRPr="00F32CED">
              <w:rPr>
                <w:rFonts w:asciiTheme="minorHAnsi" w:eastAsia="Calibri" w:hAnsiTheme="minorHAnsi" w:cstheme="minorHAnsi"/>
                <w:b/>
              </w:rPr>
              <w:t>status,</w:t>
            </w:r>
            <w:r w:rsidRPr="00406C2B">
              <w:rPr>
                <w:rFonts w:asciiTheme="minorHAnsi" w:eastAsia="Calibri" w:hAnsiTheme="minorHAnsi" w:cstheme="minorHAnsi"/>
                <w:b/>
                <w:vertAlign w:val="superscript"/>
              </w:rPr>
              <w:t>‡</w:t>
            </w:r>
            <w:proofErr w:type="gramEnd"/>
            <w:r w:rsidRPr="00406C2B">
              <w:rPr>
                <w:rFonts w:asciiTheme="minorHAnsi" w:eastAsia="Calibri" w:hAnsiTheme="minorHAnsi" w:cstheme="minorHAnsi"/>
                <w:b/>
                <w:vertAlign w:val="superscript"/>
              </w:rPr>
              <w:t xml:space="preserve"> </w:t>
            </w:r>
            <w:r w:rsidRPr="00F32CED">
              <w:rPr>
                <w:rFonts w:asciiTheme="minorHAnsi" w:eastAsia="Calibri" w:hAnsiTheme="minorHAnsi" w:cstheme="minorHAnsi"/>
                <w:b/>
              </w:rPr>
              <w:t>%</w:t>
            </w:r>
          </w:p>
        </w:tc>
        <w:tc>
          <w:tcPr>
            <w:tcW w:w="1136" w:type="dxa"/>
            <w:tcBorders>
              <w:top w:val="single" w:sz="6" w:space="0" w:color="auto"/>
              <w:left w:val="single" w:sz="6" w:space="0" w:color="auto"/>
              <w:bottom w:val="single" w:sz="6" w:space="0" w:color="auto"/>
              <w:right w:val="single" w:sz="6" w:space="0" w:color="auto"/>
            </w:tcBorders>
            <w:vAlign w:val="center"/>
            <w:hideMark/>
          </w:tcPr>
          <w:p w14:paraId="11653260"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80.0</w:t>
            </w:r>
          </w:p>
        </w:tc>
        <w:tc>
          <w:tcPr>
            <w:tcW w:w="1136" w:type="dxa"/>
            <w:tcBorders>
              <w:top w:val="single" w:sz="6" w:space="0" w:color="auto"/>
              <w:left w:val="single" w:sz="6" w:space="0" w:color="auto"/>
              <w:bottom w:val="single" w:sz="6" w:space="0" w:color="auto"/>
              <w:right w:val="single" w:sz="6" w:space="0" w:color="auto"/>
            </w:tcBorders>
            <w:vAlign w:val="center"/>
            <w:hideMark/>
          </w:tcPr>
          <w:p w14:paraId="724A4A2A"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40.0</w:t>
            </w:r>
          </w:p>
        </w:tc>
        <w:tc>
          <w:tcPr>
            <w:tcW w:w="1203" w:type="dxa"/>
            <w:tcBorders>
              <w:top w:val="single" w:sz="6" w:space="0" w:color="auto"/>
              <w:left w:val="single" w:sz="6" w:space="0" w:color="auto"/>
              <w:bottom w:val="single" w:sz="6" w:space="0" w:color="auto"/>
              <w:right w:val="single" w:sz="6" w:space="0" w:color="auto"/>
            </w:tcBorders>
            <w:vAlign w:val="center"/>
            <w:hideMark/>
          </w:tcPr>
          <w:p w14:paraId="270C1D6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0.9491</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6D1B54B"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624B7CB"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70" w:type="dxa"/>
            <w:tcBorders>
              <w:top w:val="single" w:sz="6" w:space="0" w:color="auto"/>
              <w:left w:val="single" w:sz="6" w:space="0" w:color="auto"/>
              <w:bottom w:val="single" w:sz="6" w:space="0" w:color="auto"/>
              <w:right w:val="single" w:sz="6" w:space="0" w:color="auto"/>
            </w:tcBorders>
            <w:vAlign w:val="center"/>
            <w:hideMark/>
          </w:tcPr>
          <w:p w14:paraId="49ABAD67"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0.1268</w:t>
            </w:r>
          </w:p>
        </w:tc>
      </w:tr>
    </w:tbl>
    <w:p w14:paraId="525D9CA3" w14:textId="77D3FC75" w:rsidR="005D18B2" w:rsidRPr="00F32CED" w:rsidRDefault="005D18B2" w:rsidP="005D18B2">
      <w:pPr>
        <w:tabs>
          <w:tab w:val="left" w:pos="144"/>
        </w:tabs>
        <w:spacing w:after="0" w:line="240" w:lineRule="auto"/>
        <w:rPr>
          <w:rFonts w:eastAsia="Times New Roman" w:cstheme="minorHAnsi"/>
          <w:sz w:val="18"/>
          <w:szCs w:val="18"/>
          <w:lang w:eastAsia="en-GB"/>
        </w:rPr>
      </w:pPr>
      <w:r w:rsidRPr="00F32CED">
        <w:rPr>
          <w:rFonts w:eastAsia="Malgun Gothic" w:cstheme="minorHAnsi"/>
          <w:color w:val="000000" w:themeColor="text1"/>
          <w:kern w:val="24"/>
          <w:sz w:val="18"/>
          <w:szCs w:val="18"/>
          <w:lang w:eastAsia="en-GB"/>
        </w:rPr>
        <w:t>SMD, standardized mean difference.</w:t>
      </w:r>
    </w:p>
    <w:p w14:paraId="6C4EFA9F" w14:textId="77777777" w:rsidR="005D18B2" w:rsidRPr="00F32CED" w:rsidRDefault="005D18B2" w:rsidP="005D18B2">
      <w:pPr>
        <w:tabs>
          <w:tab w:val="left" w:pos="144"/>
        </w:tabs>
        <w:spacing w:after="0" w:line="240" w:lineRule="auto"/>
        <w:rPr>
          <w:rFonts w:eastAsia="Times New Roman" w:cstheme="minorHAnsi"/>
          <w:sz w:val="18"/>
          <w:szCs w:val="18"/>
          <w:lang w:eastAsia="en-GB"/>
        </w:rPr>
      </w:pPr>
      <w:r w:rsidRPr="00F32CED">
        <w:rPr>
          <w:rFonts w:eastAsia="Times New Roman" w:cstheme="minorHAnsi"/>
          <w:color w:val="000000" w:themeColor="text1"/>
          <w:kern w:val="24"/>
          <w:sz w:val="18"/>
          <w:szCs w:val="18"/>
          <w:lang w:eastAsia="en-GB"/>
        </w:rPr>
        <w:t xml:space="preserve">Multiple imputation procedures created 30 datasets and overall estimates were obtained using Rubin’s rules to combine the individual estimates. The stabilized inverse probability treatment weighting was trimmed at the maximum of the minimum weight and minimum of the maximum weight for the </w:t>
      </w:r>
      <w:proofErr w:type="spellStart"/>
      <w:r w:rsidRPr="00F32CED">
        <w:rPr>
          <w:rFonts w:eastAsia="Times New Roman" w:cstheme="minorHAnsi"/>
          <w:color w:val="000000" w:themeColor="text1"/>
          <w:kern w:val="24"/>
          <w:sz w:val="18"/>
          <w:szCs w:val="18"/>
          <w:lang w:eastAsia="en-GB"/>
        </w:rPr>
        <w:t>KarMMa</w:t>
      </w:r>
      <w:proofErr w:type="spellEnd"/>
      <w:r w:rsidRPr="00F32CED">
        <w:rPr>
          <w:rFonts w:eastAsia="Times New Roman" w:cstheme="minorHAnsi"/>
          <w:color w:val="000000" w:themeColor="text1"/>
          <w:kern w:val="24"/>
          <w:sz w:val="18"/>
          <w:szCs w:val="18"/>
          <w:lang w:eastAsia="en-GB"/>
        </w:rPr>
        <w:t xml:space="preserve"> cohort and the Eligible RRMM cohort.</w:t>
      </w:r>
    </w:p>
    <w:p w14:paraId="2CF184B3" w14:textId="77777777" w:rsidR="005D18B2" w:rsidRPr="00F32CED" w:rsidRDefault="005D18B2" w:rsidP="005D18B2">
      <w:pPr>
        <w:tabs>
          <w:tab w:val="left" w:pos="144"/>
        </w:tabs>
        <w:spacing w:after="0" w:line="240" w:lineRule="auto"/>
        <w:rPr>
          <w:rFonts w:eastAsia="Times New Roman" w:cstheme="minorHAnsi"/>
          <w:sz w:val="18"/>
          <w:szCs w:val="18"/>
          <w:lang w:eastAsia="en-GB"/>
        </w:rPr>
      </w:pPr>
      <w:r w:rsidRPr="00F32CED">
        <w:rPr>
          <w:rFonts w:eastAsia="Times New Roman" w:cstheme="minorHAnsi"/>
          <w:color w:val="000000" w:themeColor="text1"/>
          <w:kern w:val="24"/>
          <w:sz w:val="18"/>
          <w:szCs w:val="18"/>
          <w:lang w:eastAsia="en-GB"/>
        </w:rPr>
        <w:t xml:space="preserve">*A covariate was not included in the balancing if it had &gt; 30% missing for the Eligible RRMM cohort. Means are presented for continuous variables and proportions are presented for categorical variables. Standardized mean difference was obtained from the </w:t>
      </w:r>
      <w:proofErr w:type="spellStart"/>
      <w:r w:rsidRPr="00F32CED">
        <w:rPr>
          <w:rFonts w:eastAsia="Times New Roman" w:cstheme="minorHAnsi"/>
          <w:color w:val="000000" w:themeColor="text1"/>
          <w:kern w:val="24"/>
          <w:sz w:val="18"/>
          <w:szCs w:val="18"/>
          <w:lang w:eastAsia="en-GB"/>
        </w:rPr>
        <w:t>KarMMa</w:t>
      </w:r>
      <w:proofErr w:type="spellEnd"/>
      <w:r w:rsidRPr="00F32CED">
        <w:rPr>
          <w:rFonts w:eastAsia="Times New Roman" w:cstheme="minorHAnsi"/>
          <w:color w:val="000000" w:themeColor="text1"/>
          <w:kern w:val="24"/>
          <w:sz w:val="18"/>
          <w:szCs w:val="18"/>
          <w:lang w:eastAsia="en-GB"/>
        </w:rPr>
        <w:t xml:space="preserve"> cohort minus the Eligible RRMM cohort and used trimmed stabilized weights when combining the mean and standard deviation.</w:t>
      </w:r>
    </w:p>
    <w:p w14:paraId="487C7FE6" w14:textId="77777777" w:rsidR="005D18B2" w:rsidRDefault="005D18B2" w:rsidP="005D18B2">
      <w:pPr>
        <w:tabs>
          <w:tab w:val="left" w:pos="144"/>
        </w:tabs>
        <w:spacing w:after="0" w:line="240" w:lineRule="auto"/>
        <w:rPr>
          <w:rFonts w:eastAsia="Malgun Gothic" w:cstheme="minorHAnsi"/>
          <w:color w:val="000000" w:themeColor="text1"/>
          <w:kern w:val="24"/>
          <w:sz w:val="18"/>
          <w:szCs w:val="18"/>
          <w:lang w:eastAsia="en-GB"/>
        </w:rPr>
      </w:pPr>
      <w:r w:rsidRPr="00406C2B">
        <w:rPr>
          <w:rFonts w:eastAsia="Times New Roman" w:cstheme="minorHAnsi"/>
          <w:sz w:val="18"/>
          <w:szCs w:val="18"/>
          <w:vertAlign w:val="superscript"/>
          <w:lang w:eastAsia="en-GB"/>
        </w:rPr>
        <w:t>†</w:t>
      </w:r>
      <w:r w:rsidRPr="00406C2B">
        <w:rPr>
          <w:rFonts w:eastAsia="Malgun Gothic" w:cstheme="minorHAnsi"/>
          <w:color w:val="000000" w:themeColor="text1"/>
          <w:kern w:val="24"/>
          <w:sz w:val="18"/>
          <w:szCs w:val="18"/>
          <w:lang w:eastAsia="en-GB"/>
        </w:rPr>
        <w:t>Across all target doses.</w:t>
      </w:r>
    </w:p>
    <w:p w14:paraId="6B436F39" w14:textId="77777777" w:rsidR="005D18B2" w:rsidRPr="00406C2B" w:rsidRDefault="005D18B2" w:rsidP="005D18B2">
      <w:pPr>
        <w:tabs>
          <w:tab w:val="left" w:pos="144"/>
        </w:tabs>
        <w:spacing w:after="0" w:line="240" w:lineRule="auto"/>
        <w:rPr>
          <w:rFonts w:eastAsia="Times New Roman" w:cstheme="minorHAnsi"/>
          <w:sz w:val="18"/>
          <w:szCs w:val="18"/>
          <w:lang w:eastAsia="en-GB"/>
        </w:rPr>
      </w:pPr>
      <w:r w:rsidRPr="00406C2B">
        <w:rPr>
          <w:rFonts w:eastAsia="Calibri" w:cstheme="minorHAnsi"/>
          <w:b/>
          <w:sz w:val="18"/>
          <w:szCs w:val="18"/>
          <w:vertAlign w:val="superscript"/>
        </w:rPr>
        <w:t>‡</w:t>
      </w:r>
      <w:r>
        <w:rPr>
          <w:rFonts w:eastAsia="Malgun Gothic" w:cstheme="minorHAnsi"/>
          <w:color w:val="000000" w:themeColor="text1"/>
          <w:kern w:val="24"/>
          <w:sz w:val="18"/>
          <w:szCs w:val="18"/>
          <w:lang w:eastAsia="en-GB"/>
        </w:rPr>
        <w:t>Triple-class r</w:t>
      </w:r>
      <w:r w:rsidRPr="00406C2B">
        <w:rPr>
          <w:rFonts w:eastAsia="Malgun Gothic" w:cstheme="minorHAnsi"/>
          <w:color w:val="000000" w:themeColor="text1"/>
          <w:kern w:val="24"/>
          <w:sz w:val="18"/>
          <w:szCs w:val="18"/>
          <w:lang w:eastAsia="en-GB"/>
        </w:rPr>
        <w:t xml:space="preserve">efractory </w:t>
      </w:r>
      <w:r>
        <w:rPr>
          <w:rFonts w:eastAsia="Malgun Gothic" w:cstheme="minorHAnsi"/>
          <w:color w:val="000000" w:themeColor="text1"/>
          <w:kern w:val="24"/>
          <w:sz w:val="18"/>
          <w:szCs w:val="18"/>
          <w:lang w:eastAsia="en-GB"/>
        </w:rPr>
        <w:t xml:space="preserve">was defined as refractory </w:t>
      </w:r>
      <w:r w:rsidRPr="00406C2B">
        <w:rPr>
          <w:rFonts w:eastAsia="Malgun Gothic" w:cstheme="minorHAnsi"/>
          <w:color w:val="000000" w:themeColor="text1"/>
          <w:kern w:val="24"/>
          <w:sz w:val="18"/>
          <w:szCs w:val="18"/>
          <w:lang w:eastAsia="en-GB"/>
        </w:rPr>
        <w:t>to an immunomodulatory agent, a</w:t>
      </w:r>
      <w:r w:rsidRPr="00406C2B">
        <w:rPr>
          <w:rFonts w:eastAsia="Times New Roman" w:cstheme="minorHAnsi"/>
          <w:color w:val="000000" w:themeColor="text1"/>
          <w:kern w:val="24"/>
          <w:sz w:val="18"/>
          <w:szCs w:val="18"/>
          <w:lang w:eastAsia="en-GB"/>
        </w:rPr>
        <w:t xml:space="preserve"> </w:t>
      </w:r>
      <w:r w:rsidRPr="00406C2B">
        <w:rPr>
          <w:rFonts w:eastAsia="Malgun Gothic" w:cstheme="minorHAnsi"/>
          <w:color w:val="000000" w:themeColor="text1"/>
          <w:kern w:val="24"/>
          <w:sz w:val="18"/>
          <w:szCs w:val="18"/>
          <w:lang w:eastAsia="en-GB"/>
        </w:rPr>
        <w:t>proteasome inhibitor, and an anti-CD38 antibody.</w:t>
      </w:r>
    </w:p>
    <w:p w14:paraId="150EC14A" w14:textId="77777777" w:rsidR="005D18B2" w:rsidRPr="00F32CED" w:rsidRDefault="005D18B2" w:rsidP="005D18B2">
      <w:pPr>
        <w:spacing w:line="276" w:lineRule="auto"/>
        <w:rPr>
          <w:rFonts w:cstheme="minorHAnsi"/>
        </w:rPr>
      </w:pPr>
    </w:p>
    <w:p w14:paraId="7219F6CB" w14:textId="77777777" w:rsidR="005D18B2" w:rsidRPr="00F32CED" w:rsidRDefault="005D18B2" w:rsidP="005D18B2">
      <w:pPr>
        <w:spacing w:line="256" w:lineRule="auto"/>
        <w:rPr>
          <w:rFonts w:cstheme="minorHAnsi"/>
        </w:rPr>
      </w:pPr>
      <w:r w:rsidRPr="00F32CED">
        <w:rPr>
          <w:rFonts w:cstheme="minorHAnsi"/>
        </w:rPr>
        <w:br w:type="page"/>
      </w:r>
    </w:p>
    <w:p w14:paraId="691DAB73" w14:textId="77777777" w:rsidR="005D18B2" w:rsidRPr="00F32CED" w:rsidRDefault="005D18B2" w:rsidP="005D18B2">
      <w:pPr>
        <w:spacing w:after="120" w:line="276" w:lineRule="auto"/>
        <w:rPr>
          <w:rFonts w:cstheme="minorHAnsi"/>
          <w:b/>
          <w:bCs/>
          <w:iCs/>
        </w:rPr>
      </w:pPr>
      <w:r w:rsidRPr="00F32CED">
        <w:rPr>
          <w:rFonts w:cstheme="minorHAnsi"/>
          <w:b/>
          <w:bCs/>
        </w:rPr>
        <w:lastRenderedPageBreak/>
        <w:t xml:space="preserve">Supplementary Table 2. </w:t>
      </w:r>
      <w:r w:rsidRPr="00F32CED">
        <w:rPr>
          <w:rFonts w:cstheme="minorHAnsi"/>
          <w:b/>
          <w:bCs/>
          <w:iCs/>
        </w:rPr>
        <w:t xml:space="preserve">Balance of baseline demographics and disease characteristics before and after matching </w:t>
      </w:r>
    </w:p>
    <w:tbl>
      <w:tblPr>
        <w:tblStyle w:val="C-Table2"/>
        <w:tblW w:w="4951" w:type="pct"/>
        <w:tblInd w:w="0" w:type="dxa"/>
        <w:tblLayout w:type="fixed"/>
        <w:tblLook w:val="04A0" w:firstRow="1" w:lastRow="0" w:firstColumn="1" w:lastColumn="0" w:noHBand="0" w:noVBand="1"/>
      </w:tblPr>
      <w:tblGrid>
        <w:gridCol w:w="2062"/>
        <w:gridCol w:w="1142"/>
        <w:gridCol w:w="1142"/>
        <w:gridCol w:w="1156"/>
        <w:gridCol w:w="1128"/>
        <w:gridCol w:w="1142"/>
        <w:gridCol w:w="1150"/>
      </w:tblGrid>
      <w:tr w:rsidR="005D18B2" w:rsidRPr="00F32CED" w14:paraId="64108BFA" w14:textId="77777777" w:rsidTr="008A6C13">
        <w:trPr>
          <w:trHeight w:val="140"/>
          <w:tblHeader/>
        </w:trPr>
        <w:tc>
          <w:tcPr>
            <w:tcW w:w="2062" w:type="dxa"/>
            <w:tcBorders>
              <w:top w:val="single" w:sz="6" w:space="0" w:color="auto"/>
              <w:left w:val="single" w:sz="6" w:space="0" w:color="auto"/>
              <w:bottom w:val="single" w:sz="6" w:space="0" w:color="auto"/>
              <w:right w:val="single" w:sz="6" w:space="0" w:color="auto"/>
            </w:tcBorders>
          </w:tcPr>
          <w:p w14:paraId="32475596" w14:textId="77777777" w:rsidR="005D18B2" w:rsidRPr="00F32CED" w:rsidRDefault="005D18B2" w:rsidP="008A6C13">
            <w:pPr>
              <w:keepNext/>
              <w:spacing w:before="60" w:after="60"/>
              <w:rPr>
                <w:rFonts w:asciiTheme="minorHAnsi" w:eastAsia="Calibri" w:hAnsiTheme="minorHAnsi" w:cstheme="minorHAnsi"/>
                <w:bCs/>
              </w:rPr>
            </w:pPr>
          </w:p>
        </w:tc>
        <w:tc>
          <w:tcPr>
            <w:tcW w:w="3440" w:type="dxa"/>
            <w:gridSpan w:val="3"/>
            <w:tcBorders>
              <w:top w:val="single" w:sz="6" w:space="0" w:color="auto"/>
              <w:left w:val="single" w:sz="6" w:space="0" w:color="auto"/>
              <w:bottom w:val="single" w:sz="6" w:space="0" w:color="auto"/>
              <w:right w:val="single" w:sz="6" w:space="0" w:color="auto"/>
            </w:tcBorders>
            <w:vAlign w:val="center"/>
            <w:hideMark/>
          </w:tcPr>
          <w:p w14:paraId="75AB2A2A"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Before matching</w:t>
            </w:r>
          </w:p>
        </w:tc>
        <w:tc>
          <w:tcPr>
            <w:tcW w:w="3420" w:type="dxa"/>
            <w:gridSpan w:val="3"/>
            <w:tcBorders>
              <w:top w:val="single" w:sz="6" w:space="0" w:color="auto"/>
              <w:left w:val="single" w:sz="6" w:space="0" w:color="auto"/>
              <w:bottom w:val="single" w:sz="6" w:space="0" w:color="auto"/>
              <w:right w:val="single" w:sz="6" w:space="0" w:color="auto"/>
            </w:tcBorders>
            <w:vAlign w:val="center"/>
            <w:hideMark/>
          </w:tcPr>
          <w:p w14:paraId="427D82D2"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After matching</w:t>
            </w:r>
          </w:p>
        </w:tc>
      </w:tr>
      <w:tr w:rsidR="005D18B2" w:rsidRPr="00F32CED" w14:paraId="754E1B6B" w14:textId="77777777" w:rsidTr="008A6C13">
        <w:trPr>
          <w:trHeight w:val="1209"/>
          <w:tblHeader/>
        </w:trPr>
        <w:tc>
          <w:tcPr>
            <w:tcW w:w="2062" w:type="dxa"/>
            <w:tcBorders>
              <w:top w:val="single" w:sz="6" w:space="0" w:color="auto"/>
              <w:left w:val="single" w:sz="6" w:space="0" w:color="auto"/>
              <w:bottom w:val="single" w:sz="6" w:space="0" w:color="auto"/>
              <w:right w:val="single" w:sz="6" w:space="0" w:color="auto"/>
            </w:tcBorders>
            <w:vAlign w:val="bottom"/>
            <w:hideMark/>
          </w:tcPr>
          <w:p w14:paraId="69D6DFEB" w14:textId="77777777" w:rsidR="005D18B2" w:rsidRPr="00F32CED" w:rsidRDefault="005D18B2" w:rsidP="008A6C13">
            <w:pPr>
              <w:keepNext/>
              <w:spacing w:before="60" w:after="60"/>
              <w:rPr>
                <w:rFonts w:asciiTheme="minorHAnsi" w:eastAsia="Calibri" w:hAnsiTheme="minorHAnsi" w:cstheme="minorHAnsi"/>
                <w:b/>
              </w:rPr>
            </w:pPr>
            <w:r w:rsidRPr="00F32CED">
              <w:rPr>
                <w:rFonts w:asciiTheme="minorHAnsi" w:eastAsia="Calibri" w:hAnsiTheme="minorHAnsi" w:cstheme="minorHAnsi"/>
                <w:b/>
              </w:rPr>
              <w:t>Covariate*</w:t>
            </w:r>
          </w:p>
        </w:tc>
        <w:tc>
          <w:tcPr>
            <w:tcW w:w="1142" w:type="dxa"/>
            <w:tcBorders>
              <w:top w:val="single" w:sz="6" w:space="0" w:color="auto"/>
              <w:left w:val="single" w:sz="6" w:space="0" w:color="auto"/>
              <w:bottom w:val="single" w:sz="6" w:space="0" w:color="auto"/>
              <w:right w:val="single" w:sz="6" w:space="0" w:color="auto"/>
            </w:tcBorders>
            <w:vAlign w:val="center"/>
            <w:hideMark/>
          </w:tcPr>
          <w:p w14:paraId="73591C00" w14:textId="77777777" w:rsidR="005D18B2" w:rsidRPr="00F32CED" w:rsidRDefault="005D18B2" w:rsidP="008A6C13">
            <w:pPr>
              <w:keepNext/>
              <w:spacing w:before="60" w:after="60"/>
              <w:jc w:val="center"/>
              <w:rPr>
                <w:rFonts w:asciiTheme="minorHAnsi" w:eastAsia="Calibri" w:hAnsiTheme="minorHAnsi" w:cstheme="minorHAnsi"/>
                <w:b/>
              </w:rPr>
            </w:pP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 xml:space="preserve"> Cohort</w:t>
            </w:r>
            <w:r w:rsidRPr="00F32CED">
              <w:rPr>
                <w:rFonts w:asciiTheme="minorHAnsi" w:eastAsia="Calibri" w:hAnsiTheme="minorHAnsi" w:cstheme="minorHAnsi"/>
                <w:b/>
                <w:vertAlign w:val="superscript"/>
              </w:rPr>
              <w:t>†</w:t>
            </w:r>
          </w:p>
          <w:p w14:paraId="3C941FD7"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(N=128)</w:t>
            </w:r>
          </w:p>
        </w:tc>
        <w:tc>
          <w:tcPr>
            <w:tcW w:w="1142" w:type="dxa"/>
            <w:tcBorders>
              <w:top w:val="single" w:sz="6" w:space="0" w:color="auto"/>
              <w:left w:val="single" w:sz="6" w:space="0" w:color="auto"/>
              <w:bottom w:val="single" w:sz="6" w:space="0" w:color="auto"/>
              <w:right w:val="single" w:sz="6" w:space="0" w:color="auto"/>
            </w:tcBorders>
            <w:vAlign w:val="center"/>
            <w:hideMark/>
          </w:tcPr>
          <w:p w14:paraId="19964E0E"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Eligible RRMM Cohort</w:t>
            </w:r>
          </w:p>
          <w:p w14:paraId="363D257C"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(N=190)</w:t>
            </w:r>
          </w:p>
        </w:tc>
        <w:tc>
          <w:tcPr>
            <w:tcW w:w="1156" w:type="dxa"/>
            <w:tcBorders>
              <w:top w:val="single" w:sz="6" w:space="0" w:color="auto"/>
              <w:left w:val="single" w:sz="6" w:space="0" w:color="auto"/>
              <w:bottom w:val="single" w:sz="6" w:space="0" w:color="auto"/>
              <w:right w:val="single" w:sz="6" w:space="0" w:color="auto"/>
            </w:tcBorders>
            <w:vAlign w:val="center"/>
            <w:hideMark/>
          </w:tcPr>
          <w:p w14:paraId="62D3DAF0"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SMD (</w:t>
            </w: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-Eligible RRMM)</w:t>
            </w:r>
          </w:p>
        </w:tc>
        <w:tc>
          <w:tcPr>
            <w:tcW w:w="1128" w:type="dxa"/>
            <w:tcBorders>
              <w:top w:val="single" w:sz="6" w:space="0" w:color="auto"/>
              <w:left w:val="single" w:sz="6" w:space="0" w:color="auto"/>
              <w:bottom w:val="single" w:sz="6" w:space="0" w:color="auto"/>
              <w:right w:val="single" w:sz="6" w:space="0" w:color="auto"/>
            </w:tcBorders>
            <w:vAlign w:val="center"/>
            <w:hideMark/>
          </w:tcPr>
          <w:p w14:paraId="748321AB" w14:textId="77777777" w:rsidR="005D18B2" w:rsidRPr="00F32CED" w:rsidRDefault="005D18B2" w:rsidP="008A6C13">
            <w:pPr>
              <w:keepNext/>
              <w:spacing w:before="60" w:after="60"/>
              <w:jc w:val="center"/>
              <w:rPr>
                <w:rFonts w:asciiTheme="minorHAnsi" w:eastAsia="Calibri" w:hAnsiTheme="minorHAnsi" w:cstheme="minorHAnsi"/>
                <w:b/>
              </w:rPr>
            </w:pP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 xml:space="preserve"> Cohort</w:t>
            </w:r>
            <w:r w:rsidRPr="00F32CED">
              <w:rPr>
                <w:rFonts w:asciiTheme="minorHAnsi" w:eastAsia="Calibri" w:hAnsiTheme="minorHAnsi" w:cstheme="minorHAnsi"/>
                <w:b/>
                <w:vertAlign w:val="superscript"/>
              </w:rPr>
              <w:t>†</w:t>
            </w:r>
          </w:p>
          <w:p w14:paraId="65AFA052"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(N=76–80)</w:t>
            </w:r>
          </w:p>
        </w:tc>
        <w:tc>
          <w:tcPr>
            <w:tcW w:w="1142" w:type="dxa"/>
            <w:tcBorders>
              <w:top w:val="single" w:sz="6" w:space="0" w:color="auto"/>
              <w:left w:val="single" w:sz="6" w:space="0" w:color="auto"/>
              <w:bottom w:val="single" w:sz="6" w:space="0" w:color="auto"/>
              <w:right w:val="single" w:sz="6" w:space="0" w:color="auto"/>
            </w:tcBorders>
            <w:vAlign w:val="center"/>
            <w:hideMark/>
          </w:tcPr>
          <w:p w14:paraId="1DA645BA"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Eligible RRMM Cohort</w:t>
            </w:r>
          </w:p>
          <w:p w14:paraId="0ECDC58B"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(N=76–80)</w:t>
            </w:r>
          </w:p>
        </w:tc>
        <w:tc>
          <w:tcPr>
            <w:tcW w:w="1150" w:type="dxa"/>
            <w:tcBorders>
              <w:top w:val="single" w:sz="6" w:space="0" w:color="auto"/>
              <w:left w:val="single" w:sz="6" w:space="0" w:color="auto"/>
              <w:bottom w:val="single" w:sz="6" w:space="0" w:color="auto"/>
              <w:right w:val="single" w:sz="6" w:space="0" w:color="auto"/>
            </w:tcBorders>
            <w:vAlign w:val="center"/>
            <w:hideMark/>
          </w:tcPr>
          <w:p w14:paraId="0720183A" w14:textId="77777777" w:rsidR="005D18B2" w:rsidRPr="00F32CED" w:rsidRDefault="005D18B2" w:rsidP="008A6C13">
            <w:pPr>
              <w:keepNext/>
              <w:spacing w:before="60" w:after="60"/>
              <w:jc w:val="center"/>
              <w:rPr>
                <w:rFonts w:asciiTheme="minorHAnsi" w:eastAsia="Calibri" w:hAnsiTheme="minorHAnsi" w:cstheme="minorHAnsi"/>
                <w:b/>
              </w:rPr>
            </w:pPr>
            <w:r w:rsidRPr="00F32CED">
              <w:rPr>
                <w:rFonts w:asciiTheme="minorHAnsi" w:eastAsia="Calibri" w:hAnsiTheme="minorHAnsi" w:cstheme="minorHAnsi"/>
                <w:b/>
              </w:rPr>
              <w:t>SMD (</w:t>
            </w:r>
            <w:proofErr w:type="spellStart"/>
            <w:r w:rsidRPr="00F32CED">
              <w:rPr>
                <w:rFonts w:asciiTheme="minorHAnsi" w:eastAsia="Calibri" w:hAnsiTheme="minorHAnsi" w:cstheme="minorHAnsi"/>
                <w:b/>
              </w:rPr>
              <w:t>KarMMa</w:t>
            </w:r>
            <w:proofErr w:type="spellEnd"/>
            <w:r w:rsidRPr="00F32CED">
              <w:rPr>
                <w:rFonts w:asciiTheme="minorHAnsi" w:eastAsia="Calibri" w:hAnsiTheme="minorHAnsi" w:cstheme="minorHAnsi"/>
                <w:b/>
              </w:rPr>
              <w:t xml:space="preserve"> − Eligible RRMM)</w:t>
            </w:r>
          </w:p>
        </w:tc>
      </w:tr>
      <w:tr w:rsidR="005D18B2" w:rsidRPr="00F32CED" w14:paraId="0A9021A9" w14:textId="77777777" w:rsidTr="008A6C13">
        <w:trPr>
          <w:trHeight w:val="355"/>
        </w:trPr>
        <w:tc>
          <w:tcPr>
            <w:tcW w:w="2062" w:type="dxa"/>
            <w:tcBorders>
              <w:top w:val="single" w:sz="6" w:space="0" w:color="auto"/>
              <w:left w:val="single" w:sz="6" w:space="0" w:color="auto"/>
              <w:bottom w:val="single" w:sz="6" w:space="0" w:color="auto"/>
              <w:right w:val="single" w:sz="6" w:space="0" w:color="auto"/>
            </w:tcBorders>
            <w:vAlign w:val="center"/>
            <w:hideMark/>
          </w:tcPr>
          <w:p w14:paraId="507EDA78"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Age, years</w:t>
            </w:r>
          </w:p>
        </w:tc>
        <w:tc>
          <w:tcPr>
            <w:tcW w:w="1142" w:type="dxa"/>
            <w:tcBorders>
              <w:top w:val="single" w:sz="6" w:space="0" w:color="auto"/>
              <w:left w:val="single" w:sz="6" w:space="0" w:color="auto"/>
              <w:bottom w:val="single" w:sz="6" w:space="0" w:color="auto"/>
              <w:right w:val="single" w:sz="6" w:space="0" w:color="auto"/>
            </w:tcBorders>
            <w:vAlign w:val="center"/>
            <w:hideMark/>
          </w:tcPr>
          <w:p w14:paraId="2D901E83"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59.8</w:t>
            </w:r>
          </w:p>
        </w:tc>
        <w:tc>
          <w:tcPr>
            <w:tcW w:w="1142" w:type="dxa"/>
            <w:tcBorders>
              <w:top w:val="single" w:sz="6" w:space="0" w:color="auto"/>
              <w:left w:val="single" w:sz="6" w:space="0" w:color="auto"/>
              <w:bottom w:val="single" w:sz="6" w:space="0" w:color="auto"/>
              <w:right w:val="single" w:sz="6" w:space="0" w:color="auto"/>
            </w:tcBorders>
            <w:vAlign w:val="center"/>
            <w:hideMark/>
          </w:tcPr>
          <w:p w14:paraId="0CEF572B"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64.5</w:t>
            </w:r>
          </w:p>
        </w:tc>
        <w:tc>
          <w:tcPr>
            <w:tcW w:w="1156" w:type="dxa"/>
            <w:tcBorders>
              <w:top w:val="single" w:sz="6" w:space="0" w:color="auto"/>
              <w:left w:val="single" w:sz="6" w:space="0" w:color="auto"/>
              <w:bottom w:val="single" w:sz="6" w:space="0" w:color="auto"/>
              <w:right w:val="single" w:sz="6" w:space="0" w:color="auto"/>
            </w:tcBorders>
            <w:vAlign w:val="center"/>
            <w:hideMark/>
          </w:tcPr>
          <w:p w14:paraId="54EFBC59"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−0.5068</w:t>
            </w:r>
          </w:p>
        </w:tc>
        <w:tc>
          <w:tcPr>
            <w:tcW w:w="1128" w:type="dxa"/>
            <w:tcBorders>
              <w:top w:val="single" w:sz="6" w:space="0" w:color="auto"/>
              <w:left w:val="single" w:sz="6" w:space="0" w:color="auto"/>
              <w:bottom w:val="single" w:sz="6" w:space="0" w:color="auto"/>
              <w:right w:val="single" w:sz="6" w:space="0" w:color="auto"/>
            </w:tcBorders>
            <w:vAlign w:val="center"/>
            <w:hideMark/>
          </w:tcPr>
          <w:p w14:paraId="0C199739"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61.7</w:t>
            </w:r>
          </w:p>
        </w:tc>
        <w:tc>
          <w:tcPr>
            <w:tcW w:w="1142" w:type="dxa"/>
            <w:tcBorders>
              <w:top w:val="single" w:sz="6" w:space="0" w:color="auto"/>
              <w:left w:val="single" w:sz="6" w:space="0" w:color="auto"/>
              <w:bottom w:val="single" w:sz="6" w:space="0" w:color="auto"/>
              <w:right w:val="single" w:sz="6" w:space="0" w:color="auto"/>
            </w:tcBorders>
            <w:vAlign w:val="center"/>
            <w:hideMark/>
          </w:tcPr>
          <w:p w14:paraId="4CCB26F8"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62.2</w:t>
            </w:r>
          </w:p>
        </w:tc>
        <w:tc>
          <w:tcPr>
            <w:tcW w:w="1150" w:type="dxa"/>
            <w:tcBorders>
              <w:top w:val="single" w:sz="6" w:space="0" w:color="auto"/>
              <w:left w:val="single" w:sz="6" w:space="0" w:color="auto"/>
              <w:bottom w:val="single" w:sz="6" w:space="0" w:color="auto"/>
              <w:right w:val="single" w:sz="6" w:space="0" w:color="auto"/>
            </w:tcBorders>
            <w:vAlign w:val="center"/>
            <w:hideMark/>
          </w:tcPr>
          <w:p w14:paraId="28A2D9F4"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−0.0520</w:t>
            </w:r>
          </w:p>
        </w:tc>
      </w:tr>
      <w:tr w:rsidR="005D18B2" w:rsidRPr="00F32CED" w14:paraId="6BE9E3FB" w14:textId="77777777" w:rsidTr="008A6C13">
        <w:trPr>
          <w:trHeight w:val="366"/>
        </w:trPr>
        <w:tc>
          <w:tcPr>
            <w:tcW w:w="2062" w:type="dxa"/>
            <w:tcBorders>
              <w:top w:val="single" w:sz="6" w:space="0" w:color="auto"/>
              <w:left w:val="single" w:sz="6" w:space="0" w:color="auto"/>
              <w:bottom w:val="single" w:sz="6" w:space="0" w:color="auto"/>
              <w:right w:val="single" w:sz="6" w:space="0" w:color="auto"/>
            </w:tcBorders>
            <w:vAlign w:val="center"/>
            <w:hideMark/>
          </w:tcPr>
          <w:p w14:paraId="566816D3"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Male, %</w:t>
            </w:r>
          </w:p>
        </w:tc>
        <w:tc>
          <w:tcPr>
            <w:tcW w:w="1142" w:type="dxa"/>
            <w:tcBorders>
              <w:top w:val="single" w:sz="6" w:space="0" w:color="auto"/>
              <w:left w:val="single" w:sz="6" w:space="0" w:color="auto"/>
              <w:bottom w:val="single" w:sz="6" w:space="0" w:color="auto"/>
              <w:right w:val="single" w:sz="6" w:space="0" w:color="auto"/>
            </w:tcBorders>
            <w:vAlign w:val="center"/>
            <w:hideMark/>
          </w:tcPr>
          <w:p w14:paraId="724092F6"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42" w:type="dxa"/>
            <w:tcBorders>
              <w:top w:val="single" w:sz="6" w:space="0" w:color="auto"/>
              <w:left w:val="single" w:sz="6" w:space="0" w:color="auto"/>
              <w:bottom w:val="single" w:sz="6" w:space="0" w:color="auto"/>
              <w:right w:val="single" w:sz="6" w:space="0" w:color="auto"/>
            </w:tcBorders>
            <w:vAlign w:val="center"/>
            <w:hideMark/>
          </w:tcPr>
          <w:p w14:paraId="3252E04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56" w:type="dxa"/>
            <w:tcBorders>
              <w:top w:val="single" w:sz="6" w:space="0" w:color="auto"/>
              <w:left w:val="single" w:sz="6" w:space="0" w:color="auto"/>
              <w:bottom w:val="single" w:sz="6" w:space="0" w:color="auto"/>
              <w:right w:val="single" w:sz="6" w:space="0" w:color="auto"/>
            </w:tcBorders>
            <w:vAlign w:val="center"/>
            <w:hideMark/>
          </w:tcPr>
          <w:p w14:paraId="3073CA68"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0.0194</w:t>
            </w:r>
          </w:p>
        </w:tc>
        <w:tc>
          <w:tcPr>
            <w:tcW w:w="1128" w:type="dxa"/>
            <w:tcBorders>
              <w:top w:val="single" w:sz="6" w:space="0" w:color="auto"/>
              <w:left w:val="single" w:sz="6" w:space="0" w:color="auto"/>
              <w:bottom w:val="single" w:sz="6" w:space="0" w:color="auto"/>
              <w:right w:val="single" w:sz="6" w:space="0" w:color="auto"/>
            </w:tcBorders>
            <w:vAlign w:val="center"/>
            <w:hideMark/>
          </w:tcPr>
          <w:p w14:paraId="6528C8DA"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42" w:type="dxa"/>
            <w:tcBorders>
              <w:top w:val="single" w:sz="6" w:space="0" w:color="auto"/>
              <w:left w:val="single" w:sz="6" w:space="0" w:color="auto"/>
              <w:bottom w:val="single" w:sz="6" w:space="0" w:color="auto"/>
              <w:right w:val="single" w:sz="6" w:space="0" w:color="auto"/>
            </w:tcBorders>
            <w:vAlign w:val="center"/>
            <w:hideMark/>
          </w:tcPr>
          <w:p w14:paraId="68AE4190"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60.0</w:t>
            </w:r>
          </w:p>
        </w:tc>
        <w:tc>
          <w:tcPr>
            <w:tcW w:w="1150" w:type="dxa"/>
            <w:tcBorders>
              <w:top w:val="single" w:sz="6" w:space="0" w:color="auto"/>
              <w:left w:val="single" w:sz="6" w:space="0" w:color="auto"/>
              <w:bottom w:val="single" w:sz="6" w:space="0" w:color="auto"/>
              <w:right w:val="single" w:sz="6" w:space="0" w:color="auto"/>
            </w:tcBorders>
            <w:vAlign w:val="center"/>
            <w:hideMark/>
          </w:tcPr>
          <w:p w14:paraId="00162083"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0.0007</w:t>
            </w:r>
          </w:p>
        </w:tc>
      </w:tr>
      <w:tr w:rsidR="005D18B2" w:rsidRPr="00F32CED" w14:paraId="1597826A" w14:textId="77777777" w:rsidTr="008A6C13">
        <w:trPr>
          <w:trHeight w:val="355"/>
        </w:trPr>
        <w:tc>
          <w:tcPr>
            <w:tcW w:w="2062" w:type="dxa"/>
            <w:tcBorders>
              <w:top w:val="single" w:sz="6" w:space="0" w:color="auto"/>
              <w:left w:val="single" w:sz="6" w:space="0" w:color="auto"/>
              <w:bottom w:val="single" w:sz="6" w:space="0" w:color="auto"/>
              <w:right w:val="single" w:sz="6" w:space="0" w:color="auto"/>
            </w:tcBorders>
            <w:vAlign w:val="center"/>
            <w:hideMark/>
          </w:tcPr>
          <w:p w14:paraId="06DBFC57"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Corrected Calcium, mmol/L</w:t>
            </w:r>
          </w:p>
        </w:tc>
        <w:tc>
          <w:tcPr>
            <w:tcW w:w="1142" w:type="dxa"/>
            <w:tcBorders>
              <w:top w:val="single" w:sz="6" w:space="0" w:color="auto"/>
              <w:left w:val="single" w:sz="6" w:space="0" w:color="auto"/>
              <w:bottom w:val="single" w:sz="6" w:space="0" w:color="auto"/>
              <w:right w:val="single" w:sz="6" w:space="0" w:color="auto"/>
            </w:tcBorders>
            <w:vAlign w:val="center"/>
            <w:hideMark/>
          </w:tcPr>
          <w:p w14:paraId="406C42F0"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3.0</w:t>
            </w:r>
          </w:p>
        </w:tc>
        <w:tc>
          <w:tcPr>
            <w:tcW w:w="1142" w:type="dxa"/>
            <w:tcBorders>
              <w:top w:val="single" w:sz="6" w:space="0" w:color="auto"/>
              <w:left w:val="single" w:sz="6" w:space="0" w:color="auto"/>
              <w:bottom w:val="single" w:sz="6" w:space="0" w:color="auto"/>
              <w:right w:val="single" w:sz="6" w:space="0" w:color="auto"/>
            </w:tcBorders>
            <w:vAlign w:val="center"/>
            <w:hideMark/>
          </w:tcPr>
          <w:p w14:paraId="1450C6E9"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2.4</w:t>
            </w:r>
          </w:p>
        </w:tc>
        <w:tc>
          <w:tcPr>
            <w:tcW w:w="1156" w:type="dxa"/>
            <w:tcBorders>
              <w:top w:val="single" w:sz="6" w:space="0" w:color="auto"/>
              <w:left w:val="single" w:sz="6" w:space="0" w:color="auto"/>
              <w:bottom w:val="single" w:sz="6" w:space="0" w:color="auto"/>
              <w:right w:val="single" w:sz="6" w:space="0" w:color="auto"/>
            </w:tcBorders>
            <w:vAlign w:val="center"/>
            <w:hideMark/>
          </w:tcPr>
          <w:p w14:paraId="79EB8453"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0.4302</w:t>
            </w:r>
          </w:p>
        </w:tc>
        <w:tc>
          <w:tcPr>
            <w:tcW w:w="1128" w:type="dxa"/>
            <w:tcBorders>
              <w:top w:val="single" w:sz="6" w:space="0" w:color="auto"/>
              <w:left w:val="single" w:sz="6" w:space="0" w:color="auto"/>
              <w:bottom w:val="single" w:sz="6" w:space="0" w:color="auto"/>
              <w:right w:val="single" w:sz="6" w:space="0" w:color="auto"/>
            </w:tcBorders>
            <w:vAlign w:val="center"/>
            <w:hideMark/>
          </w:tcPr>
          <w:p w14:paraId="5B406062"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2.5</w:t>
            </w:r>
          </w:p>
        </w:tc>
        <w:tc>
          <w:tcPr>
            <w:tcW w:w="1142" w:type="dxa"/>
            <w:tcBorders>
              <w:top w:val="single" w:sz="6" w:space="0" w:color="auto"/>
              <w:left w:val="single" w:sz="6" w:space="0" w:color="auto"/>
              <w:bottom w:val="single" w:sz="6" w:space="0" w:color="auto"/>
              <w:right w:val="single" w:sz="6" w:space="0" w:color="auto"/>
            </w:tcBorders>
            <w:vAlign w:val="center"/>
            <w:hideMark/>
          </w:tcPr>
          <w:p w14:paraId="4FBE6FBC"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2.5</w:t>
            </w:r>
          </w:p>
        </w:tc>
        <w:tc>
          <w:tcPr>
            <w:tcW w:w="1150" w:type="dxa"/>
            <w:tcBorders>
              <w:top w:val="single" w:sz="6" w:space="0" w:color="auto"/>
              <w:left w:val="single" w:sz="6" w:space="0" w:color="auto"/>
              <w:bottom w:val="single" w:sz="6" w:space="0" w:color="auto"/>
              <w:right w:val="single" w:sz="6" w:space="0" w:color="auto"/>
            </w:tcBorders>
            <w:vAlign w:val="center"/>
            <w:hideMark/>
          </w:tcPr>
          <w:p w14:paraId="57D15ADC"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0.0003</w:t>
            </w:r>
          </w:p>
        </w:tc>
      </w:tr>
      <w:tr w:rsidR="005D18B2" w:rsidRPr="00F32CED" w14:paraId="4BAE72DB" w14:textId="77777777" w:rsidTr="008A6C13">
        <w:trPr>
          <w:trHeight w:val="366"/>
        </w:trPr>
        <w:tc>
          <w:tcPr>
            <w:tcW w:w="2062" w:type="dxa"/>
            <w:tcBorders>
              <w:top w:val="single" w:sz="6" w:space="0" w:color="auto"/>
              <w:left w:val="single" w:sz="6" w:space="0" w:color="auto"/>
              <w:bottom w:val="single" w:sz="6" w:space="0" w:color="auto"/>
              <w:right w:val="single" w:sz="6" w:space="0" w:color="auto"/>
            </w:tcBorders>
            <w:vAlign w:val="center"/>
            <w:hideMark/>
          </w:tcPr>
          <w:p w14:paraId="7072E3D6"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Time since initial diagnosis</w:t>
            </w:r>
          </w:p>
        </w:tc>
        <w:tc>
          <w:tcPr>
            <w:tcW w:w="1142" w:type="dxa"/>
            <w:tcBorders>
              <w:top w:val="single" w:sz="6" w:space="0" w:color="auto"/>
              <w:left w:val="single" w:sz="6" w:space="0" w:color="auto"/>
              <w:bottom w:val="single" w:sz="6" w:space="0" w:color="auto"/>
              <w:right w:val="single" w:sz="6" w:space="0" w:color="auto"/>
            </w:tcBorders>
            <w:vAlign w:val="center"/>
            <w:hideMark/>
          </w:tcPr>
          <w:p w14:paraId="029B85F4"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6.9</w:t>
            </w:r>
          </w:p>
        </w:tc>
        <w:tc>
          <w:tcPr>
            <w:tcW w:w="1142" w:type="dxa"/>
            <w:tcBorders>
              <w:top w:val="single" w:sz="6" w:space="0" w:color="auto"/>
              <w:left w:val="single" w:sz="6" w:space="0" w:color="auto"/>
              <w:bottom w:val="single" w:sz="6" w:space="0" w:color="auto"/>
              <w:right w:val="single" w:sz="6" w:space="0" w:color="auto"/>
            </w:tcBorders>
            <w:vAlign w:val="center"/>
            <w:hideMark/>
          </w:tcPr>
          <w:p w14:paraId="236E82D6"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4.9</w:t>
            </w:r>
          </w:p>
        </w:tc>
        <w:tc>
          <w:tcPr>
            <w:tcW w:w="1156" w:type="dxa"/>
            <w:tcBorders>
              <w:top w:val="single" w:sz="6" w:space="0" w:color="auto"/>
              <w:left w:val="single" w:sz="6" w:space="0" w:color="auto"/>
              <w:bottom w:val="single" w:sz="6" w:space="0" w:color="auto"/>
              <w:right w:val="single" w:sz="6" w:space="0" w:color="auto"/>
            </w:tcBorders>
            <w:vAlign w:val="center"/>
            <w:hideMark/>
          </w:tcPr>
          <w:p w14:paraId="619E1120"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0.5814</w:t>
            </w:r>
          </w:p>
        </w:tc>
        <w:tc>
          <w:tcPr>
            <w:tcW w:w="1128" w:type="dxa"/>
            <w:tcBorders>
              <w:top w:val="single" w:sz="6" w:space="0" w:color="auto"/>
              <w:left w:val="single" w:sz="6" w:space="0" w:color="auto"/>
              <w:bottom w:val="single" w:sz="6" w:space="0" w:color="auto"/>
              <w:right w:val="single" w:sz="6" w:space="0" w:color="auto"/>
            </w:tcBorders>
            <w:vAlign w:val="center"/>
            <w:hideMark/>
          </w:tcPr>
          <w:p w14:paraId="0803F11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5.8</w:t>
            </w:r>
          </w:p>
        </w:tc>
        <w:tc>
          <w:tcPr>
            <w:tcW w:w="1142" w:type="dxa"/>
            <w:tcBorders>
              <w:top w:val="single" w:sz="6" w:space="0" w:color="auto"/>
              <w:left w:val="single" w:sz="6" w:space="0" w:color="auto"/>
              <w:bottom w:val="single" w:sz="6" w:space="0" w:color="auto"/>
              <w:right w:val="single" w:sz="6" w:space="0" w:color="auto"/>
            </w:tcBorders>
            <w:vAlign w:val="center"/>
            <w:hideMark/>
          </w:tcPr>
          <w:p w14:paraId="1A459C03"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5.6</w:t>
            </w:r>
          </w:p>
        </w:tc>
        <w:tc>
          <w:tcPr>
            <w:tcW w:w="1150" w:type="dxa"/>
            <w:tcBorders>
              <w:top w:val="single" w:sz="6" w:space="0" w:color="auto"/>
              <w:left w:val="single" w:sz="6" w:space="0" w:color="auto"/>
              <w:bottom w:val="single" w:sz="6" w:space="0" w:color="auto"/>
              <w:right w:val="single" w:sz="6" w:space="0" w:color="auto"/>
            </w:tcBorders>
            <w:vAlign w:val="center"/>
            <w:hideMark/>
          </w:tcPr>
          <w:p w14:paraId="7B7ED496"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0.0856</w:t>
            </w:r>
          </w:p>
        </w:tc>
      </w:tr>
      <w:tr w:rsidR="005D18B2" w:rsidRPr="00F32CED" w14:paraId="1D4A7B3D" w14:textId="77777777" w:rsidTr="008A6C13">
        <w:trPr>
          <w:trHeight w:val="355"/>
        </w:trPr>
        <w:tc>
          <w:tcPr>
            <w:tcW w:w="2062" w:type="dxa"/>
            <w:tcBorders>
              <w:top w:val="single" w:sz="6" w:space="0" w:color="auto"/>
              <w:left w:val="single" w:sz="6" w:space="0" w:color="auto"/>
              <w:bottom w:val="single" w:sz="6" w:space="0" w:color="auto"/>
              <w:right w:val="single" w:sz="6" w:space="0" w:color="auto"/>
            </w:tcBorders>
            <w:vAlign w:val="center"/>
            <w:hideMark/>
          </w:tcPr>
          <w:p w14:paraId="7E7918D7"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Number of prior regimens</w:t>
            </w:r>
          </w:p>
        </w:tc>
        <w:tc>
          <w:tcPr>
            <w:tcW w:w="1142" w:type="dxa"/>
            <w:tcBorders>
              <w:top w:val="single" w:sz="6" w:space="0" w:color="auto"/>
              <w:left w:val="single" w:sz="6" w:space="0" w:color="auto"/>
              <w:bottom w:val="single" w:sz="6" w:space="0" w:color="auto"/>
              <w:right w:val="single" w:sz="6" w:space="0" w:color="auto"/>
            </w:tcBorders>
            <w:vAlign w:val="center"/>
            <w:hideMark/>
          </w:tcPr>
          <w:p w14:paraId="06BAF5C8"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5.6</w:t>
            </w:r>
          </w:p>
        </w:tc>
        <w:tc>
          <w:tcPr>
            <w:tcW w:w="1142" w:type="dxa"/>
            <w:tcBorders>
              <w:top w:val="single" w:sz="6" w:space="0" w:color="auto"/>
              <w:left w:val="single" w:sz="6" w:space="0" w:color="auto"/>
              <w:bottom w:val="single" w:sz="6" w:space="0" w:color="auto"/>
              <w:right w:val="single" w:sz="6" w:space="0" w:color="auto"/>
            </w:tcBorders>
            <w:vAlign w:val="center"/>
            <w:hideMark/>
          </w:tcPr>
          <w:p w14:paraId="4D73AEEE"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4.8</w:t>
            </w:r>
          </w:p>
        </w:tc>
        <w:tc>
          <w:tcPr>
            <w:tcW w:w="1156" w:type="dxa"/>
            <w:tcBorders>
              <w:top w:val="single" w:sz="6" w:space="0" w:color="auto"/>
              <w:left w:val="single" w:sz="6" w:space="0" w:color="auto"/>
              <w:bottom w:val="single" w:sz="6" w:space="0" w:color="auto"/>
              <w:right w:val="single" w:sz="6" w:space="0" w:color="auto"/>
            </w:tcBorders>
            <w:vAlign w:val="center"/>
            <w:hideMark/>
          </w:tcPr>
          <w:p w14:paraId="6A0ABFEB"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0.5288</w:t>
            </w:r>
          </w:p>
        </w:tc>
        <w:tc>
          <w:tcPr>
            <w:tcW w:w="1128" w:type="dxa"/>
            <w:tcBorders>
              <w:top w:val="single" w:sz="6" w:space="0" w:color="auto"/>
              <w:left w:val="single" w:sz="6" w:space="0" w:color="auto"/>
              <w:bottom w:val="single" w:sz="6" w:space="0" w:color="auto"/>
              <w:right w:val="single" w:sz="6" w:space="0" w:color="auto"/>
            </w:tcBorders>
            <w:vAlign w:val="center"/>
            <w:hideMark/>
          </w:tcPr>
          <w:p w14:paraId="397183F2"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5.3</w:t>
            </w:r>
          </w:p>
        </w:tc>
        <w:tc>
          <w:tcPr>
            <w:tcW w:w="1142" w:type="dxa"/>
            <w:tcBorders>
              <w:top w:val="single" w:sz="6" w:space="0" w:color="auto"/>
              <w:left w:val="single" w:sz="6" w:space="0" w:color="auto"/>
              <w:bottom w:val="single" w:sz="6" w:space="0" w:color="auto"/>
              <w:right w:val="single" w:sz="6" w:space="0" w:color="auto"/>
            </w:tcBorders>
            <w:vAlign w:val="center"/>
            <w:hideMark/>
          </w:tcPr>
          <w:p w14:paraId="52DFB221"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5.1</w:t>
            </w:r>
          </w:p>
        </w:tc>
        <w:tc>
          <w:tcPr>
            <w:tcW w:w="1150" w:type="dxa"/>
            <w:tcBorders>
              <w:top w:val="single" w:sz="6" w:space="0" w:color="auto"/>
              <w:left w:val="single" w:sz="6" w:space="0" w:color="auto"/>
              <w:bottom w:val="single" w:sz="6" w:space="0" w:color="auto"/>
              <w:right w:val="single" w:sz="6" w:space="0" w:color="auto"/>
            </w:tcBorders>
            <w:vAlign w:val="center"/>
            <w:hideMark/>
          </w:tcPr>
          <w:p w14:paraId="6AC1864F"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0.0851</w:t>
            </w:r>
          </w:p>
        </w:tc>
      </w:tr>
      <w:tr w:rsidR="005D18B2" w:rsidRPr="00F32CED" w14:paraId="272B4D27" w14:textId="77777777" w:rsidTr="008A6C13">
        <w:trPr>
          <w:trHeight w:val="600"/>
        </w:trPr>
        <w:tc>
          <w:tcPr>
            <w:tcW w:w="2062" w:type="dxa"/>
            <w:tcBorders>
              <w:top w:val="single" w:sz="6" w:space="0" w:color="auto"/>
              <w:left w:val="single" w:sz="6" w:space="0" w:color="auto"/>
              <w:bottom w:val="single" w:sz="6" w:space="0" w:color="auto"/>
              <w:right w:val="single" w:sz="6" w:space="0" w:color="auto"/>
            </w:tcBorders>
            <w:vAlign w:val="center"/>
            <w:hideMark/>
          </w:tcPr>
          <w:p w14:paraId="4D669446" w14:textId="77777777"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Number of prior regimens per year since diagnosis</w:t>
            </w:r>
          </w:p>
        </w:tc>
        <w:tc>
          <w:tcPr>
            <w:tcW w:w="1142" w:type="dxa"/>
            <w:tcBorders>
              <w:top w:val="single" w:sz="6" w:space="0" w:color="auto"/>
              <w:left w:val="single" w:sz="6" w:space="0" w:color="auto"/>
              <w:bottom w:val="single" w:sz="6" w:space="0" w:color="auto"/>
              <w:right w:val="single" w:sz="6" w:space="0" w:color="auto"/>
            </w:tcBorders>
            <w:vAlign w:val="center"/>
            <w:hideMark/>
          </w:tcPr>
          <w:p w14:paraId="73531559"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1.2</w:t>
            </w:r>
          </w:p>
        </w:tc>
        <w:tc>
          <w:tcPr>
            <w:tcW w:w="1142" w:type="dxa"/>
            <w:tcBorders>
              <w:top w:val="single" w:sz="6" w:space="0" w:color="auto"/>
              <w:left w:val="single" w:sz="6" w:space="0" w:color="auto"/>
              <w:bottom w:val="single" w:sz="6" w:space="0" w:color="auto"/>
              <w:right w:val="single" w:sz="6" w:space="0" w:color="auto"/>
            </w:tcBorders>
            <w:vAlign w:val="center"/>
            <w:hideMark/>
          </w:tcPr>
          <w:p w14:paraId="5566E1F4"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1.3</w:t>
            </w:r>
          </w:p>
        </w:tc>
        <w:tc>
          <w:tcPr>
            <w:tcW w:w="1156" w:type="dxa"/>
            <w:tcBorders>
              <w:top w:val="single" w:sz="6" w:space="0" w:color="auto"/>
              <w:left w:val="single" w:sz="6" w:space="0" w:color="auto"/>
              <w:bottom w:val="single" w:sz="6" w:space="0" w:color="auto"/>
              <w:right w:val="single" w:sz="6" w:space="0" w:color="auto"/>
            </w:tcBorders>
            <w:vAlign w:val="center"/>
            <w:hideMark/>
          </w:tcPr>
          <w:p w14:paraId="66F739C3"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−0.1423</w:t>
            </w:r>
          </w:p>
        </w:tc>
        <w:tc>
          <w:tcPr>
            <w:tcW w:w="1128" w:type="dxa"/>
            <w:tcBorders>
              <w:top w:val="single" w:sz="6" w:space="0" w:color="auto"/>
              <w:left w:val="single" w:sz="6" w:space="0" w:color="auto"/>
              <w:bottom w:val="single" w:sz="6" w:space="0" w:color="auto"/>
              <w:right w:val="single" w:sz="6" w:space="0" w:color="auto"/>
            </w:tcBorders>
            <w:vAlign w:val="center"/>
            <w:hideMark/>
          </w:tcPr>
          <w:p w14:paraId="356FCBC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1.2</w:t>
            </w:r>
          </w:p>
        </w:tc>
        <w:tc>
          <w:tcPr>
            <w:tcW w:w="1142" w:type="dxa"/>
            <w:tcBorders>
              <w:top w:val="single" w:sz="6" w:space="0" w:color="auto"/>
              <w:left w:val="single" w:sz="6" w:space="0" w:color="auto"/>
              <w:bottom w:val="single" w:sz="6" w:space="0" w:color="auto"/>
              <w:right w:val="single" w:sz="6" w:space="0" w:color="auto"/>
            </w:tcBorders>
            <w:vAlign w:val="center"/>
            <w:hideMark/>
          </w:tcPr>
          <w:p w14:paraId="1CEA48C6"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1.2</w:t>
            </w:r>
          </w:p>
        </w:tc>
        <w:tc>
          <w:tcPr>
            <w:tcW w:w="1150" w:type="dxa"/>
            <w:tcBorders>
              <w:top w:val="single" w:sz="6" w:space="0" w:color="auto"/>
              <w:left w:val="single" w:sz="6" w:space="0" w:color="auto"/>
              <w:bottom w:val="single" w:sz="6" w:space="0" w:color="auto"/>
              <w:right w:val="single" w:sz="6" w:space="0" w:color="auto"/>
            </w:tcBorders>
            <w:vAlign w:val="center"/>
            <w:hideMark/>
          </w:tcPr>
          <w:p w14:paraId="62F68A7A"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0.0148</w:t>
            </w:r>
          </w:p>
        </w:tc>
      </w:tr>
      <w:tr w:rsidR="005D18B2" w:rsidRPr="00F32CED" w14:paraId="268FF1F3" w14:textId="77777777" w:rsidTr="008A6C13">
        <w:trPr>
          <w:trHeight w:val="1090"/>
        </w:trPr>
        <w:tc>
          <w:tcPr>
            <w:tcW w:w="2062" w:type="dxa"/>
            <w:tcBorders>
              <w:top w:val="single" w:sz="6" w:space="0" w:color="auto"/>
              <w:left w:val="single" w:sz="6" w:space="0" w:color="auto"/>
              <w:bottom w:val="single" w:sz="6" w:space="0" w:color="auto"/>
              <w:right w:val="single" w:sz="6" w:space="0" w:color="auto"/>
            </w:tcBorders>
            <w:vAlign w:val="center"/>
            <w:hideMark/>
          </w:tcPr>
          <w:p w14:paraId="433B9B0C" w14:textId="1A88FCCF" w:rsidR="005D18B2" w:rsidRPr="00F32CED" w:rsidRDefault="005D18B2" w:rsidP="008A6C13">
            <w:pPr>
              <w:spacing w:before="60" w:after="60"/>
              <w:rPr>
                <w:rFonts w:asciiTheme="minorHAnsi" w:eastAsia="Calibri" w:hAnsiTheme="minorHAnsi" w:cstheme="minorHAnsi"/>
                <w:b/>
              </w:rPr>
            </w:pPr>
            <w:r w:rsidRPr="00F32CED">
              <w:rPr>
                <w:rFonts w:asciiTheme="minorHAnsi" w:eastAsia="Calibri" w:hAnsiTheme="minorHAnsi" w:cstheme="minorHAnsi"/>
                <w:b/>
              </w:rPr>
              <w:t xml:space="preserve">Triple-class refractory </w:t>
            </w:r>
            <w:proofErr w:type="gramStart"/>
            <w:r w:rsidRPr="00F32CED">
              <w:rPr>
                <w:rFonts w:asciiTheme="minorHAnsi" w:eastAsia="Calibri" w:hAnsiTheme="minorHAnsi" w:cstheme="minorHAnsi"/>
                <w:b/>
              </w:rPr>
              <w:t>status,</w:t>
            </w:r>
            <w:r w:rsidRPr="00406C2B">
              <w:rPr>
                <w:rFonts w:asciiTheme="minorHAnsi" w:eastAsia="Calibri" w:hAnsiTheme="minorHAnsi" w:cstheme="minorHAnsi"/>
                <w:b/>
                <w:vertAlign w:val="superscript"/>
              </w:rPr>
              <w:t>‡</w:t>
            </w:r>
            <w:proofErr w:type="gramEnd"/>
            <w:r w:rsidRPr="00F32CED">
              <w:rPr>
                <w:rFonts w:asciiTheme="minorHAnsi" w:eastAsia="Calibri" w:hAnsiTheme="minorHAnsi" w:cstheme="minorHAnsi"/>
                <w:b/>
              </w:rPr>
              <w:t xml:space="preserve"> %</w:t>
            </w:r>
          </w:p>
        </w:tc>
        <w:tc>
          <w:tcPr>
            <w:tcW w:w="1142" w:type="dxa"/>
            <w:tcBorders>
              <w:top w:val="single" w:sz="6" w:space="0" w:color="auto"/>
              <w:left w:val="single" w:sz="6" w:space="0" w:color="auto"/>
              <w:bottom w:val="single" w:sz="6" w:space="0" w:color="auto"/>
              <w:right w:val="single" w:sz="6" w:space="0" w:color="auto"/>
            </w:tcBorders>
            <w:vAlign w:val="center"/>
            <w:hideMark/>
          </w:tcPr>
          <w:p w14:paraId="60B7F8F1"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80.0</w:t>
            </w:r>
          </w:p>
        </w:tc>
        <w:tc>
          <w:tcPr>
            <w:tcW w:w="1142" w:type="dxa"/>
            <w:tcBorders>
              <w:top w:val="single" w:sz="6" w:space="0" w:color="auto"/>
              <w:left w:val="single" w:sz="6" w:space="0" w:color="auto"/>
              <w:bottom w:val="single" w:sz="6" w:space="0" w:color="auto"/>
              <w:right w:val="single" w:sz="6" w:space="0" w:color="auto"/>
            </w:tcBorders>
            <w:vAlign w:val="center"/>
            <w:hideMark/>
          </w:tcPr>
          <w:p w14:paraId="0CD630B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40.0</w:t>
            </w:r>
          </w:p>
        </w:tc>
        <w:tc>
          <w:tcPr>
            <w:tcW w:w="1156" w:type="dxa"/>
            <w:tcBorders>
              <w:top w:val="single" w:sz="6" w:space="0" w:color="auto"/>
              <w:left w:val="single" w:sz="6" w:space="0" w:color="auto"/>
              <w:bottom w:val="single" w:sz="6" w:space="0" w:color="auto"/>
              <w:right w:val="single" w:sz="6" w:space="0" w:color="auto"/>
            </w:tcBorders>
            <w:vAlign w:val="center"/>
            <w:hideMark/>
          </w:tcPr>
          <w:p w14:paraId="10186774"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0.9491</w:t>
            </w:r>
          </w:p>
        </w:tc>
        <w:tc>
          <w:tcPr>
            <w:tcW w:w="1128" w:type="dxa"/>
            <w:tcBorders>
              <w:top w:val="single" w:sz="6" w:space="0" w:color="auto"/>
              <w:left w:val="single" w:sz="6" w:space="0" w:color="auto"/>
              <w:bottom w:val="single" w:sz="6" w:space="0" w:color="auto"/>
              <w:right w:val="single" w:sz="6" w:space="0" w:color="auto"/>
            </w:tcBorders>
            <w:vAlign w:val="center"/>
            <w:hideMark/>
          </w:tcPr>
          <w:p w14:paraId="134587BD"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80.0</w:t>
            </w:r>
          </w:p>
        </w:tc>
        <w:tc>
          <w:tcPr>
            <w:tcW w:w="1142" w:type="dxa"/>
            <w:tcBorders>
              <w:top w:val="single" w:sz="6" w:space="0" w:color="auto"/>
              <w:left w:val="single" w:sz="6" w:space="0" w:color="auto"/>
              <w:bottom w:val="single" w:sz="6" w:space="0" w:color="auto"/>
              <w:right w:val="single" w:sz="6" w:space="0" w:color="auto"/>
            </w:tcBorders>
            <w:vAlign w:val="center"/>
            <w:hideMark/>
          </w:tcPr>
          <w:p w14:paraId="6D7512C8"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80.0</w:t>
            </w:r>
          </w:p>
        </w:tc>
        <w:tc>
          <w:tcPr>
            <w:tcW w:w="1150" w:type="dxa"/>
            <w:tcBorders>
              <w:top w:val="single" w:sz="6" w:space="0" w:color="auto"/>
              <w:left w:val="single" w:sz="6" w:space="0" w:color="auto"/>
              <w:bottom w:val="single" w:sz="6" w:space="0" w:color="auto"/>
              <w:right w:val="single" w:sz="6" w:space="0" w:color="auto"/>
            </w:tcBorders>
            <w:vAlign w:val="center"/>
            <w:hideMark/>
          </w:tcPr>
          <w:p w14:paraId="3F5E7A8B" w14:textId="77777777" w:rsidR="005D18B2" w:rsidRPr="00F32CED" w:rsidRDefault="005D18B2" w:rsidP="008A6C13">
            <w:pPr>
              <w:spacing w:before="60" w:after="60"/>
              <w:jc w:val="center"/>
              <w:rPr>
                <w:rFonts w:asciiTheme="minorHAnsi" w:eastAsia="Calibri" w:hAnsiTheme="minorHAnsi" w:cstheme="minorHAnsi"/>
                <w:bCs/>
              </w:rPr>
            </w:pPr>
            <w:r w:rsidRPr="00F32CED">
              <w:rPr>
                <w:rFonts w:asciiTheme="minorHAnsi" w:eastAsia="Calibri" w:hAnsiTheme="minorHAnsi" w:cstheme="minorHAnsi"/>
                <w:bCs/>
              </w:rPr>
              <w:t>0.0165</w:t>
            </w:r>
          </w:p>
        </w:tc>
      </w:tr>
    </w:tbl>
    <w:p w14:paraId="7B41CDBE" w14:textId="641F1A73" w:rsidR="005D18B2" w:rsidRPr="00F32CED" w:rsidRDefault="005D18B2" w:rsidP="005D18B2">
      <w:pPr>
        <w:tabs>
          <w:tab w:val="left" w:pos="144"/>
        </w:tabs>
        <w:spacing w:after="0" w:line="240" w:lineRule="auto"/>
        <w:rPr>
          <w:rFonts w:eastAsia="Times New Roman" w:cstheme="minorHAnsi"/>
          <w:sz w:val="18"/>
          <w:szCs w:val="18"/>
          <w:lang w:eastAsia="en-GB"/>
        </w:rPr>
      </w:pPr>
      <w:r w:rsidRPr="00F32CED">
        <w:rPr>
          <w:rFonts w:eastAsia="Malgun Gothic" w:cstheme="minorHAnsi"/>
          <w:color w:val="000000" w:themeColor="text1"/>
          <w:kern w:val="24"/>
          <w:sz w:val="18"/>
          <w:szCs w:val="18"/>
          <w:lang w:eastAsia="en-GB"/>
        </w:rPr>
        <w:t>SMD, standardized mean difference.</w:t>
      </w:r>
    </w:p>
    <w:p w14:paraId="267EE364" w14:textId="77777777" w:rsidR="005D18B2" w:rsidRPr="00F32CED" w:rsidRDefault="005D18B2" w:rsidP="005D18B2">
      <w:pPr>
        <w:tabs>
          <w:tab w:val="left" w:pos="144"/>
        </w:tabs>
        <w:spacing w:after="0" w:line="240" w:lineRule="auto"/>
        <w:rPr>
          <w:rFonts w:eastAsia="Times New Roman" w:cstheme="minorHAnsi"/>
          <w:sz w:val="18"/>
          <w:szCs w:val="18"/>
          <w:lang w:eastAsia="en-GB"/>
        </w:rPr>
      </w:pPr>
      <w:r w:rsidRPr="00F32CED">
        <w:rPr>
          <w:rFonts w:eastAsia="Times New Roman" w:cstheme="minorHAnsi"/>
          <w:color w:val="000000" w:themeColor="text1"/>
          <w:kern w:val="24"/>
          <w:sz w:val="18"/>
          <w:szCs w:val="18"/>
          <w:lang w:eastAsia="en-GB"/>
        </w:rPr>
        <w:t xml:space="preserve">Multiple imputation procedures created 30 datasets and overall estimates were obtained using Rubin’s rules to combine the individual estimates. The stabilized inverse probability treatment weighting was trimmed at the maximum of the minimum weight and minimum of the maximum weight for the </w:t>
      </w:r>
      <w:proofErr w:type="spellStart"/>
      <w:r w:rsidRPr="00F32CED">
        <w:rPr>
          <w:rFonts w:eastAsia="Times New Roman" w:cstheme="minorHAnsi"/>
          <w:color w:val="000000" w:themeColor="text1"/>
          <w:kern w:val="24"/>
          <w:sz w:val="18"/>
          <w:szCs w:val="18"/>
          <w:lang w:eastAsia="en-GB"/>
        </w:rPr>
        <w:t>KarMMa</w:t>
      </w:r>
      <w:proofErr w:type="spellEnd"/>
      <w:r w:rsidRPr="00F32CED">
        <w:rPr>
          <w:rFonts w:eastAsia="Times New Roman" w:cstheme="minorHAnsi"/>
          <w:color w:val="000000" w:themeColor="text1"/>
          <w:kern w:val="24"/>
          <w:sz w:val="18"/>
          <w:szCs w:val="18"/>
          <w:lang w:eastAsia="en-GB"/>
        </w:rPr>
        <w:t xml:space="preserve"> cohort and the Eligible RRMM cohort.</w:t>
      </w:r>
    </w:p>
    <w:p w14:paraId="6CE6466C" w14:textId="77777777" w:rsidR="005D18B2" w:rsidRPr="00F32CED" w:rsidRDefault="005D18B2" w:rsidP="005D18B2">
      <w:pPr>
        <w:tabs>
          <w:tab w:val="left" w:pos="144"/>
        </w:tabs>
        <w:spacing w:after="0" w:line="240" w:lineRule="auto"/>
        <w:rPr>
          <w:rFonts w:eastAsia="Times New Roman" w:cstheme="minorHAnsi"/>
          <w:sz w:val="18"/>
          <w:szCs w:val="18"/>
          <w:lang w:eastAsia="en-GB"/>
        </w:rPr>
      </w:pPr>
      <w:r w:rsidRPr="00F32CED">
        <w:rPr>
          <w:rFonts w:eastAsia="Times New Roman" w:cstheme="minorHAnsi"/>
          <w:color w:val="000000" w:themeColor="text1"/>
          <w:kern w:val="24"/>
          <w:sz w:val="18"/>
          <w:szCs w:val="18"/>
          <w:lang w:eastAsia="en-GB"/>
        </w:rPr>
        <w:t xml:space="preserve">*A covariate was not included in the balancing if it had &gt; 30% missing for the Eligible RRMM cohort. Means are presented for continuous variables and proportions are presented for categorical variables. Standardized mean difference was obtained from the </w:t>
      </w:r>
      <w:proofErr w:type="spellStart"/>
      <w:r w:rsidRPr="00F32CED">
        <w:rPr>
          <w:rFonts w:eastAsia="Times New Roman" w:cstheme="minorHAnsi"/>
          <w:color w:val="000000" w:themeColor="text1"/>
          <w:kern w:val="24"/>
          <w:sz w:val="18"/>
          <w:szCs w:val="18"/>
          <w:lang w:eastAsia="en-GB"/>
        </w:rPr>
        <w:t>KarMMa</w:t>
      </w:r>
      <w:proofErr w:type="spellEnd"/>
      <w:r w:rsidRPr="00F32CED">
        <w:rPr>
          <w:rFonts w:eastAsia="Times New Roman" w:cstheme="minorHAnsi"/>
          <w:color w:val="000000" w:themeColor="text1"/>
          <w:kern w:val="24"/>
          <w:sz w:val="18"/>
          <w:szCs w:val="18"/>
          <w:lang w:eastAsia="en-GB"/>
        </w:rPr>
        <w:t xml:space="preserve"> cohort minus the Eligible RRMM cohort and used trimmed stabilized weights when combining the mean and standard deviation.</w:t>
      </w:r>
    </w:p>
    <w:p w14:paraId="592887EE" w14:textId="77777777" w:rsidR="005D18B2" w:rsidRDefault="005D18B2" w:rsidP="005D18B2">
      <w:pPr>
        <w:tabs>
          <w:tab w:val="left" w:pos="144"/>
        </w:tabs>
        <w:spacing w:after="0" w:line="240" w:lineRule="auto"/>
        <w:rPr>
          <w:rFonts w:eastAsia="Malgun Gothic" w:cstheme="minorHAnsi"/>
          <w:color w:val="000000" w:themeColor="text1"/>
          <w:kern w:val="24"/>
          <w:sz w:val="18"/>
          <w:szCs w:val="18"/>
          <w:lang w:eastAsia="en-GB"/>
        </w:rPr>
      </w:pPr>
      <w:r w:rsidRPr="00F32CED">
        <w:rPr>
          <w:rFonts w:eastAsia="Times New Roman" w:cstheme="minorHAnsi"/>
          <w:sz w:val="18"/>
          <w:szCs w:val="18"/>
          <w:vertAlign w:val="superscript"/>
          <w:lang w:eastAsia="en-GB"/>
        </w:rPr>
        <w:t>†</w:t>
      </w:r>
      <w:r w:rsidRPr="00F32CED">
        <w:rPr>
          <w:rFonts w:eastAsia="Malgun Gothic" w:cstheme="minorHAnsi"/>
          <w:color w:val="000000" w:themeColor="text1"/>
          <w:kern w:val="24"/>
          <w:sz w:val="18"/>
          <w:szCs w:val="18"/>
          <w:lang w:eastAsia="en-GB"/>
        </w:rPr>
        <w:t>Across all target doses.</w:t>
      </w:r>
    </w:p>
    <w:p w14:paraId="02F3A87B" w14:textId="77777777" w:rsidR="005D18B2" w:rsidRPr="00406C2B" w:rsidRDefault="005D18B2" w:rsidP="005D18B2">
      <w:pPr>
        <w:tabs>
          <w:tab w:val="left" w:pos="144"/>
        </w:tabs>
        <w:spacing w:after="0" w:line="240" w:lineRule="auto"/>
        <w:rPr>
          <w:rFonts w:eastAsia="Times New Roman" w:cstheme="minorHAnsi"/>
          <w:sz w:val="18"/>
          <w:szCs w:val="18"/>
          <w:lang w:eastAsia="en-GB"/>
        </w:rPr>
      </w:pPr>
      <w:r w:rsidRPr="00406C2B">
        <w:rPr>
          <w:rFonts w:eastAsia="Calibri" w:cstheme="minorHAnsi"/>
          <w:b/>
          <w:sz w:val="18"/>
          <w:szCs w:val="18"/>
          <w:vertAlign w:val="superscript"/>
        </w:rPr>
        <w:t>‡</w:t>
      </w:r>
      <w:r>
        <w:rPr>
          <w:rFonts w:eastAsia="Malgun Gothic" w:cstheme="minorHAnsi"/>
          <w:color w:val="000000" w:themeColor="text1"/>
          <w:kern w:val="24"/>
          <w:sz w:val="18"/>
          <w:szCs w:val="18"/>
          <w:lang w:eastAsia="en-GB"/>
        </w:rPr>
        <w:t>Triple-class r</w:t>
      </w:r>
      <w:r w:rsidRPr="00406C2B">
        <w:rPr>
          <w:rFonts w:eastAsia="Malgun Gothic" w:cstheme="minorHAnsi"/>
          <w:color w:val="000000" w:themeColor="text1"/>
          <w:kern w:val="24"/>
          <w:sz w:val="18"/>
          <w:szCs w:val="18"/>
          <w:lang w:eastAsia="en-GB"/>
        </w:rPr>
        <w:t xml:space="preserve">efractory </w:t>
      </w:r>
      <w:r>
        <w:rPr>
          <w:rFonts w:eastAsia="Malgun Gothic" w:cstheme="minorHAnsi"/>
          <w:color w:val="000000" w:themeColor="text1"/>
          <w:kern w:val="24"/>
          <w:sz w:val="18"/>
          <w:szCs w:val="18"/>
          <w:lang w:eastAsia="en-GB"/>
        </w:rPr>
        <w:t xml:space="preserve">was defined as refractory </w:t>
      </w:r>
      <w:r w:rsidRPr="00406C2B">
        <w:rPr>
          <w:rFonts w:eastAsia="Malgun Gothic" w:cstheme="minorHAnsi"/>
          <w:color w:val="000000" w:themeColor="text1"/>
          <w:kern w:val="24"/>
          <w:sz w:val="18"/>
          <w:szCs w:val="18"/>
          <w:lang w:eastAsia="en-GB"/>
        </w:rPr>
        <w:t>to an immunomodulatory agent, a</w:t>
      </w:r>
      <w:r w:rsidRPr="00406C2B">
        <w:rPr>
          <w:rFonts w:eastAsia="Times New Roman" w:cstheme="minorHAnsi"/>
          <w:color w:val="000000" w:themeColor="text1"/>
          <w:kern w:val="24"/>
          <w:sz w:val="18"/>
          <w:szCs w:val="18"/>
          <w:lang w:eastAsia="en-GB"/>
        </w:rPr>
        <w:t xml:space="preserve"> </w:t>
      </w:r>
      <w:r w:rsidRPr="00406C2B">
        <w:rPr>
          <w:rFonts w:eastAsia="Malgun Gothic" w:cstheme="minorHAnsi"/>
          <w:color w:val="000000" w:themeColor="text1"/>
          <w:kern w:val="24"/>
          <w:sz w:val="18"/>
          <w:szCs w:val="18"/>
          <w:lang w:eastAsia="en-GB"/>
        </w:rPr>
        <w:t>proteasome inhibitor, and an anti-CD38 antibody.</w:t>
      </w:r>
    </w:p>
    <w:p w14:paraId="58932331" w14:textId="77777777" w:rsidR="005D18B2" w:rsidRPr="00F32CED" w:rsidRDefault="005D18B2" w:rsidP="005D18B2">
      <w:pPr>
        <w:tabs>
          <w:tab w:val="left" w:pos="144"/>
        </w:tabs>
        <w:spacing w:after="0" w:line="240" w:lineRule="auto"/>
        <w:rPr>
          <w:rFonts w:eastAsia="Times New Roman" w:cstheme="minorHAnsi"/>
          <w:sz w:val="18"/>
          <w:szCs w:val="18"/>
          <w:lang w:eastAsia="en-GB"/>
        </w:rPr>
      </w:pPr>
    </w:p>
    <w:p w14:paraId="1FB9E499" w14:textId="77777777" w:rsidR="005D18B2" w:rsidRPr="00F32CED" w:rsidRDefault="005D18B2" w:rsidP="005D18B2">
      <w:pPr>
        <w:spacing w:line="256" w:lineRule="auto"/>
        <w:rPr>
          <w:rFonts w:cstheme="minorHAnsi"/>
        </w:rPr>
      </w:pPr>
      <w:r w:rsidRPr="00F32CED">
        <w:rPr>
          <w:rFonts w:cstheme="minorHAnsi"/>
        </w:rPr>
        <w:br w:type="page"/>
      </w:r>
    </w:p>
    <w:p w14:paraId="39838B3D" w14:textId="77777777" w:rsidR="005D18B2" w:rsidRPr="00F32CED" w:rsidRDefault="005D18B2" w:rsidP="005D18B2">
      <w:pPr>
        <w:spacing w:line="276" w:lineRule="auto"/>
        <w:rPr>
          <w:rFonts w:cstheme="minorHAnsi"/>
          <w:b/>
          <w:bCs/>
        </w:rPr>
      </w:pPr>
      <w:r w:rsidRPr="00F32CED">
        <w:rPr>
          <w:rFonts w:cstheme="minorHAnsi"/>
          <w:b/>
          <w:bCs/>
        </w:rPr>
        <w:lastRenderedPageBreak/>
        <w:t>Supplementary Table 3. Most common anti-myeloma treatment regimens in ≥5 patients</w:t>
      </w:r>
    </w:p>
    <w:tbl>
      <w:tblPr>
        <w:tblW w:w="901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60"/>
        <w:gridCol w:w="3255"/>
      </w:tblGrid>
      <w:tr w:rsidR="005D18B2" w:rsidRPr="00F32CED" w14:paraId="3418EE2B" w14:textId="77777777" w:rsidTr="008A6C13">
        <w:trPr>
          <w:cantSplit/>
          <w:trHeight w:val="1085"/>
          <w:tblHeader/>
        </w:trPr>
        <w:tc>
          <w:tcPr>
            <w:tcW w:w="5760" w:type="dxa"/>
            <w:tcBorders>
              <w:top w:val="single" w:sz="6" w:space="0" w:color="auto"/>
              <w:left w:val="single" w:sz="6" w:space="0" w:color="auto"/>
              <w:bottom w:val="single" w:sz="6" w:space="0" w:color="auto"/>
              <w:right w:val="single" w:sz="6" w:space="0" w:color="auto"/>
            </w:tcBorders>
            <w:vAlign w:val="bottom"/>
            <w:hideMark/>
          </w:tcPr>
          <w:p w14:paraId="06816BD8" w14:textId="77777777" w:rsidR="005D18B2" w:rsidRPr="00F32CED" w:rsidRDefault="005D18B2" w:rsidP="008A6C13">
            <w:pPr>
              <w:keepNext/>
              <w:spacing w:before="60" w:after="60" w:line="256" w:lineRule="auto"/>
              <w:rPr>
                <w:rFonts w:eastAsia="Times New Roman" w:cstheme="minorHAnsi"/>
                <w:b/>
                <w:sz w:val="20"/>
                <w:szCs w:val="20"/>
                <w:lang w:val="en-GB"/>
              </w:rPr>
            </w:pPr>
            <w:r w:rsidRPr="00F32CED">
              <w:rPr>
                <w:rFonts w:eastAsia="Times New Roman" w:cstheme="minorHAnsi"/>
                <w:b/>
                <w:sz w:val="20"/>
                <w:szCs w:val="20"/>
                <w:lang w:val="en-GB"/>
              </w:rPr>
              <w:t>Treatment regimen</w:t>
            </w:r>
          </w:p>
        </w:tc>
        <w:tc>
          <w:tcPr>
            <w:tcW w:w="3255" w:type="dxa"/>
            <w:tcBorders>
              <w:top w:val="single" w:sz="6" w:space="0" w:color="auto"/>
              <w:left w:val="single" w:sz="6" w:space="0" w:color="auto"/>
              <w:bottom w:val="single" w:sz="6" w:space="0" w:color="auto"/>
              <w:right w:val="single" w:sz="6" w:space="0" w:color="auto"/>
            </w:tcBorders>
            <w:vAlign w:val="bottom"/>
            <w:hideMark/>
          </w:tcPr>
          <w:p w14:paraId="2E12F84A" w14:textId="77777777" w:rsidR="005D18B2" w:rsidRPr="00F32CED" w:rsidRDefault="005D18B2" w:rsidP="008A6C13">
            <w:pPr>
              <w:keepNext/>
              <w:spacing w:before="60" w:after="60" w:line="256" w:lineRule="auto"/>
              <w:jc w:val="center"/>
              <w:rPr>
                <w:rFonts w:eastAsia="Times New Roman" w:cstheme="minorHAnsi"/>
                <w:b/>
                <w:sz w:val="20"/>
                <w:szCs w:val="20"/>
                <w:lang w:val="en-GB"/>
              </w:rPr>
            </w:pPr>
            <w:r w:rsidRPr="00F32CED">
              <w:rPr>
                <w:rFonts w:eastAsia="Times New Roman" w:cstheme="minorHAnsi"/>
                <w:b/>
                <w:sz w:val="20"/>
                <w:szCs w:val="20"/>
                <w:lang w:val="en-GB"/>
              </w:rPr>
              <w:t>Eligible RRMM cohort</w:t>
            </w:r>
            <w:r w:rsidRPr="00F32CED">
              <w:rPr>
                <w:rFonts w:eastAsia="Times New Roman" w:cstheme="minorHAnsi"/>
                <w:b/>
                <w:sz w:val="20"/>
                <w:szCs w:val="20"/>
                <w:lang w:val="en-GB"/>
              </w:rPr>
              <w:br/>
              <w:t>(N=190)</w:t>
            </w:r>
          </w:p>
          <w:p w14:paraId="28CBF8EA" w14:textId="77777777" w:rsidR="005D18B2" w:rsidRPr="00F32CED" w:rsidRDefault="005D18B2" w:rsidP="008A6C13">
            <w:pPr>
              <w:spacing w:before="60" w:after="60" w:line="256" w:lineRule="auto"/>
              <w:jc w:val="center"/>
              <w:rPr>
                <w:rFonts w:eastAsia="Times New Roman" w:cstheme="minorHAnsi"/>
                <w:b/>
                <w:sz w:val="20"/>
                <w:szCs w:val="20"/>
              </w:rPr>
            </w:pPr>
            <w:r w:rsidRPr="00F32CED">
              <w:rPr>
                <w:rFonts w:eastAsia="Times New Roman" w:cstheme="minorHAnsi"/>
                <w:b/>
                <w:sz w:val="20"/>
                <w:szCs w:val="20"/>
              </w:rPr>
              <w:t>n (%)</w:t>
            </w:r>
          </w:p>
        </w:tc>
      </w:tr>
      <w:tr w:rsidR="005D18B2" w:rsidRPr="00F32CED" w14:paraId="5B7859E0" w14:textId="77777777" w:rsidTr="008A6C13">
        <w:trPr>
          <w:cantSplit/>
          <w:trHeight w:val="369"/>
        </w:trPr>
        <w:tc>
          <w:tcPr>
            <w:tcW w:w="5760" w:type="dxa"/>
            <w:tcBorders>
              <w:top w:val="single" w:sz="6" w:space="0" w:color="auto"/>
              <w:left w:val="single" w:sz="6" w:space="0" w:color="auto"/>
              <w:bottom w:val="single" w:sz="6" w:space="0" w:color="auto"/>
              <w:right w:val="single" w:sz="6" w:space="0" w:color="auto"/>
            </w:tcBorders>
            <w:vAlign w:val="center"/>
            <w:hideMark/>
          </w:tcPr>
          <w:p w14:paraId="3B75B433" w14:textId="77777777" w:rsidR="005D18B2" w:rsidRPr="00F32CED" w:rsidRDefault="005D18B2" w:rsidP="008A6C13">
            <w:pPr>
              <w:spacing w:before="60" w:after="60" w:line="256" w:lineRule="auto"/>
              <w:rPr>
                <w:rFonts w:eastAsia="Times New Roman" w:cstheme="minorHAnsi"/>
                <w:b/>
                <w:bCs/>
                <w:sz w:val="20"/>
                <w:szCs w:val="20"/>
              </w:rPr>
            </w:pPr>
            <w:r w:rsidRPr="00F32CED">
              <w:rPr>
                <w:rFonts w:eastAsia="Times New Roman" w:cstheme="minorHAnsi"/>
                <w:b/>
                <w:bCs/>
                <w:sz w:val="20"/>
                <w:szCs w:val="20"/>
              </w:rPr>
              <w:t>Carfilzomib-pomalidomide-dexamethasone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2D8ED46E"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16 (8.4)</w:t>
            </w:r>
          </w:p>
        </w:tc>
      </w:tr>
      <w:tr w:rsidR="005D18B2" w:rsidRPr="00F32CED" w14:paraId="48F274CE" w14:textId="77777777" w:rsidTr="008A6C13">
        <w:trPr>
          <w:cantSplit/>
          <w:trHeight w:val="369"/>
        </w:trPr>
        <w:tc>
          <w:tcPr>
            <w:tcW w:w="5760" w:type="dxa"/>
            <w:tcBorders>
              <w:top w:val="single" w:sz="6" w:space="0" w:color="auto"/>
              <w:left w:val="single" w:sz="6" w:space="0" w:color="auto"/>
              <w:bottom w:val="single" w:sz="6" w:space="0" w:color="auto"/>
              <w:right w:val="single" w:sz="6" w:space="0" w:color="auto"/>
            </w:tcBorders>
            <w:vAlign w:val="center"/>
            <w:hideMark/>
          </w:tcPr>
          <w:p w14:paraId="331CBF04" w14:textId="77777777" w:rsidR="005D18B2" w:rsidRPr="00F32CED" w:rsidRDefault="005D18B2" w:rsidP="008A6C13">
            <w:pPr>
              <w:spacing w:before="60" w:after="60" w:line="256" w:lineRule="auto"/>
              <w:rPr>
                <w:rFonts w:eastAsia="Times New Roman" w:cstheme="minorHAnsi"/>
                <w:b/>
                <w:bCs/>
                <w:sz w:val="20"/>
                <w:szCs w:val="20"/>
              </w:rPr>
            </w:pPr>
            <w:proofErr w:type="spellStart"/>
            <w:r w:rsidRPr="00F32CED">
              <w:rPr>
                <w:rFonts w:eastAsia="Times New Roman" w:cstheme="minorHAnsi"/>
                <w:b/>
                <w:bCs/>
                <w:sz w:val="20"/>
                <w:szCs w:val="20"/>
              </w:rPr>
              <w:t>Elotuzumab</w:t>
            </w:r>
            <w:proofErr w:type="spellEnd"/>
            <w:r w:rsidRPr="00F32CED">
              <w:rPr>
                <w:rFonts w:eastAsia="Times New Roman" w:cstheme="minorHAnsi"/>
                <w:b/>
                <w:bCs/>
                <w:sz w:val="20"/>
                <w:szCs w:val="20"/>
              </w:rPr>
              <w:t>-lenalidomide-dexamethasone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70D8D1B8"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10 (5.3)</w:t>
            </w:r>
          </w:p>
        </w:tc>
      </w:tr>
      <w:tr w:rsidR="005D18B2" w:rsidRPr="00F32CED" w14:paraId="5066874F" w14:textId="77777777" w:rsidTr="008A6C13">
        <w:trPr>
          <w:cantSplit/>
          <w:trHeight w:val="369"/>
        </w:trPr>
        <w:tc>
          <w:tcPr>
            <w:tcW w:w="5760" w:type="dxa"/>
            <w:tcBorders>
              <w:top w:val="single" w:sz="6" w:space="0" w:color="auto"/>
              <w:left w:val="single" w:sz="6" w:space="0" w:color="auto"/>
              <w:bottom w:val="single" w:sz="6" w:space="0" w:color="auto"/>
              <w:right w:val="single" w:sz="6" w:space="0" w:color="auto"/>
            </w:tcBorders>
            <w:vAlign w:val="center"/>
            <w:hideMark/>
          </w:tcPr>
          <w:p w14:paraId="1877F182" w14:textId="77777777" w:rsidR="005D18B2" w:rsidRPr="00F32CED" w:rsidRDefault="005D18B2" w:rsidP="008A6C13">
            <w:pPr>
              <w:spacing w:before="60" w:after="60" w:line="256" w:lineRule="auto"/>
              <w:rPr>
                <w:rFonts w:eastAsia="Times New Roman" w:cstheme="minorHAnsi"/>
                <w:b/>
                <w:bCs/>
                <w:sz w:val="20"/>
                <w:szCs w:val="20"/>
              </w:rPr>
            </w:pPr>
            <w:r w:rsidRPr="00F32CED">
              <w:rPr>
                <w:rFonts w:eastAsia="Times New Roman" w:cstheme="minorHAnsi"/>
                <w:b/>
                <w:bCs/>
                <w:sz w:val="20"/>
                <w:szCs w:val="20"/>
              </w:rPr>
              <w:t>Carfilzomib-cyclophosphamide-dexamethasone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4C78C691"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9 (4.7)</w:t>
            </w:r>
          </w:p>
        </w:tc>
      </w:tr>
      <w:tr w:rsidR="005D18B2" w:rsidRPr="00F32CED" w14:paraId="1404F529" w14:textId="77777777" w:rsidTr="008A6C13">
        <w:trPr>
          <w:cantSplit/>
          <w:trHeight w:val="369"/>
        </w:trPr>
        <w:tc>
          <w:tcPr>
            <w:tcW w:w="5760" w:type="dxa"/>
            <w:tcBorders>
              <w:top w:val="single" w:sz="6" w:space="0" w:color="auto"/>
              <w:left w:val="single" w:sz="6" w:space="0" w:color="auto"/>
              <w:bottom w:val="single" w:sz="6" w:space="0" w:color="auto"/>
              <w:right w:val="single" w:sz="6" w:space="0" w:color="auto"/>
            </w:tcBorders>
            <w:vAlign w:val="center"/>
            <w:hideMark/>
          </w:tcPr>
          <w:p w14:paraId="0861CB5A" w14:textId="77777777" w:rsidR="005D18B2" w:rsidRPr="00F32CED" w:rsidRDefault="005D18B2" w:rsidP="008A6C13">
            <w:pPr>
              <w:spacing w:before="60" w:after="60" w:line="256" w:lineRule="auto"/>
              <w:rPr>
                <w:rFonts w:eastAsia="Times New Roman" w:cstheme="minorHAnsi"/>
                <w:b/>
                <w:bCs/>
                <w:sz w:val="20"/>
                <w:szCs w:val="20"/>
              </w:rPr>
            </w:pPr>
            <w:r w:rsidRPr="00F32CED">
              <w:rPr>
                <w:rFonts w:eastAsia="Times New Roman" w:cstheme="minorHAnsi"/>
                <w:b/>
                <w:bCs/>
                <w:sz w:val="20"/>
                <w:szCs w:val="20"/>
              </w:rPr>
              <w:t>Carfilzomib-dexamethasone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2AC2F385"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5 (2.6)</w:t>
            </w:r>
          </w:p>
        </w:tc>
      </w:tr>
      <w:tr w:rsidR="005D18B2" w:rsidRPr="00F32CED" w14:paraId="13A51106" w14:textId="77777777" w:rsidTr="008A6C13">
        <w:trPr>
          <w:cantSplit/>
          <w:trHeight w:val="359"/>
        </w:trPr>
        <w:tc>
          <w:tcPr>
            <w:tcW w:w="5760" w:type="dxa"/>
            <w:tcBorders>
              <w:top w:val="single" w:sz="6" w:space="0" w:color="auto"/>
              <w:left w:val="single" w:sz="6" w:space="0" w:color="auto"/>
              <w:bottom w:val="single" w:sz="6" w:space="0" w:color="auto"/>
              <w:right w:val="single" w:sz="6" w:space="0" w:color="auto"/>
            </w:tcBorders>
            <w:vAlign w:val="center"/>
            <w:hideMark/>
          </w:tcPr>
          <w:p w14:paraId="1D3DD015" w14:textId="77777777" w:rsidR="005D18B2" w:rsidRPr="00F32CED" w:rsidRDefault="005D18B2" w:rsidP="008A6C13">
            <w:pPr>
              <w:spacing w:before="60" w:after="60" w:line="256" w:lineRule="auto"/>
              <w:rPr>
                <w:rFonts w:eastAsia="Times New Roman" w:cstheme="minorHAnsi"/>
                <w:b/>
                <w:bCs/>
                <w:sz w:val="20"/>
                <w:szCs w:val="20"/>
              </w:rPr>
            </w:pPr>
            <w:r w:rsidRPr="00F32CED">
              <w:rPr>
                <w:rFonts w:eastAsia="Times New Roman" w:cstheme="minorHAnsi"/>
                <w:b/>
                <w:bCs/>
                <w:sz w:val="20"/>
                <w:szCs w:val="20"/>
              </w:rPr>
              <w:t>Cisplatin-cyclophosphamide-dexamethasone-etoposide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67647338"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5 (2.6)</w:t>
            </w:r>
          </w:p>
        </w:tc>
      </w:tr>
      <w:tr w:rsidR="005D18B2" w:rsidRPr="00F32CED" w14:paraId="27498D8F" w14:textId="77777777" w:rsidTr="008A6C13">
        <w:trPr>
          <w:cantSplit/>
          <w:trHeight w:val="369"/>
        </w:trPr>
        <w:tc>
          <w:tcPr>
            <w:tcW w:w="5760" w:type="dxa"/>
            <w:tcBorders>
              <w:top w:val="single" w:sz="6" w:space="0" w:color="auto"/>
              <w:left w:val="single" w:sz="6" w:space="0" w:color="auto"/>
              <w:bottom w:val="single" w:sz="6" w:space="0" w:color="auto"/>
              <w:right w:val="single" w:sz="6" w:space="0" w:color="auto"/>
            </w:tcBorders>
            <w:vAlign w:val="center"/>
            <w:hideMark/>
          </w:tcPr>
          <w:p w14:paraId="3E8AD950" w14:textId="77777777" w:rsidR="005D18B2" w:rsidRPr="00F32CED" w:rsidRDefault="005D18B2" w:rsidP="008A6C13">
            <w:pPr>
              <w:spacing w:before="60" w:after="60" w:line="256" w:lineRule="auto"/>
              <w:rPr>
                <w:rFonts w:eastAsia="Times New Roman" w:cstheme="minorHAnsi"/>
                <w:b/>
                <w:bCs/>
                <w:sz w:val="20"/>
                <w:szCs w:val="20"/>
              </w:rPr>
            </w:pPr>
            <w:r w:rsidRPr="00F32CED">
              <w:rPr>
                <w:rFonts w:eastAsia="Times New Roman" w:cstheme="minorHAnsi"/>
                <w:b/>
                <w:bCs/>
                <w:sz w:val="20"/>
                <w:szCs w:val="20"/>
              </w:rPr>
              <w:t>Daratumumab-dexamethasone-lenalidomide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6FBFAC80"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5 (2.6)</w:t>
            </w:r>
          </w:p>
        </w:tc>
      </w:tr>
      <w:tr w:rsidR="005D18B2" w:rsidRPr="00F32CED" w14:paraId="23ED2606" w14:textId="77777777" w:rsidTr="008A6C13">
        <w:trPr>
          <w:cantSplit/>
          <w:trHeight w:val="369"/>
        </w:trPr>
        <w:tc>
          <w:tcPr>
            <w:tcW w:w="5760" w:type="dxa"/>
            <w:tcBorders>
              <w:top w:val="single" w:sz="6" w:space="0" w:color="auto"/>
              <w:left w:val="single" w:sz="6" w:space="0" w:color="auto"/>
              <w:bottom w:val="single" w:sz="6" w:space="0" w:color="auto"/>
              <w:right w:val="single" w:sz="6" w:space="0" w:color="auto"/>
            </w:tcBorders>
            <w:vAlign w:val="center"/>
            <w:hideMark/>
          </w:tcPr>
          <w:p w14:paraId="4BC85F85" w14:textId="77777777" w:rsidR="005D18B2" w:rsidRPr="00F32CED" w:rsidRDefault="005D18B2" w:rsidP="008A6C13">
            <w:pPr>
              <w:spacing w:before="60" w:after="60" w:line="256" w:lineRule="auto"/>
              <w:rPr>
                <w:rFonts w:eastAsia="Times New Roman" w:cstheme="minorHAnsi"/>
                <w:b/>
                <w:bCs/>
                <w:sz w:val="20"/>
                <w:szCs w:val="20"/>
              </w:rPr>
            </w:pPr>
            <w:r w:rsidRPr="00F32CED">
              <w:rPr>
                <w:rFonts w:eastAsia="Times New Roman" w:cstheme="minorHAnsi"/>
                <w:b/>
                <w:bCs/>
                <w:sz w:val="20"/>
                <w:szCs w:val="20"/>
              </w:rPr>
              <w:t>Daratumumab-dexamethasone-pomalidomide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61055079"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5 (2.6)</w:t>
            </w:r>
          </w:p>
        </w:tc>
      </w:tr>
      <w:tr w:rsidR="005D18B2" w:rsidRPr="00F32CED" w14:paraId="067F7D8E" w14:textId="77777777" w:rsidTr="008A6C13">
        <w:trPr>
          <w:cantSplit/>
          <w:trHeight w:val="369"/>
        </w:trPr>
        <w:tc>
          <w:tcPr>
            <w:tcW w:w="5760" w:type="dxa"/>
            <w:tcBorders>
              <w:top w:val="single" w:sz="6" w:space="0" w:color="auto"/>
              <w:left w:val="single" w:sz="6" w:space="0" w:color="auto"/>
              <w:bottom w:val="single" w:sz="6" w:space="0" w:color="auto"/>
              <w:right w:val="single" w:sz="6" w:space="0" w:color="auto"/>
            </w:tcBorders>
            <w:vAlign w:val="center"/>
            <w:hideMark/>
          </w:tcPr>
          <w:p w14:paraId="5BD87584" w14:textId="77777777" w:rsidR="005D18B2" w:rsidRPr="00F32CED" w:rsidRDefault="005D18B2" w:rsidP="008A6C13">
            <w:pPr>
              <w:spacing w:before="60" w:after="60" w:line="256" w:lineRule="auto"/>
              <w:rPr>
                <w:rFonts w:eastAsia="Times New Roman" w:cstheme="minorHAnsi"/>
                <w:b/>
                <w:bCs/>
                <w:sz w:val="20"/>
                <w:szCs w:val="20"/>
              </w:rPr>
            </w:pPr>
            <w:r w:rsidRPr="00F32CED">
              <w:rPr>
                <w:rFonts w:eastAsia="Times New Roman" w:cstheme="minorHAnsi"/>
                <w:b/>
                <w:bCs/>
                <w:sz w:val="20"/>
                <w:szCs w:val="20"/>
              </w:rPr>
              <w:t>Dexamethasone-pomalidomide</w:t>
            </w:r>
          </w:p>
        </w:tc>
        <w:tc>
          <w:tcPr>
            <w:tcW w:w="3255" w:type="dxa"/>
            <w:tcBorders>
              <w:top w:val="single" w:sz="6" w:space="0" w:color="auto"/>
              <w:left w:val="single" w:sz="6" w:space="0" w:color="auto"/>
              <w:bottom w:val="single" w:sz="6" w:space="0" w:color="auto"/>
              <w:right w:val="single" w:sz="6" w:space="0" w:color="auto"/>
            </w:tcBorders>
            <w:vAlign w:val="center"/>
            <w:hideMark/>
          </w:tcPr>
          <w:p w14:paraId="1A2131C8" w14:textId="77777777" w:rsidR="005D18B2" w:rsidRPr="00F32CED" w:rsidRDefault="005D18B2" w:rsidP="008A6C13">
            <w:pPr>
              <w:spacing w:before="60" w:after="60" w:line="256" w:lineRule="auto"/>
              <w:jc w:val="center"/>
              <w:rPr>
                <w:rFonts w:eastAsia="Times New Roman" w:cstheme="minorHAnsi"/>
                <w:sz w:val="20"/>
                <w:szCs w:val="20"/>
              </w:rPr>
            </w:pPr>
            <w:r w:rsidRPr="00F32CED">
              <w:rPr>
                <w:rFonts w:eastAsia="Times New Roman" w:cstheme="minorHAnsi"/>
                <w:sz w:val="20"/>
                <w:szCs w:val="20"/>
              </w:rPr>
              <w:t>5 (2.6)</w:t>
            </w:r>
          </w:p>
        </w:tc>
      </w:tr>
    </w:tbl>
    <w:p w14:paraId="64007764" w14:textId="77777777" w:rsidR="005D18B2" w:rsidRPr="00F32CED" w:rsidRDefault="005D18B2" w:rsidP="005D18B2">
      <w:pPr>
        <w:spacing w:line="276" w:lineRule="auto"/>
        <w:rPr>
          <w:rFonts w:cstheme="minorHAnsi"/>
          <w:sz w:val="18"/>
          <w:szCs w:val="18"/>
          <w:vertAlign w:val="superscript"/>
        </w:rPr>
      </w:pPr>
    </w:p>
    <w:p w14:paraId="00F12A1F" w14:textId="77777777" w:rsidR="005D18B2" w:rsidRPr="00F32CED" w:rsidRDefault="005D18B2" w:rsidP="005D18B2">
      <w:pPr>
        <w:spacing w:line="256" w:lineRule="auto"/>
        <w:rPr>
          <w:rFonts w:cstheme="minorHAnsi"/>
          <w:sz w:val="18"/>
          <w:szCs w:val="18"/>
          <w:vertAlign w:val="superscript"/>
        </w:rPr>
      </w:pPr>
      <w:r w:rsidRPr="00F32CED">
        <w:rPr>
          <w:rFonts w:cstheme="minorHAnsi"/>
          <w:sz w:val="18"/>
          <w:szCs w:val="18"/>
          <w:vertAlign w:val="superscript"/>
        </w:rPr>
        <w:br w:type="page"/>
      </w:r>
    </w:p>
    <w:p w14:paraId="3EE9A53A" w14:textId="77777777" w:rsidR="005D18B2" w:rsidRPr="00F32CED" w:rsidRDefault="005D18B2" w:rsidP="005D18B2">
      <w:pPr>
        <w:spacing w:line="276" w:lineRule="auto"/>
        <w:rPr>
          <w:rFonts w:cstheme="minorHAnsi"/>
          <w:b/>
          <w:bCs/>
        </w:rPr>
      </w:pPr>
      <w:r w:rsidRPr="00F32CED">
        <w:rPr>
          <w:rFonts w:cstheme="minorHAnsi"/>
          <w:b/>
          <w:bCs/>
        </w:rPr>
        <w:lastRenderedPageBreak/>
        <w:t xml:space="preserve">Supplementary Table 4. Duration of and time to response adjusted for stabilized trimmed inverse probability treatment </w:t>
      </w:r>
      <w:proofErr w:type="gramStart"/>
      <w:r w:rsidRPr="00F32CED">
        <w:rPr>
          <w:rFonts w:cstheme="minorHAnsi"/>
          <w:b/>
          <w:bCs/>
        </w:rPr>
        <w:t>weighting</w:t>
      </w:r>
      <w:proofErr w:type="gramEnd"/>
    </w:p>
    <w:tbl>
      <w:tblPr>
        <w:tblStyle w:val="C-Table2"/>
        <w:tblW w:w="5000" w:type="pct"/>
        <w:tblInd w:w="0" w:type="dxa"/>
        <w:tblLayout w:type="fixed"/>
        <w:tblLook w:val="04A0" w:firstRow="1" w:lastRow="0" w:firstColumn="1" w:lastColumn="0" w:noHBand="0" w:noVBand="1"/>
      </w:tblPr>
      <w:tblGrid>
        <w:gridCol w:w="4024"/>
        <w:gridCol w:w="2493"/>
        <w:gridCol w:w="2493"/>
      </w:tblGrid>
      <w:tr w:rsidR="005D18B2" w:rsidRPr="00F32CED" w14:paraId="7078BEED" w14:textId="77777777" w:rsidTr="008A6C13">
        <w:trPr>
          <w:trHeight w:val="894"/>
          <w:tblHeader/>
        </w:trPr>
        <w:tc>
          <w:tcPr>
            <w:tcW w:w="4063" w:type="dxa"/>
            <w:tcBorders>
              <w:top w:val="single" w:sz="6" w:space="0" w:color="auto"/>
              <w:left w:val="single" w:sz="6" w:space="0" w:color="auto"/>
              <w:bottom w:val="single" w:sz="6" w:space="0" w:color="auto"/>
              <w:right w:val="single" w:sz="6" w:space="0" w:color="auto"/>
            </w:tcBorders>
            <w:vAlign w:val="bottom"/>
            <w:hideMark/>
          </w:tcPr>
          <w:p w14:paraId="2474843B" w14:textId="77777777" w:rsidR="005D18B2" w:rsidRPr="00F32CED" w:rsidRDefault="005D18B2" w:rsidP="008A6C13">
            <w:pPr>
              <w:keepNext/>
              <w:spacing w:before="60" w:after="60"/>
              <w:rPr>
                <w:rFonts w:asciiTheme="minorHAnsi" w:hAnsiTheme="minorHAnsi" w:cstheme="minorHAnsi"/>
                <w:b/>
              </w:rPr>
            </w:pPr>
            <w:r w:rsidRPr="00F32CED">
              <w:rPr>
                <w:rFonts w:asciiTheme="minorHAnsi" w:hAnsiTheme="minorHAnsi" w:cstheme="minorHAnsi"/>
                <w:b/>
              </w:rPr>
              <w:t>Parameter</w:t>
            </w:r>
          </w:p>
        </w:tc>
        <w:tc>
          <w:tcPr>
            <w:tcW w:w="2516" w:type="dxa"/>
            <w:tcBorders>
              <w:top w:val="single" w:sz="6" w:space="0" w:color="auto"/>
              <w:left w:val="single" w:sz="6" w:space="0" w:color="auto"/>
              <w:bottom w:val="single" w:sz="6" w:space="0" w:color="auto"/>
              <w:right w:val="single" w:sz="6" w:space="0" w:color="auto"/>
            </w:tcBorders>
            <w:vAlign w:val="center"/>
            <w:hideMark/>
          </w:tcPr>
          <w:p w14:paraId="2501886D" w14:textId="77777777" w:rsidR="005D18B2" w:rsidRPr="00F32CED" w:rsidRDefault="005D18B2" w:rsidP="008A6C13">
            <w:pPr>
              <w:spacing w:before="60" w:after="60"/>
              <w:jc w:val="center"/>
              <w:rPr>
                <w:rFonts w:asciiTheme="minorHAnsi" w:hAnsiTheme="minorHAnsi" w:cstheme="minorHAnsi"/>
                <w:b/>
              </w:rPr>
            </w:pPr>
            <w:proofErr w:type="spellStart"/>
            <w:r w:rsidRPr="00F32CED">
              <w:rPr>
                <w:rFonts w:asciiTheme="minorHAnsi" w:hAnsiTheme="minorHAnsi" w:cstheme="minorHAnsi"/>
                <w:b/>
              </w:rPr>
              <w:t>KarMMa</w:t>
            </w:r>
            <w:proofErr w:type="spellEnd"/>
            <w:r w:rsidRPr="00F32CED">
              <w:rPr>
                <w:rFonts w:asciiTheme="minorHAnsi" w:hAnsiTheme="minorHAnsi" w:cstheme="minorHAnsi"/>
                <w:b/>
              </w:rPr>
              <w:t xml:space="preserve"> cohort*</w:t>
            </w:r>
            <w:r w:rsidRPr="00F32CED">
              <w:rPr>
                <w:rFonts w:asciiTheme="minorHAnsi" w:hAnsiTheme="minorHAnsi" w:cstheme="minorHAnsi"/>
                <w:b/>
              </w:rPr>
              <w:br/>
              <w:t>(N=128)</w:t>
            </w:r>
          </w:p>
        </w:tc>
        <w:tc>
          <w:tcPr>
            <w:tcW w:w="2516" w:type="dxa"/>
            <w:tcBorders>
              <w:top w:val="single" w:sz="6" w:space="0" w:color="auto"/>
              <w:left w:val="single" w:sz="6" w:space="0" w:color="auto"/>
              <w:bottom w:val="single" w:sz="6" w:space="0" w:color="auto"/>
              <w:right w:val="single" w:sz="6" w:space="0" w:color="auto"/>
            </w:tcBorders>
            <w:vAlign w:val="center"/>
            <w:hideMark/>
          </w:tcPr>
          <w:p w14:paraId="46DB91E4" w14:textId="77777777" w:rsidR="005D18B2" w:rsidRPr="00F32CED" w:rsidRDefault="005D18B2" w:rsidP="008A6C13">
            <w:pPr>
              <w:spacing w:before="60" w:after="60"/>
              <w:jc w:val="center"/>
              <w:rPr>
                <w:rFonts w:asciiTheme="minorHAnsi" w:hAnsiTheme="minorHAnsi" w:cstheme="minorHAnsi"/>
                <w:b/>
              </w:rPr>
            </w:pPr>
            <w:r w:rsidRPr="00F32CED">
              <w:rPr>
                <w:rFonts w:asciiTheme="minorHAnsi" w:hAnsiTheme="minorHAnsi" w:cstheme="minorHAnsi"/>
                <w:b/>
              </w:rPr>
              <w:t>Eligible RRMM cohort</w:t>
            </w:r>
            <w:r w:rsidRPr="00F32CED">
              <w:rPr>
                <w:rFonts w:asciiTheme="minorHAnsi" w:hAnsiTheme="minorHAnsi" w:cstheme="minorHAnsi"/>
                <w:b/>
              </w:rPr>
              <w:br/>
              <w:t>(N=190)</w:t>
            </w:r>
          </w:p>
        </w:tc>
      </w:tr>
      <w:tr w:rsidR="005D18B2" w:rsidRPr="00F32CED" w14:paraId="18B47A82" w14:textId="77777777" w:rsidTr="008A6C13">
        <w:tc>
          <w:tcPr>
            <w:tcW w:w="4063" w:type="dxa"/>
            <w:tcBorders>
              <w:top w:val="single" w:sz="6" w:space="0" w:color="auto"/>
              <w:left w:val="single" w:sz="6" w:space="0" w:color="auto"/>
              <w:bottom w:val="single" w:sz="6" w:space="0" w:color="auto"/>
              <w:right w:val="single" w:sz="6" w:space="0" w:color="auto"/>
            </w:tcBorders>
            <w:hideMark/>
          </w:tcPr>
          <w:p w14:paraId="634187E7" w14:textId="77777777" w:rsidR="005D18B2" w:rsidRPr="00F32CED" w:rsidRDefault="005D18B2" w:rsidP="008A6C13">
            <w:pPr>
              <w:keepNext/>
              <w:spacing w:before="60" w:after="60"/>
              <w:rPr>
                <w:rFonts w:asciiTheme="minorHAnsi" w:hAnsiTheme="minorHAnsi" w:cstheme="minorHAnsi"/>
                <w:b/>
                <w:bCs/>
              </w:rPr>
            </w:pPr>
            <w:r w:rsidRPr="00F32CED">
              <w:rPr>
                <w:rFonts w:asciiTheme="minorHAnsi" w:hAnsiTheme="minorHAnsi" w:cstheme="minorHAnsi"/>
                <w:b/>
                <w:bCs/>
              </w:rPr>
              <w:t>Duration of response, months</w:t>
            </w:r>
            <w:proofErr w:type="gramStart"/>
            <w:r w:rsidRPr="00F32CED">
              <w:rPr>
                <w:rFonts w:asciiTheme="minorHAnsi" w:hAnsiTheme="minorHAnsi" w:cstheme="minorHAnsi"/>
                <w:b/>
                <w:bCs/>
                <w:vertAlign w:val="superscript"/>
              </w:rPr>
              <w:t>†,‡</w:t>
            </w:r>
            <w:proofErr w:type="gramEnd"/>
          </w:p>
        </w:tc>
        <w:tc>
          <w:tcPr>
            <w:tcW w:w="2516" w:type="dxa"/>
            <w:tcBorders>
              <w:top w:val="single" w:sz="6" w:space="0" w:color="auto"/>
              <w:left w:val="single" w:sz="6" w:space="0" w:color="auto"/>
              <w:bottom w:val="single" w:sz="6" w:space="0" w:color="auto"/>
              <w:right w:val="single" w:sz="6" w:space="0" w:color="auto"/>
            </w:tcBorders>
          </w:tcPr>
          <w:p w14:paraId="640781DB" w14:textId="77777777" w:rsidR="005D18B2" w:rsidRPr="00F32CED" w:rsidRDefault="005D18B2" w:rsidP="008A6C13">
            <w:pPr>
              <w:keepNext/>
              <w:spacing w:before="60" w:after="60"/>
              <w:jc w:val="center"/>
              <w:rPr>
                <w:rFonts w:asciiTheme="minorHAnsi" w:hAnsiTheme="minorHAnsi" w:cstheme="minorHAnsi"/>
              </w:rPr>
            </w:pPr>
          </w:p>
        </w:tc>
        <w:tc>
          <w:tcPr>
            <w:tcW w:w="2516" w:type="dxa"/>
            <w:tcBorders>
              <w:top w:val="single" w:sz="6" w:space="0" w:color="auto"/>
              <w:left w:val="single" w:sz="6" w:space="0" w:color="auto"/>
              <w:bottom w:val="single" w:sz="6" w:space="0" w:color="auto"/>
              <w:right w:val="single" w:sz="6" w:space="0" w:color="auto"/>
            </w:tcBorders>
          </w:tcPr>
          <w:p w14:paraId="0F0D9FB4" w14:textId="77777777" w:rsidR="005D18B2" w:rsidRPr="00F32CED" w:rsidRDefault="005D18B2" w:rsidP="008A6C13">
            <w:pPr>
              <w:keepNext/>
              <w:spacing w:before="60" w:after="60"/>
              <w:jc w:val="center"/>
              <w:rPr>
                <w:rFonts w:asciiTheme="minorHAnsi" w:hAnsiTheme="minorHAnsi" w:cstheme="minorHAnsi"/>
              </w:rPr>
            </w:pPr>
          </w:p>
        </w:tc>
      </w:tr>
      <w:tr w:rsidR="005D18B2" w:rsidRPr="00F32CED" w14:paraId="4C9D6B56" w14:textId="77777777" w:rsidTr="008A6C13">
        <w:tc>
          <w:tcPr>
            <w:tcW w:w="4063" w:type="dxa"/>
            <w:tcBorders>
              <w:top w:val="single" w:sz="6" w:space="0" w:color="auto"/>
              <w:left w:val="single" w:sz="6" w:space="0" w:color="auto"/>
              <w:bottom w:val="single" w:sz="6" w:space="0" w:color="auto"/>
              <w:right w:val="single" w:sz="6" w:space="0" w:color="auto"/>
            </w:tcBorders>
            <w:hideMark/>
          </w:tcPr>
          <w:p w14:paraId="5ECC96F4" w14:textId="77777777" w:rsidR="005D18B2" w:rsidRPr="00F32CED" w:rsidRDefault="005D18B2" w:rsidP="008A6C13">
            <w:pPr>
              <w:keepNext/>
              <w:spacing w:before="60" w:after="60"/>
              <w:ind w:firstLine="339"/>
              <w:rPr>
                <w:rFonts w:asciiTheme="minorHAnsi" w:hAnsiTheme="minorHAnsi" w:cstheme="minorHAnsi"/>
                <w:b/>
                <w:bCs/>
              </w:rPr>
            </w:pPr>
            <w:r w:rsidRPr="00F32CED">
              <w:rPr>
                <w:rFonts w:asciiTheme="minorHAnsi" w:hAnsiTheme="minorHAnsi" w:cstheme="minorHAnsi"/>
                <w:b/>
                <w:bCs/>
              </w:rPr>
              <w:t xml:space="preserve">Median (95% </w:t>
            </w:r>
            <w:proofErr w:type="gramStart"/>
            <w:r w:rsidRPr="00F32CED">
              <w:rPr>
                <w:rFonts w:asciiTheme="minorHAnsi" w:hAnsiTheme="minorHAnsi" w:cstheme="minorHAnsi"/>
                <w:b/>
                <w:bCs/>
              </w:rPr>
              <w:t>CI)</w:t>
            </w:r>
            <w:r w:rsidRPr="00F32CED">
              <w:rPr>
                <w:rFonts w:asciiTheme="minorHAnsi" w:hAnsiTheme="minorHAnsi" w:cstheme="minorHAnsi"/>
                <w:b/>
                <w:bCs/>
                <w:vertAlign w:val="superscript"/>
              </w:rPr>
              <w:t>§</w:t>
            </w:r>
            <w:proofErr w:type="gramEnd"/>
          </w:p>
        </w:tc>
        <w:tc>
          <w:tcPr>
            <w:tcW w:w="2516" w:type="dxa"/>
            <w:tcBorders>
              <w:top w:val="single" w:sz="6" w:space="0" w:color="auto"/>
              <w:left w:val="single" w:sz="6" w:space="0" w:color="auto"/>
              <w:bottom w:val="single" w:sz="6" w:space="0" w:color="auto"/>
              <w:right w:val="single" w:sz="6" w:space="0" w:color="auto"/>
            </w:tcBorders>
            <w:hideMark/>
          </w:tcPr>
          <w:p w14:paraId="69C804A7" w14:textId="77777777" w:rsidR="005D18B2" w:rsidRPr="00F32CED" w:rsidRDefault="005D18B2" w:rsidP="008A6C13">
            <w:pPr>
              <w:spacing w:before="60" w:after="60"/>
              <w:jc w:val="center"/>
              <w:rPr>
                <w:rFonts w:asciiTheme="minorHAnsi" w:hAnsiTheme="minorHAnsi" w:cstheme="minorHAnsi"/>
                <w:color w:val="000000"/>
              </w:rPr>
            </w:pPr>
            <w:r w:rsidRPr="00F32CED">
              <w:rPr>
                <w:rFonts w:asciiTheme="minorHAnsi" w:hAnsiTheme="minorHAnsi" w:cstheme="minorHAnsi"/>
                <w:color w:val="000000"/>
              </w:rPr>
              <w:t>11.1 (10.8-11.5)</w:t>
            </w:r>
          </w:p>
        </w:tc>
        <w:tc>
          <w:tcPr>
            <w:tcW w:w="2516" w:type="dxa"/>
            <w:tcBorders>
              <w:top w:val="single" w:sz="6" w:space="0" w:color="auto"/>
              <w:left w:val="single" w:sz="6" w:space="0" w:color="auto"/>
              <w:bottom w:val="single" w:sz="6" w:space="0" w:color="auto"/>
              <w:right w:val="single" w:sz="6" w:space="0" w:color="auto"/>
            </w:tcBorders>
            <w:hideMark/>
          </w:tcPr>
          <w:p w14:paraId="396757BB" w14:textId="77777777" w:rsidR="005D18B2" w:rsidRPr="00F32CED" w:rsidRDefault="005D18B2" w:rsidP="008A6C13">
            <w:pPr>
              <w:spacing w:before="60" w:after="60"/>
              <w:jc w:val="center"/>
              <w:rPr>
                <w:rFonts w:asciiTheme="minorHAnsi" w:hAnsiTheme="minorHAnsi" w:cstheme="minorHAnsi"/>
              </w:rPr>
            </w:pPr>
            <w:r w:rsidRPr="00F32CED">
              <w:rPr>
                <w:rFonts w:asciiTheme="minorHAnsi" w:hAnsiTheme="minorHAnsi" w:cstheme="minorHAnsi"/>
                <w:bCs/>
                <w:color w:val="000000"/>
              </w:rPr>
              <w:t>9.0 (7.5-10.5)</w:t>
            </w:r>
          </w:p>
        </w:tc>
      </w:tr>
      <w:tr w:rsidR="005D18B2" w:rsidRPr="00F32CED" w14:paraId="2EF4C7B3" w14:textId="77777777" w:rsidTr="008A6C13">
        <w:tc>
          <w:tcPr>
            <w:tcW w:w="4063" w:type="dxa"/>
            <w:tcBorders>
              <w:top w:val="single" w:sz="6" w:space="0" w:color="auto"/>
              <w:left w:val="single" w:sz="6" w:space="0" w:color="auto"/>
              <w:bottom w:val="single" w:sz="6" w:space="0" w:color="auto"/>
              <w:right w:val="single" w:sz="6" w:space="0" w:color="auto"/>
            </w:tcBorders>
            <w:hideMark/>
          </w:tcPr>
          <w:p w14:paraId="4E2BAA3E" w14:textId="77777777" w:rsidR="005D18B2" w:rsidRPr="00F32CED" w:rsidRDefault="005D18B2" w:rsidP="008A6C13">
            <w:pPr>
              <w:keepNext/>
              <w:spacing w:before="60" w:after="60"/>
              <w:ind w:firstLine="339"/>
              <w:rPr>
                <w:rFonts w:asciiTheme="minorHAnsi" w:hAnsiTheme="minorHAnsi" w:cstheme="minorHAnsi"/>
                <w:b/>
                <w:bCs/>
              </w:rPr>
            </w:pPr>
            <w:r w:rsidRPr="00F32CED">
              <w:rPr>
                <w:rFonts w:asciiTheme="minorHAnsi" w:hAnsiTheme="minorHAnsi" w:cstheme="minorHAnsi"/>
                <w:b/>
                <w:bCs/>
              </w:rPr>
              <w:t xml:space="preserve">HR (95% </w:t>
            </w:r>
            <w:proofErr w:type="gramStart"/>
            <w:r w:rsidRPr="00F32CED">
              <w:rPr>
                <w:rFonts w:asciiTheme="minorHAnsi" w:hAnsiTheme="minorHAnsi" w:cstheme="minorHAnsi"/>
                <w:b/>
                <w:bCs/>
              </w:rPr>
              <w:t>CI)</w:t>
            </w:r>
            <w:r w:rsidRPr="00F32CED">
              <w:rPr>
                <w:rFonts w:asciiTheme="minorHAnsi" w:hAnsiTheme="minorHAnsi" w:cstheme="minorHAnsi"/>
                <w:b/>
                <w:bCs/>
                <w:vertAlign w:val="superscript"/>
              </w:rPr>
              <w:t>ǁ</w:t>
            </w:r>
            <w:proofErr w:type="gramEnd"/>
          </w:p>
        </w:tc>
        <w:tc>
          <w:tcPr>
            <w:tcW w:w="5032" w:type="dxa"/>
            <w:gridSpan w:val="2"/>
            <w:tcBorders>
              <w:top w:val="single" w:sz="6" w:space="0" w:color="auto"/>
              <w:left w:val="single" w:sz="6" w:space="0" w:color="auto"/>
              <w:bottom w:val="single" w:sz="6" w:space="0" w:color="auto"/>
              <w:right w:val="single" w:sz="6" w:space="0" w:color="auto"/>
            </w:tcBorders>
            <w:hideMark/>
          </w:tcPr>
          <w:p w14:paraId="7C2EEADB" w14:textId="77777777" w:rsidR="005D18B2" w:rsidRPr="00F32CED" w:rsidRDefault="005D18B2" w:rsidP="008A6C13">
            <w:pPr>
              <w:keepNext/>
              <w:spacing w:before="60" w:after="60"/>
              <w:jc w:val="center"/>
              <w:rPr>
                <w:rFonts w:asciiTheme="minorHAnsi" w:hAnsiTheme="minorHAnsi" w:cstheme="minorHAnsi"/>
                <w:color w:val="000000"/>
              </w:rPr>
            </w:pPr>
            <w:r w:rsidRPr="00F32CED">
              <w:rPr>
                <w:rFonts w:asciiTheme="minorHAnsi" w:hAnsiTheme="minorHAnsi" w:cstheme="minorHAnsi"/>
                <w:color w:val="000000"/>
              </w:rPr>
              <w:t>0.62 (0.33-1.16)</w:t>
            </w:r>
          </w:p>
        </w:tc>
      </w:tr>
      <w:tr w:rsidR="005D18B2" w:rsidRPr="00F32CED" w14:paraId="7DAD19B1" w14:textId="77777777" w:rsidTr="008A6C13">
        <w:tc>
          <w:tcPr>
            <w:tcW w:w="4063" w:type="dxa"/>
            <w:tcBorders>
              <w:top w:val="single" w:sz="6" w:space="0" w:color="auto"/>
              <w:left w:val="single" w:sz="6" w:space="0" w:color="auto"/>
              <w:bottom w:val="single" w:sz="6" w:space="0" w:color="auto"/>
              <w:right w:val="single" w:sz="6" w:space="0" w:color="auto"/>
            </w:tcBorders>
            <w:hideMark/>
          </w:tcPr>
          <w:p w14:paraId="7F9DE67B" w14:textId="77777777" w:rsidR="005D18B2" w:rsidRPr="00F32CED" w:rsidRDefault="005D18B2" w:rsidP="008A6C13">
            <w:pPr>
              <w:keepNext/>
              <w:spacing w:before="60" w:after="60"/>
              <w:ind w:firstLine="339"/>
              <w:rPr>
                <w:rFonts w:asciiTheme="minorHAnsi" w:hAnsiTheme="minorHAnsi" w:cstheme="minorHAnsi"/>
                <w:b/>
                <w:bCs/>
              </w:rPr>
            </w:pPr>
            <w:proofErr w:type="spellStart"/>
            <w:r w:rsidRPr="00F32CED">
              <w:rPr>
                <w:rFonts w:asciiTheme="minorHAnsi" w:hAnsiTheme="minorHAnsi" w:cstheme="minorHAnsi"/>
                <w:b/>
                <w:bCs/>
                <w:i/>
                <w:iCs/>
              </w:rPr>
              <w:t>P</w:t>
            </w:r>
            <w:r w:rsidRPr="00F32CED">
              <w:rPr>
                <w:rFonts w:asciiTheme="minorHAnsi" w:hAnsiTheme="minorHAnsi" w:cstheme="minorHAnsi"/>
                <w:b/>
                <w:bCs/>
                <w:vertAlign w:val="superscript"/>
              </w:rPr>
              <w:t>ǁ</w:t>
            </w:r>
            <w:proofErr w:type="spellEnd"/>
          </w:p>
        </w:tc>
        <w:tc>
          <w:tcPr>
            <w:tcW w:w="5032" w:type="dxa"/>
            <w:gridSpan w:val="2"/>
            <w:tcBorders>
              <w:top w:val="single" w:sz="6" w:space="0" w:color="auto"/>
              <w:left w:val="single" w:sz="6" w:space="0" w:color="auto"/>
              <w:bottom w:val="single" w:sz="6" w:space="0" w:color="auto"/>
              <w:right w:val="single" w:sz="6" w:space="0" w:color="auto"/>
            </w:tcBorders>
            <w:hideMark/>
          </w:tcPr>
          <w:p w14:paraId="679FEF52" w14:textId="77777777" w:rsidR="005D18B2" w:rsidRPr="00F32CED" w:rsidRDefault="005D18B2" w:rsidP="008A6C13">
            <w:pPr>
              <w:keepNext/>
              <w:spacing w:before="60" w:after="60"/>
              <w:jc w:val="center"/>
              <w:rPr>
                <w:rFonts w:asciiTheme="minorHAnsi" w:hAnsiTheme="minorHAnsi" w:cstheme="minorHAnsi"/>
                <w:color w:val="000000"/>
              </w:rPr>
            </w:pPr>
            <w:r w:rsidRPr="00F32CED">
              <w:rPr>
                <w:rFonts w:asciiTheme="minorHAnsi" w:hAnsiTheme="minorHAnsi" w:cstheme="minorHAnsi"/>
                <w:color w:val="000000"/>
              </w:rPr>
              <w:t>0.1372</w:t>
            </w:r>
          </w:p>
        </w:tc>
      </w:tr>
      <w:tr w:rsidR="005D18B2" w:rsidRPr="00F32CED" w14:paraId="08FDDB8F" w14:textId="77777777" w:rsidTr="008A6C13">
        <w:trPr>
          <w:tblHeader/>
        </w:trPr>
        <w:tc>
          <w:tcPr>
            <w:tcW w:w="4063" w:type="dxa"/>
            <w:tcBorders>
              <w:top w:val="single" w:sz="6" w:space="0" w:color="auto"/>
              <w:left w:val="single" w:sz="6" w:space="0" w:color="auto"/>
              <w:bottom w:val="single" w:sz="6" w:space="0" w:color="auto"/>
              <w:right w:val="single" w:sz="6" w:space="0" w:color="auto"/>
            </w:tcBorders>
            <w:vAlign w:val="bottom"/>
            <w:hideMark/>
          </w:tcPr>
          <w:p w14:paraId="74BF93A2" w14:textId="77777777" w:rsidR="005D18B2" w:rsidRPr="00F32CED" w:rsidRDefault="005D18B2" w:rsidP="008A6C13">
            <w:pPr>
              <w:keepNext/>
              <w:spacing w:before="60" w:after="60"/>
              <w:rPr>
                <w:rFonts w:asciiTheme="minorHAnsi" w:hAnsiTheme="minorHAnsi" w:cstheme="minorHAnsi"/>
                <w:b/>
                <w:bCs/>
              </w:rPr>
            </w:pPr>
            <w:r w:rsidRPr="00F32CED">
              <w:rPr>
                <w:rFonts w:asciiTheme="minorHAnsi" w:hAnsiTheme="minorHAnsi" w:cstheme="minorHAnsi"/>
                <w:b/>
                <w:bCs/>
              </w:rPr>
              <w:t>Responders, n (%)</w:t>
            </w:r>
          </w:p>
        </w:tc>
        <w:tc>
          <w:tcPr>
            <w:tcW w:w="2516" w:type="dxa"/>
            <w:tcBorders>
              <w:top w:val="single" w:sz="6" w:space="0" w:color="auto"/>
              <w:left w:val="single" w:sz="6" w:space="0" w:color="auto"/>
              <w:bottom w:val="single" w:sz="6" w:space="0" w:color="auto"/>
              <w:right w:val="single" w:sz="6" w:space="0" w:color="auto"/>
            </w:tcBorders>
            <w:hideMark/>
          </w:tcPr>
          <w:p w14:paraId="748FA343" w14:textId="77777777" w:rsidR="005D18B2" w:rsidRPr="00F32CED" w:rsidRDefault="005D18B2" w:rsidP="008A6C13">
            <w:pPr>
              <w:spacing w:before="60" w:after="60"/>
              <w:jc w:val="center"/>
              <w:rPr>
                <w:rFonts w:asciiTheme="minorHAnsi" w:hAnsiTheme="minorHAnsi" w:cstheme="minorHAnsi"/>
              </w:rPr>
            </w:pPr>
            <w:r w:rsidRPr="00F32CED">
              <w:rPr>
                <w:rFonts w:asciiTheme="minorHAnsi" w:hAnsiTheme="minorHAnsi" w:cstheme="minorHAnsi"/>
              </w:rPr>
              <w:t>94 (73.4)</w:t>
            </w:r>
          </w:p>
        </w:tc>
        <w:tc>
          <w:tcPr>
            <w:tcW w:w="2516" w:type="dxa"/>
            <w:tcBorders>
              <w:top w:val="single" w:sz="6" w:space="0" w:color="auto"/>
              <w:left w:val="single" w:sz="6" w:space="0" w:color="auto"/>
              <w:bottom w:val="single" w:sz="6" w:space="0" w:color="auto"/>
              <w:right w:val="single" w:sz="6" w:space="0" w:color="auto"/>
            </w:tcBorders>
            <w:hideMark/>
          </w:tcPr>
          <w:p w14:paraId="45773375" w14:textId="77777777" w:rsidR="005D18B2" w:rsidRPr="00F32CED" w:rsidRDefault="005D18B2" w:rsidP="008A6C13">
            <w:pPr>
              <w:spacing w:before="60" w:after="60"/>
              <w:jc w:val="center"/>
              <w:rPr>
                <w:rFonts w:asciiTheme="minorHAnsi" w:hAnsiTheme="minorHAnsi" w:cstheme="minorHAnsi"/>
              </w:rPr>
            </w:pPr>
            <w:r w:rsidRPr="00F32CED">
              <w:rPr>
                <w:rFonts w:asciiTheme="minorHAnsi" w:hAnsiTheme="minorHAnsi" w:cstheme="minorHAnsi"/>
                <w:bCs/>
              </w:rPr>
              <w:t>58 (30.5)</w:t>
            </w:r>
          </w:p>
        </w:tc>
      </w:tr>
      <w:tr w:rsidR="005D18B2" w:rsidRPr="00F32CED" w14:paraId="73E76BA5" w14:textId="77777777" w:rsidTr="008A6C13">
        <w:trPr>
          <w:tblHeader/>
        </w:trPr>
        <w:tc>
          <w:tcPr>
            <w:tcW w:w="4063" w:type="dxa"/>
            <w:tcBorders>
              <w:top w:val="single" w:sz="6" w:space="0" w:color="auto"/>
              <w:left w:val="single" w:sz="6" w:space="0" w:color="auto"/>
              <w:bottom w:val="single" w:sz="6" w:space="0" w:color="auto"/>
              <w:right w:val="single" w:sz="6" w:space="0" w:color="auto"/>
            </w:tcBorders>
            <w:vAlign w:val="bottom"/>
            <w:hideMark/>
          </w:tcPr>
          <w:p w14:paraId="0DDCBE71" w14:textId="77777777" w:rsidR="005D18B2" w:rsidRPr="00F32CED" w:rsidRDefault="005D18B2" w:rsidP="008A6C13">
            <w:pPr>
              <w:keepNext/>
              <w:spacing w:before="60" w:after="60"/>
              <w:rPr>
                <w:rFonts w:asciiTheme="minorHAnsi" w:hAnsiTheme="minorHAnsi" w:cstheme="minorHAnsi"/>
                <w:b/>
                <w:bCs/>
              </w:rPr>
            </w:pPr>
            <w:r w:rsidRPr="00F32CED">
              <w:rPr>
                <w:rFonts w:asciiTheme="minorHAnsi" w:hAnsiTheme="minorHAnsi" w:cstheme="minorHAnsi"/>
                <w:b/>
                <w:bCs/>
              </w:rPr>
              <w:t>Time to response, months</w:t>
            </w:r>
            <w:proofErr w:type="gramStart"/>
            <w:r w:rsidRPr="00F32CED">
              <w:rPr>
                <w:rFonts w:asciiTheme="minorHAnsi" w:hAnsiTheme="minorHAnsi" w:cstheme="minorHAnsi"/>
                <w:b/>
                <w:vertAlign w:val="superscript"/>
              </w:rPr>
              <w:t>†,‡</w:t>
            </w:r>
            <w:proofErr w:type="gramEnd"/>
          </w:p>
        </w:tc>
        <w:tc>
          <w:tcPr>
            <w:tcW w:w="2516" w:type="dxa"/>
            <w:tcBorders>
              <w:top w:val="single" w:sz="6" w:space="0" w:color="auto"/>
              <w:left w:val="single" w:sz="6" w:space="0" w:color="auto"/>
              <w:bottom w:val="single" w:sz="6" w:space="0" w:color="auto"/>
              <w:right w:val="single" w:sz="6" w:space="0" w:color="auto"/>
            </w:tcBorders>
          </w:tcPr>
          <w:p w14:paraId="68829F15" w14:textId="77777777" w:rsidR="005D18B2" w:rsidRPr="00F32CED" w:rsidRDefault="005D18B2" w:rsidP="008A6C13">
            <w:pPr>
              <w:keepNext/>
              <w:spacing w:before="60" w:after="60"/>
              <w:jc w:val="center"/>
              <w:rPr>
                <w:rFonts w:asciiTheme="minorHAnsi" w:hAnsiTheme="minorHAnsi" w:cstheme="minorHAnsi"/>
              </w:rPr>
            </w:pPr>
          </w:p>
        </w:tc>
        <w:tc>
          <w:tcPr>
            <w:tcW w:w="2516" w:type="dxa"/>
            <w:tcBorders>
              <w:top w:val="single" w:sz="6" w:space="0" w:color="auto"/>
              <w:left w:val="single" w:sz="6" w:space="0" w:color="auto"/>
              <w:bottom w:val="single" w:sz="6" w:space="0" w:color="auto"/>
              <w:right w:val="single" w:sz="6" w:space="0" w:color="auto"/>
            </w:tcBorders>
            <w:vAlign w:val="bottom"/>
          </w:tcPr>
          <w:p w14:paraId="761DE502" w14:textId="77777777" w:rsidR="005D18B2" w:rsidRPr="00F32CED" w:rsidRDefault="005D18B2" w:rsidP="008A6C13">
            <w:pPr>
              <w:keepNext/>
              <w:spacing w:before="60" w:after="60"/>
              <w:jc w:val="center"/>
              <w:rPr>
                <w:rFonts w:asciiTheme="minorHAnsi" w:hAnsiTheme="minorHAnsi" w:cstheme="minorHAnsi"/>
              </w:rPr>
            </w:pPr>
          </w:p>
        </w:tc>
      </w:tr>
      <w:tr w:rsidR="005D18B2" w:rsidRPr="00F32CED" w14:paraId="09025411" w14:textId="77777777" w:rsidTr="008A6C13">
        <w:trPr>
          <w:tblHeader/>
        </w:trPr>
        <w:tc>
          <w:tcPr>
            <w:tcW w:w="4063" w:type="dxa"/>
            <w:tcBorders>
              <w:top w:val="single" w:sz="6" w:space="0" w:color="auto"/>
              <w:left w:val="single" w:sz="6" w:space="0" w:color="auto"/>
              <w:bottom w:val="single" w:sz="6" w:space="0" w:color="auto"/>
              <w:right w:val="single" w:sz="6" w:space="0" w:color="auto"/>
            </w:tcBorders>
            <w:hideMark/>
          </w:tcPr>
          <w:p w14:paraId="101984C4" w14:textId="77777777" w:rsidR="005D18B2" w:rsidRPr="00F32CED" w:rsidRDefault="005D18B2" w:rsidP="008A6C13">
            <w:pPr>
              <w:keepNext/>
              <w:spacing w:before="60" w:after="60"/>
              <w:ind w:firstLine="339"/>
              <w:rPr>
                <w:rFonts w:asciiTheme="minorHAnsi" w:hAnsiTheme="minorHAnsi" w:cstheme="minorHAnsi"/>
                <w:b/>
                <w:bCs/>
              </w:rPr>
            </w:pPr>
            <w:r w:rsidRPr="00F32CED">
              <w:rPr>
                <w:rFonts w:asciiTheme="minorHAnsi" w:hAnsiTheme="minorHAnsi" w:cstheme="minorHAnsi"/>
                <w:b/>
                <w:bCs/>
              </w:rPr>
              <w:t>Median (range)</w:t>
            </w:r>
          </w:p>
        </w:tc>
        <w:tc>
          <w:tcPr>
            <w:tcW w:w="2516" w:type="dxa"/>
            <w:tcBorders>
              <w:top w:val="single" w:sz="6" w:space="0" w:color="auto"/>
              <w:left w:val="single" w:sz="6" w:space="0" w:color="auto"/>
              <w:bottom w:val="single" w:sz="6" w:space="0" w:color="auto"/>
              <w:right w:val="single" w:sz="6" w:space="0" w:color="auto"/>
            </w:tcBorders>
            <w:hideMark/>
          </w:tcPr>
          <w:p w14:paraId="3E07155E" w14:textId="77777777" w:rsidR="005D18B2" w:rsidRPr="00F32CED" w:rsidRDefault="005D18B2" w:rsidP="008A6C13">
            <w:pPr>
              <w:spacing w:before="60" w:after="60"/>
              <w:jc w:val="center"/>
              <w:rPr>
                <w:rFonts w:asciiTheme="minorHAnsi" w:hAnsiTheme="minorHAnsi" w:cstheme="minorHAnsi"/>
                <w:color w:val="000000"/>
              </w:rPr>
            </w:pPr>
            <w:r w:rsidRPr="00F32CED">
              <w:rPr>
                <w:rFonts w:asciiTheme="minorHAnsi" w:hAnsiTheme="minorHAnsi" w:cstheme="minorHAnsi"/>
                <w:color w:val="000000"/>
              </w:rPr>
              <w:t>1.0 (0.5-8.8)</w:t>
            </w:r>
          </w:p>
        </w:tc>
        <w:tc>
          <w:tcPr>
            <w:tcW w:w="2516" w:type="dxa"/>
            <w:tcBorders>
              <w:top w:val="single" w:sz="6" w:space="0" w:color="auto"/>
              <w:left w:val="single" w:sz="6" w:space="0" w:color="auto"/>
              <w:bottom w:val="single" w:sz="6" w:space="0" w:color="auto"/>
              <w:right w:val="single" w:sz="6" w:space="0" w:color="auto"/>
            </w:tcBorders>
            <w:hideMark/>
          </w:tcPr>
          <w:p w14:paraId="30CB7989" w14:textId="77777777" w:rsidR="005D18B2" w:rsidRPr="00F32CED" w:rsidRDefault="005D18B2" w:rsidP="008A6C13">
            <w:pPr>
              <w:spacing w:before="60" w:after="60"/>
              <w:jc w:val="center"/>
              <w:rPr>
                <w:rFonts w:asciiTheme="minorHAnsi" w:hAnsiTheme="minorHAnsi" w:cstheme="minorHAnsi"/>
              </w:rPr>
            </w:pPr>
            <w:r w:rsidRPr="00F32CED">
              <w:rPr>
                <w:rFonts w:asciiTheme="minorHAnsi" w:hAnsiTheme="minorHAnsi" w:cstheme="minorHAnsi"/>
                <w:bCs/>
                <w:color w:val="000000"/>
              </w:rPr>
              <w:t>1.1 (0.2-8.6)</w:t>
            </w:r>
          </w:p>
        </w:tc>
      </w:tr>
    </w:tbl>
    <w:p w14:paraId="395FB4BE" w14:textId="77777777" w:rsidR="005D18B2" w:rsidRPr="00F32CED" w:rsidRDefault="005D18B2" w:rsidP="005D18B2">
      <w:pPr>
        <w:tabs>
          <w:tab w:val="left" w:pos="270"/>
        </w:tabs>
        <w:spacing w:after="0" w:line="240" w:lineRule="auto"/>
        <w:rPr>
          <w:rFonts w:eastAsia="Times New Roman" w:cstheme="minorHAnsi"/>
          <w:sz w:val="18"/>
          <w:szCs w:val="18"/>
          <w:lang w:val="en-GB"/>
        </w:rPr>
      </w:pPr>
      <w:r w:rsidRPr="00F32CED">
        <w:rPr>
          <w:rFonts w:eastAsia="Times New Roman" w:cstheme="minorHAnsi"/>
          <w:sz w:val="18"/>
          <w:szCs w:val="18"/>
          <w:lang w:val="en-GB"/>
        </w:rPr>
        <w:t>CI, confidence interval; HR, hazard ratio.</w:t>
      </w:r>
    </w:p>
    <w:p w14:paraId="27A5A914" w14:textId="77777777" w:rsidR="005D18B2" w:rsidRPr="00F32CED" w:rsidRDefault="005D18B2" w:rsidP="005D18B2">
      <w:pPr>
        <w:spacing w:after="0" w:line="240" w:lineRule="auto"/>
        <w:rPr>
          <w:rFonts w:eastAsia="Times New Roman" w:cstheme="minorHAnsi"/>
          <w:sz w:val="18"/>
          <w:szCs w:val="18"/>
          <w:lang w:eastAsia="ko-KR"/>
        </w:rPr>
      </w:pPr>
      <w:r w:rsidRPr="00F32CED">
        <w:rPr>
          <w:rFonts w:eastAsia="Times New Roman" w:cstheme="minorHAnsi"/>
          <w:sz w:val="18"/>
          <w:szCs w:val="18"/>
          <w:lang w:eastAsia="ko-KR"/>
        </w:rPr>
        <w:t>*</w:t>
      </w:r>
      <w:r w:rsidRPr="00F32CED">
        <w:rPr>
          <w:rFonts w:eastAsia="Malgun Gothic" w:cstheme="minorHAnsi"/>
          <w:kern w:val="24"/>
          <w:sz w:val="18"/>
          <w:szCs w:val="18"/>
          <w:lang w:eastAsia="ko-KR"/>
        </w:rPr>
        <w:t xml:space="preserve">Across all target doses. </w:t>
      </w:r>
    </w:p>
    <w:p w14:paraId="195425C1" w14:textId="77777777" w:rsidR="005D18B2" w:rsidRPr="00F32CED" w:rsidRDefault="005D18B2" w:rsidP="005D18B2">
      <w:pPr>
        <w:tabs>
          <w:tab w:val="left" w:pos="270"/>
        </w:tabs>
        <w:spacing w:after="0" w:line="240" w:lineRule="auto"/>
        <w:rPr>
          <w:rFonts w:eastAsia="Times New Roman" w:cstheme="minorHAnsi"/>
          <w:sz w:val="18"/>
          <w:szCs w:val="18"/>
          <w:lang w:val="en-GB"/>
        </w:rPr>
      </w:pPr>
      <w:r w:rsidRPr="00F32CED">
        <w:rPr>
          <w:rFonts w:eastAsia="Times New Roman" w:cstheme="minorHAnsi"/>
          <w:sz w:val="18"/>
          <w:szCs w:val="18"/>
          <w:vertAlign w:val="superscript"/>
          <w:lang w:val="en-GB"/>
        </w:rPr>
        <w:t>†</w:t>
      </w:r>
      <w:r w:rsidRPr="00F32CED">
        <w:rPr>
          <w:rFonts w:eastAsia="Times New Roman" w:cstheme="minorHAnsi"/>
          <w:sz w:val="18"/>
          <w:szCs w:val="18"/>
          <w:lang w:val="en-GB"/>
        </w:rPr>
        <w:t>Time to response and duration of response analyses are based on responders only. For summary of time to response categories, a 3-day window is added to each month for Month 1 to Month 8; and a 14-day window is added to Month 9 and onwards.</w:t>
      </w:r>
    </w:p>
    <w:p w14:paraId="4C392D83" w14:textId="77777777" w:rsidR="005D18B2" w:rsidRPr="00F32CED" w:rsidRDefault="005D18B2" w:rsidP="005D18B2">
      <w:pPr>
        <w:tabs>
          <w:tab w:val="left" w:pos="270"/>
        </w:tabs>
        <w:spacing w:after="0" w:line="240" w:lineRule="auto"/>
        <w:rPr>
          <w:rFonts w:eastAsia="Times New Roman" w:cstheme="minorHAnsi"/>
          <w:sz w:val="18"/>
          <w:szCs w:val="18"/>
          <w:lang w:val="en-GB"/>
        </w:rPr>
      </w:pPr>
      <w:r w:rsidRPr="00F32CED">
        <w:rPr>
          <w:rFonts w:eastAsia="Times New Roman" w:cstheme="minorHAnsi"/>
          <w:sz w:val="18"/>
          <w:szCs w:val="18"/>
          <w:vertAlign w:val="superscript"/>
          <w:lang w:val="en-GB"/>
        </w:rPr>
        <w:t>‡</w:t>
      </w:r>
      <w:r w:rsidRPr="00F32CED">
        <w:rPr>
          <w:rFonts w:eastAsia="Times New Roman" w:cstheme="minorHAnsi"/>
          <w:sz w:val="18"/>
          <w:szCs w:val="18"/>
          <w:lang w:val="en-GB"/>
        </w:rPr>
        <w:t>Only subjects with a response of stringent complete response, complete response, very good partial response (VGPR), or partial response were included in the analysis.</w:t>
      </w:r>
    </w:p>
    <w:p w14:paraId="4893D09B" w14:textId="77777777" w:rsidR="005D18B2" w:rsidRPr="00F32CED" w:rsidRDefault="005D18B2" w:rsidP="005D18B2">
      <w:pPr>
        <w:tabs>
          <w:tab w:val="left" w:pos="270"/>
        </w:tabs>
        <w:spacing w:after="0" w:line="240" w:lineRule="auto"/>
        <w:rPr>
          <w:rFonts w:eastAsia="Times New Roman" w:cstheme="minorHAnsi"/>
          <w:sz w:val="18"/>
          <w:szCs w:val="18"/>
          <w:lang w:val="en-GB"/>
        </w:rPr>
      </w:pPr>
      <w:r w:rsidRPr="00F32CED">
        <w:rPr>
          <w:rFonts w:eastAsia="Times New Roman" w:cstheme="minorHAnsi"/>
          <w:sz w:val="18"/>
          <w:szCs w:val="18"/>
          <w:vertAlign w:val="superscript"/>
          <w:lang w:val="en-GB"/>
        </w:rPr>
        <w:t>§</w:t>
      </w:r>
      <w:r w:rsidRPr="00F32CED">
        <w:rPr>
          <w:rFonts w:eastAsia="Times New Roman" w:cstheme="minorHAnsi"/>
          <w:sz w:val="18"/>
          <w:szCs w:val="18"/>
          <w:lang w:val="en-GB"/>
        </w:rPr>
        <w:t>The median was based on the adjusted product-limit estimate with inverse probability treatment weighting trimmed at the maximum of the minimum weight and the minimum of the maximum weight for the ide-</w:t>
      </w:r>
      <w:proofErr w:type="spellStart"/>
      <w:r w:rsidRPr="00F32CED">
        <w:rPr>
          <w:rFonts w:eastAsia="Times New Roman" w:cstheme="minorHAnsi"/>
          <w:sz w:val="18"/>
          <w:szCs w:val="18"/>
          <w:lang w:val="en-GB"/>
        </w:rPr>
        <w:t>cel</w:t>
      </w:r>
      <w:proofErr w:type="spellEnd"/>
      <w:r w:rsidRPr="00F32CED">
        <w:rPr>
          <w:rFonts w:eastAsia="Times New Roman" w:cstheme="minorHAnsi"/>
          <w:sz w:val="18"/>
          <w:szCs w:val="18"/>
          <w:lang w:val="en-GB"/>
        </w:rPr>
        <w:t xml:space="preserve"> cohort and the Eligible RRMM cohort.</w:t>
      </w:r>
    </w:p>
    <w:p w14:paraId="69B6B83A" w14:textId="77777777" w:rsidR="005D18B2" w:rsidRPr="00F32CED" w:rsidRDefault="005D18B2" w:rsidP="005D18B2">
      <w:pPr>
        <w:tabs>
          <w:tab w:val="left" w:pos="270"/>
        </w:tabs>
        <w:spacing w:after="0" w:line="240" w:lineRule="auto"/>
        <w:rPr>
          <w:rFonts w:eastAsia="Times New Roman" w:cstheme="minorHAnsi"/>
          <w:sz w:val="18"/>
          <w:szCs w:val="18"/>
          <w:lang w:val="en-GB"/>
        </w:rPr>
      </w:pPr>
      <w:proofErr w:type="spellStart"/>
      <w:r w:rsidRPr="00F32CED">
        <w:rPr>
          <w:rFonts w:eastAsia="Times New Roman" w:cstheme="minorHAnsi"/>
          <w:sz w:val="18"/>
          <w:szCs w:val="18"/>
          <w:vertAlign w:val="superscript"/>
          <w:lang w:val="en-GB"/>
        </w:rPr>
        <w:t>ǁ</w:t>
      </w:r>
      <w:r w:rsidRPr="00F32CED">
        <w:rPr>
          <w:rFonts w:eastAsia="Times New Roman" w:cstheme="minorHAnsi"/>
          <w:sz w:val="18"/>
          <w:szCs w:val="18"/>
          <w:lang w:val="en-GB"/>
        </w:rPr>
        <w:t>HR</w:t>
      </w:r>
      <w:proofErr w:type="spellEnd"/>
      <w:r w:rsidRPr="00F32CED">
        <w:rPr>
          <w:rFonts w:eastAsia="Times New Roman" w:cstheme="minorHAnsi"/>
          <w:sz w:val="18"/>
          <w:szCs w:val="18"/>
          <w:lang w:val="en-GB"/>
        </w:rPr>
        <w:t xml:space="preserve"> and CI were based on a Cox model with study (Eligible RRMM or ide-</w:t>
      </w:r>
      <w:proofErr w:type="spellStart"/>
      <w:r w:rsidRPr="00F32CED">
        <w:rPr>
          <w:rFonts w:eastAsia="Times New Roman" w:cstheme="minorHAnsi"/>
          <w:sz w:val="18"/>
          <w:szCs w:val="18"/>
          <w:lang w:val="en-GB"/>
        </w:rPr>
        <w:t>cel</w:t>
      </w:r>
      <w:proofErr w:type="spellEnd"/>
      <w:r w:rsidRPr="00F32CED">
        <w:rPr>
          <w:rFonts w:eastAsia="Times New Roman" w:cstheme="minorHAnsi"/>
          <w:sz w:val="18"/>
          <w:szCs w:val="18"/>
          <w:lang w:val="en-GB"/>
        </w:rPr>
        <w:t xml:space="preserve"> cohorts) as a term in the model and as using IPTWs trimmed at the maximum of the minimum weight and the minimum of the maximum weight for the </w:t>
      </w:r>
      <w:proofErr w:type="spellStart"/>
      <w:r w:rsidRPr="00F32CED">
        <w:rPr>
          <w:rFonts w:eastAsia="Times New Roman" w:cstheme="minorHAnsi"/>
          <w:sz w:val="18"/>
          <w:szCs w:val="18"/>
          <w:lang w:val="en-GB"/>
        </w:rPr>
        <w:t>KarMMa</w:t>
      </w:r>
      <w:proofErr w:type="spellEnd"/>
      <w:r w:rsidRPr="00F32CED">
        <w:rPr>
          <w:rFonts w:eastAsia="Times New Roman" w:cstheme="minorHAnsi"/>
          <w:sz w:val="18"/>
          <w:szCs w:val="18"/>
          <w:lang w:val="en-GB"/>
        </w:rPr>
        <w:t xml:space="preserve"> and Eligible RRMM cohorts, as well as adjusted for unbalanced covariates used in the propensity score model.</w:t>
      </w:r>
    </w:p>
    <w:p w14:paraId="21C674D2" w14:textId="77777777" w:rsidR="005D18B2" w:rsidRPr="00F32CED" w:rsidRDefault="005D18B2" w:rsidP="005D18B2">
      <w:pPr>
        <w:spacing w:line="276" w:lineRule="auto"/>
        <w:rPr>
          <w:rFonts w:cstheme="minorHAnsi"/>
        </w:rPr>
      </w:pPr>
    </w:p>
    <w:p w14:paraId="557C5768" w14:textId="77777777" w:rsidR="005D18B2" w:rsidRPr="00F32CED" w:rsidRDefault="005D18B2" w:rsidP="005D18B2">
      <w:pPr>
        <w:spacing w:line="256" w:lineRule="auto"/>
        <w:rPr>
          <w:rFonts w:cstheme="minorHAnsi"/>
        </w:rPr>
      </w:pPr>
      <w:r w:rsidRPr="00F32CED">
        <w:rPr>
          <w:rFonts w:cstheme="minorHAnsi"/>
        </w:rPr>
        <w:br w:type="page"/>
      </w:r>
    </w:p>
    <w:p w14:paraId="1E3216B0" w14:textId="77777777" w:rsidR="005D18B2" w:rsidRPr="00F32CED" w:rsidRDefault="005D18B2" w:rsidP="005D18B2">
      <w:pPr>
        <w:spacing w:line="256" w:lineRule="auto"/>
        <w:rPr>
          <w:rFonts w:cstheme="minorHAnsi"/>
          <w:b/>
          <w:bCs/>
        </w:rPr>
      </w:pPr>
      <w:r w:rsidRPr="00F32CED">
        <w:rPr>
          <w:rFonts w:cstheme="minorHAnsi"/>
          <w:b/>
          <w:bCs/>
        </w:rPr>
        <w:lastRenderedPageBreak/>
        <w:t>Supplementary References</w:t>
      </w:r>
    </w:p>
    <w:p w14:paraId="029D129E" w14:textId="77777777" w:rsidR="005D18B2" w:rsidRPr="00F32CED" w:rsidRDefault="005D18B2" w:rsidP="005D18B2">
      <w:pPr>
        <w:numPr>
          <w:ilvl w:val="0"/>
          <w:numId w:val="2"/>
        </w:numPr>
        <w:spacing w:line="256" w:lineRule="auto"/>
        <w:contextualSpacing/>
        <w:rPr>
          <w:rFonts w:cstheme="minorHAnsi"/>
        </w:rPr>
      </w:pPr>
      <w:r w:rsidRPr="00F32CED">
        <w:rPr>
          <w:rFonts w:cstheme="minorHAnsi"/>
        </w:rPr>
        <w:t xml:space="preserve">Austin PC. Balance diagnostics for comparing the distribution of baseline covariates between treatment groups in propensity-score matched samples. </w:t>
      </w:r>
      <w:r w:rsidRPr="00F32CED">
        <w:rPr>
          <w:rFonts w:cstheme="minorHAnsi"/>
          <w:i/>
        </w:rPr>
        <w:t>Stat Med</w:t>
      </w:r>
      <w:r w:rsidRPr="00F32CED">
        <w:rPr>
          <w:rFonts w:cstheme="minorHAnsi"/>
        </w:rPr>
        <w:t>. 2009;28(25):3083-3107.</w:t>
      </w:r>
    </w:p>
    <w:p w14:paraId="5EDFDF1C" w14:textId="77777777" w:rsidR="005D18B2" w:rsidRPr="00AE3D17" w:rsidRDefault="005D18B2" w:rsidP="005D18B2">
      <w:pPr>
        <w:spacing w:after="0" w:line="240" w:lineRule="auto"/>
        <w:ind w:right="656"/>
        <w:rPr>
          <w:rFonts w:eastAsiaTheme="minorHAnsi" w:cstheme="minorHAnsi"/>
        </w:rPr>
      </w:pPr>
    </w:p>
    <w:p w14:paraId="3837796D" w14:textId="1C905BCE" w:rsidR="00AC155D" w:rsidRPr="005D18B2" w:rsidRDefault="00AC155D" w:rsidP="005D18B2"/>
    <w:sectPr w:rsidR="00AC155D" w:rsidRPr="005D18B2" w:rsidSect="00DB0612">
      <w:footerReference w:type="default" r:id="rId7"/>
      <w:pgSz w:w="11906" w:h="16838"/>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39A0D" w14:textId="77777777" w:rsidR="00621D0E" w:rsidRDefault="00621D0E" w:rsidP="00F85ED5">
      <w:pPr>
        <w:spacing w:after="0" w:line="240" w:lineRule="auto"/>
      </w:pPr>
      <w:r>
        <w:separator/>
      </w:r>
    </w:p>
  </w:endnote>
  <w:endnote w:type="continuationSeparator" w:id="0">
    <w:p w14:paraId="419CD592" w14:textId="77777777" w:rsidR="00621D0E" w:rsidRDefault="00621D0E" w:rsidP="00F85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236125"/>
      <w:docPartObj>
        <w:docPartGallery w:val="Page Numbers (Bottom of Page)"/>
        <w:docPartUnique/>
      </w:docPartObj>
    </w:sdtPr>
    <w:sdtEndPr>
      <w:rPr>
        <w:noProof/>
      </w:rPr>
    </w:sdtEndPr>
    <w:sdtContent>
      <w:p w14:paraId="27DE481A" w14:textId="0C38B893" w:rsidR="00F85ED5" w:rsidRDefault="00F85E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C5B842" w14:textId="77777777" w:rsidR="00C02535" w:rsidRDefault="005D1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06955" w14:textId="77777777" w:rsidR="00621D0E" w:rsidRDefault="00621D0E" w:rsidP="00F85ED5">
      <w:pPr>
        <w:spacing w:after="0" w:line="240" w:lineRule="auto"/>
      </w:pPr>
      <w:r>
        <w:separator/>
      </w:r>
    </w:p>
  </w:footnote>
  <w:footnote w:type="continuationSeparator" w:id="0">
    <w:p w14:paraId="56A5F10F" w14:textId="77777777" w:rsidR="00621D0E" w:rsidRDefault="00621D0E" w:rsidP="00F85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52C9F"/>
    <w:multiLevelType w:val="hybridMultilevel"/>
    <w:tmpl w:val="4454B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ED5"/>
    <w:rsid w:val="001571C6"/>
    <w:rsid w:val="00560D75"/>
    <w:rsid w:val="005D18B2"/>
    <w:rsid w:val="00621D0E"/>
    <w:rsid w:val="00972606"/>
    <w:rsid w:val="00AC155D"/>
    <w:rsid w:val="00F36711"/>
    <w:rsid w:val="00F85ED5"/>
    <w:rsid w:val="00F96E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989957"/>
  <w15:chartTrackingRefBased/>
  <w15:docId w15:val="{94FC4E7E-C6E4-4E59-ABA3-017D3F43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ED5"/>
    <w:rPr>
      <w:rFonts w:eastAsia="Batang"/>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5E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85E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ED5"/>
    <w:rPr>
      <w:rFonts w:eastAsia="Batang"/>
      <w:lang w:eastAsia="en-US"/>
    </w:rPr>
  </w:style>
  <w:style w:type="paragraph" w:styleId="Footer">
    <w:name w:val="footer"/>
    <w:basedOn w:val="Normal"/>
    <w:link w:val="FooterChar"/>
    <w:uiPriority w:val="99"/>
    <w:unhideWhenUsed/>
    <w:rsid w:val="00F85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ED5"/>
    <w:rPr>
      <w:rFonts w:eastAsia="Batang"/>
      <w:lang w:eastAsia="en-US"/>
    </w:rPr>
  </w:style>
  <w:style w:type="paragraph" w:customStyle="1" w:styleId="C-TableHeader">
    <w:name w:val="C-Table Header"/>
    <w:next w:val="C-TableText"/>
    <w:link w:val="C-TableHeaderChar"/>
    <w:rsid w:val="00F85ED5"/>
    <w:pPr>
      <w:keepNext/>
      <w:spacing w:before="60" w:after="60" w:line="240" w:lineRule="auto"/>
    </w:pPr>
    <w:rPr>
      <w:rFonts w:ascii="Times New Roman" w:eastAsia="Times New Roman" w:hAnsi="Times New Roman" w:cs="Times New Roman"/>
      <w:b/>
      <w:szCs w:val="20"/>
      <w:lang w:eastAsia="en-US"/>
    </w:rPr>
  </w:style>
  <w:style w:type="paragraph" w:customStyle="1" w:styleId="C-TableText">
    <w:name w:val="C-Table Text"/>
    <w:link w:val="C-TableTextChar"/>
    <w:rsid w:val="00F85ED5"/>
    <w:pPr>
      <w:spacing w:before="60" w:after="60" w:line="240" w:lineRule="auto"/>
    </w:pPr>
    <w:rPr>
      <w:rFonts w:ascii="Times New Roman" w:eastAsia="Times New Roman" w:hAnsi="Times New Roman" w:cs="Times New Roman"/>
      <w:szCs w:val="20"/>
      <w:lang w:eastAsia="en-US"/>
    </w:rPr>
  </w:style>
  <w:style w:type="table" w:customStyle="1" w:styleId="C-Table">
    <w:name w:val="C-Table"/>
    <w:basedOn w:val="TableNormal"/>
    <w:rsid w:val="00F85ED5"/>
    <w:pPr>
      <w:spacing w:after="0" w:line="240" w:lineRule="auto"/>
    </w:pPr>
    <w:rPr>
      <w:rFonts w:ascii="Times New Roman" w:eastAsia="Times New Roman" w:hAnsi="Times New Roman" w:cs="Times New Roman"/>
      <w:sz w:val="20"/>
      <w:szCs w:val="20"/>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basedOn w:val="DefaultParagraphFont"/>
    <w:link w:val="C-TableText"/>
    <w:rsid w:val="00F85ED5"/>
    <w:rPr>
      <w:rFonts w:ascii="Times New Roman" w:eastAsia="Times New Roman" w:hAnsi="Times New Roman" w:cs="Times New Roman"/>
      <w:szCs w:val="20"/>
      <w:lang w:eastAsia="en-US"/>
    </w:rPr>
  </w:style>
  <w:style w:type="character" w:customStyle="1" w:styleId="C-TableHeaderChar">
    <w:name w:val="C-Table Header Char"/>
    <w:basedOn w:val="DefaultParagraphFont"/>
    <w:link w:val="C-TableHeader"/>
    <w:rsid w:val="00F85ED5"/>
    <w:rPr>
      <w:rFonts w:ascii="Times New Roman" w:eastAsia="Times New Roman" w:hAnsi="Times New Roman" w:cs="Times New Roman"/>
      <w:b/>
      <w:szCs w:val="20"/>
      <w:lang w:eastAsia="en-US"/>
    </w:rPr>
  </w:style>
  <w:style w:type="paragraph" w:customStyle="1" w:styleId="C-BodyText">
    <w:name w:val="C-Body Text"/>
    <w:link w:val="C-BodyTextChar"/>
    <w:rsid w:val="00F85ED5"/>
    <w:pPr>
      <w:spacing w:before="120" w:after="120" w:line="280" w:lineRule="atLeast"/>
    </w:pPr>
    <w:rPr>
      <w:rFonts w:ascii="Times New Roman" w:eastAsia="Times New Roman" w:hAnsi="Times New Roman" w:cs="Times New Roman"/>
      <w:sz w:val="24"/>
      <w:szCs w:val="20"/>
      <w:lang w:eastAsia="en-US"/>
    </w:rPr>
  </w:style>
  <w:style w:type="character" w:customStyle="1" w:styleId="C-BodyTextChar">
    <w:name w:val="C-Body Text Char"/>
    <w:basedOn w:val="DefaultParagraphFont"/>
    <w:link w:val="C-BodyText"/>
    <w:rsid w:val="00F85ED5"/>
    <w:rPr>
      <w:rFonts w:ascii="Times New Roman" w:eastAsia="Times New Roman" w:hAnsi="Times New Roman" w:cs="Times New Roman"/>
      <w:sz w:val="24"/>
      <w:szCs w:val="20"/>
      <w:lang w:eastAsia="en-US"/>
    </w:rPr>
  </w:style>
  <w:style w:type="paragraph" w:customStyle="1" w:styleId="C-TableFootnote">
    <w:name w:val="C-Table Footnote"/>
    <w:next w:val="C-BodyText"/>
    <w:link w:val="C-TableFootnoteChar"/>
    <w:rsid w:val="00F85ED5"/>
    <w:pPr>
      <w:tabs>
        <w:tab w:val="left" w:pos="144"/>
      </w:tabs>
      <w:spacing w:after="0" w:line="240" w:lineRule="auto"/>
      <w:ind w:left="144" w:hanging="144"/>
    </w:pPr>
    <w:rPr>
      <w:rFonts w:ascii="Times New Roman" w:eastAsia="Times New Roman" w:hAnsi="Times New Roman" w:cs="Arial"/>
      <w:sz w:val="20"/>
      <w:szCs w:val="20"/>
      <w:lang w:eastAsia="en-US"/>
    </w:rPr>
  </w:style>
  <w:style w:type="character" w:customStyle="1" w:styleId="C-TableFootnoteChar">
    <w:name w:val="C-Table Footnote Char"/>
    <w:basedOn w:val="DefaultParagraphFont"/>
    <w:link w:val="C-TableFootnote"/>
    <w:rsid w:val="00F85ED5"/>
    <w:rPr>
      <w:rFonts w:ascii="Times New Roman" w:eastAsia="Times New Roman" w:hAnsi="Times New Roman" w:cs="Arial"/>
      <w:sz w:val="20"/>
      <w:szCs w:val="20"/>
      <w:lang w:eastAsia="en-US"/>
    </w:rPr>
  </w:style>
  <w:style w:type="paragraph" w:styleId="ListParagraph">
    <w:name w:val="List Paragraph"/>
    <w:basedOn w:val="Normal"/>
    <w:uiPriority w:val="34"/>
    <w:qFormat/>
    <w:rsid w:val="00AC155D"/>
    <w:pPr>
      <w:ind w:left="720"/>
      <w:contextualSpacing/>
    </w:pPr>
  </w:style>
  <w:style w:type="table" w:customStyle="1" w:styleId="C-Table2">
    <w:name w:val="C-Table2"/>
    <w:basedOn w:val="TableNormal"/>
    <w:rsid w:val="005D18B2"/>
    <w:pPr>
      <w:spacing w:after="0" w:line="240" w:lineRule="auto"/>
    </w:pPr>
    <w:rPr>
      <w:rFonts w:ascii="Times New Roman" w:eastAsia="Times New Roman" w:hAnsi="Times New Roman" w:cs="Times New Roman"/>
      <w:sz w:val="20"/>
      <w:szCs w:val="20"/>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1979</Words>
  <Characters>11283</Characters>
  <Application>Microsoft Office Word</Application>
  <DocSecurity>0</DocSecurity>
  <Lines>94</Lines>
  <Paragraphs>26</Paragraphs>
  <ScaleCrop>false</ScaleCrop>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 Connections</dc:creator>
  <cp:keywords/>
  <dc:description/>
  <cp:lastModifiedBy>Author</cp:lastModifiedBy>
  <cp:revision>4</cp:revision>
  <dcterms:created xsi:type="dcterms:W3CDTF">2021-04-29T00:51:00Z</dcterms:created>
  <dcterms:modified xsi:type="dcterms:W3CDTF">2021-04-29T14:03:00Z</dcterms:modified>
</cp:coreProperties>
</file>