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15C9" w:rsidRPr="00CF15C9" w:rsidRDefault="00CF15C9" w:rsidP="00CF15C9">
      <w:pPr>
        <w:widowControl/>
        <w:suppressAutoHyphens w:val="0"/>
        <w:autoSpaceDN/>
        <w:textAlignment w:val="auto"/>
        <w:rPr>
          <w:sz w:val="24"/>
          <w:szCs w:val="24"/>
          <w:lang w:val="en-US" w:eastAsia="es-ES_tradnl"/>
        </w:rPr>
      </w:pPr>
      <w:r w:rsidRPr="00CF15C9">
        <w:rPr>
          <w:rFonts w:ascii="Arial" w:hAnsi="Arial" w:cs="Arial"/>
          <w:b/>
          <w:sz w:val="24"/>
          <w:szCs w:val="24"/>
          <w:lang w:val="en-US" w:eastAsia="es-ES_tradnl"/>
        </w:rPr>
        <w:t>Supplementary</w:t>
      </w:r>
      <w:r w:rsidRPr="00CF15C9">
        <w:rPr>
          <w:rFonts w:ascii="Arial" w:hAnsi="Arial" w:cs="Arial"/>
          <w:b/>
          <w:sz w:val="24"/>
          <w:szCs w:val="24"/>
          <w:lang w:val="en-US" w:eastAsia="es-ES_tradnl"/>
        </w:rPr>
        <w:t xml:space="preserve"> </w:t>
      </w:r>
      <w:r w:rsidRPr="00CF15C9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legends</w:t>
      </w:r>
    </w:p>
    <w:p w:rsidR="00CF15C9" w:rsidRDefault="00CF15C9" w:rsidP="00CF15C9">
      <w:pPr>
        <w:spacing w:line="480" w:lineRule="auto"/>
        <w:rPr>
          <w:rFonts w:ascii="Arial" w:hAnsi="Arial" w:cs="Arial"/>
          <w:b/>
          <w:color w:val="000000" w:themeColor="text1"/>
          <w:sz w:val="24"/>
          <w:szCs w:val="24"/>
          <w:lang w:val="en-US"/>
        </w:rPr>
      </w:pPr>
      <w:bookmarkStart w:id="0" w:name="_GoBack"/>
      <w:bookmarkEnd w:id="0"/>
    </w:p>
    <w:p w:rsidR="00CF15C9" w:rsidRPr="00DB4AA5" w:rsidRDefault="00CF15C9" w:rsidP="00CF15C9">
      <w:pPr>
        <w:spacing w:line="480" w:lineRule="auto"/>
        <w:rPr>
          <w:rFonts w:ascii="Arial" w:hAnsi="Arial" w:cs="Arial"/>
          <w:bCs/>
          <w:color w:val="000000" w:themeColor="text1"/>
          <w:sz w:val="24"/>
          <w:szCs w:val="24"/>
          <w:lang w:val="en-US"/>
        </w:rPr>
      </w:pPr>
      <w:r w:rsidRPr="00DB4AA5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Table S1 </w:t>
      </w:r>
      <w:r w:rsidRPr="00DB4AA5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(Supplementary material). Trial design and main inclusion criteria for the GEM2005&gt;65 and GEM2010&gt;65 trials.</w:t>
      </w:r>
    </w:p>
    <w:p w:rsidR="00CF15C9" w:rsidRPr="00DB4AA5" w:rsidRDefault="00CF15C9" w:rsidP="00CF15C9">
      <w:pPr>
        <w:spacing w:line="480" w:lineRule="auto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 w:rsidRPr="00DB4AA5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VMP: Bortezomib, Melphalan, Prednisone. VTP: Bortezomib, Thalidomide, Prednisone. VP: Bortezomib, prednisone. VT: Bortezomib, Thalidomide. Rd: Lenalidomide, dexamethasone. </w:t>
      </w:r>
    </w:p>
    <w:p w:rsidR="00CF15C9" w:rsidRPr="00DB4AA5" w:rsidRDefault="00CF15C9" w:rsidP="00CF15C9">
      <w:pPr>
        <w:spacing w:line="480" w:lineRule="auto"/>
        <w:rPr>
          <w:rFonts w:ascii="Arial" w:hAnsi="Arial" w:cs="Arial"/>
          <w:bCs/>
          <w:color w:val="000000" w:themeColor="text1"/>
          <w:sz w:val="24"/>
          <w:szCs w:val="24"/>
          <w:lang w:val="en-US"/>
        </w:rPr>
      </w:pPr>
      <w:r w:rsidRPr="00DB4AA5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Table S2 </w:t>
      </w:r>
      <w:r w:rsidRPr="00DB4AA5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(Supplementary material). Trial design and main inclusion criteria for the GEM2005&lt;65 and GEM2012&lt;65 trials.</w:t>
      </w:r>
    </w:p>
    <w:p w:rsidR="00CF15C9" w:rsidRPr="00DB4AA5" w:rsidRDefault="00CF15C9" w:rsidP="00CF15C9">
      <w:pPr>
        <w:pStyle w:val="NormalWeb"/>
        <w:shd w:val="clear" w:color="auto" w:fill="FFFFFF"/>
        <w:spacing w:before="0" w:beforeAutospacing="0" w:after="120" w:afterAutospacing="0" w:line="480" w:lineRule="auto"/>
        <w:rPr>
          <w:rFonts w:ascii="Arial" w:hAnsi="Arial" w:cs="Arial"/>
          <w:b/>
          <w:color w:val="000000" w:themeColor="text1"/>
          <w:lang w:val="en-US"/>
        </w:rPr>
      </w:pPr>
      <w:r w:rsidRPr="00DB4AA5">
        <w:rPr>
          <w:rFonts w:ascii="Arial" w:hAnsi="Arial" w:cs="Arial"/>
          <w:color w:val="000000" w:themeColor="text1"/>
          <w:lang w:val="en-US"/>
        </w:rPr>
        <w:t xml:space="preserve">VBMCP: Vincristine, BCNU, Cyclophosphamide, Melphalan, Prednisone. VBAD: Vincristine, BCNU, </w:t>
      </w:r>
      <w:proofErr w:type="spellStart"/>
      <w:r w:rsidRPr="00DB4AA5">
        <w:rPr>
          <w:rFonts w:ascii="Arial" w:hAnsi="Arial" w:cs="Arial"/>
          <w:color w:val="000000" w:themeColor="text1"/>
          <w:lang w:val="en-US"/>
        </w:rPr>
        <w:t>Adriamycine</w:t>
      </w:r>
      <w:proofErr w:type="spellEnd"/>
      <w:r w:rsidRPr="00DB4AA5">
        <w:rPr>
          <w:rFonts w:ascii="Arial" w:hAnsi="Arial" w:cs="Arial"/>
          <w:color w:val="000000" w:themeColor="text1"/>
          <w:lang w:val="en-US"/>
        </w:rPr>
        <w:t xml:space="preserve">, Dexamethasone. </w:t>
      </w:r>
      <w:r w:rsidRPr="00DB4AA5"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VRD: </w:t>
      </w:r>
      <w:r w:rsidRPr="00DB4AA5">
        <w:rPr>
          <w:rFonts w:ascii="Arial" w:hAnsi="Arial" w:cs="Arial"/>
          <w:color w:val="000000" w:themeColor="text1"/>
          <w:lang w:val="en-US"/>
        </w:rPr>
        <w:t>Bortezomib, Lenalidomide, Dexamethasone.</w:t>
      </w:r>
      <w:r w:rsidRPr="00DB4AA5">
        <w:rPr>
          <w:rFonts w:ascii="Arial" w:hAnsi="Arial" w:cs="Arial"/>
          <w:b/>
          <w:color w:val="000000" w:themeColor="text1"/>
          <w:lang w:val="en-US"/>
        </w:rPr>
        <w:t xml:space="preserve"> </w:t>
      </w:r>
      <w:r w:rsidRPr="00DB4AA5">
        <w:rPr>
          <w:rFonts w:ascii="Arial" w:hAnsi="Arial" w:cs="Arial"/>
          <w:color w:val="000000" w:themeColor="text1"/>
          <w:lang w:val="en-US"/>
        </w:rPr>
        <w:t>*</w:t>
      </w:r>
      <w:r w:rsidRPr="00DB4AA5">
        <w:rPr>
          <w:rFonts w:ascii="Arial" w:eastAsia="MS Min" w:hAnsi="Arial" w:cs="Arial"/>
          <w:color w:val="000000" w:themeColor="text1"/>
          <w:lang w:val="en-US" w:eastAsia="es-ES"/>
        </w:rPr>
        <w:t>Median age (GEM2010&gt;65): 75 years, (GEM2005&gt;65): 73 years.</w:t>
      </w:r>
    </w:p>
    <w:p w:rsidR="00CF15C9" w:rsidRPr="00DB4AA5" w:rsidRDefault="00CF15C9" w:rsidP="00CF15C9">
      <w:pPr>
        <w:spacing w:line="480" w:lineRule="auto"/>
        <w:rPr>
          <w:rFonts w:ascii="Arial" w:hAnsi="Arial" w:cs="Arial"/>
          <w:color w:val="000000" w:themeColor="text1"/>
          <w:sz w:val="24"/>
          <w:szCs w:val="24"/>
          <w:lang w:val="en-US" w:eastAsia="es-ES_tradnl"/>
        </w:rPr>
      </w:pPr>
      <w:r w:rsidRPr="00DB4AA5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Table S3 </w:t>
      </w:r>
      <w:r w:rsidRPr="00DB4AA5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(Supplementary material).</w:t>
      </w:r>
      <w:r w:rsidRPr="00DB4AA5">
        <w:rPr>
          <w:rFonts w:ascii="Arial" w:hAnsi="Arial" w:cs="Arial"/>
          <w:b/>
          <w:bCs/>
          <w:color w:val="000000" w:themeColor="text1"/>
          <w:sz w:val="24"/>
          <w:szCs w:val="24"/>
          <w:lang w:val="en-US" w:eastAsia="es-ES_tradnl"/>
        </w:rPr>
        <w:t xml:space="preserve"> </w:t>
      </w:r>
      <w:r w:rsidRPr="00DB4AA5">
        <w:rPr>
          <w:rFonts w:ascii="Arial" w:hAnsi="Arial" w:cs="Arial"/>
          <w:color w:val="000000" w:themeColor="text1"/>
          <w:sz w:val="24"/>
          <w:szCs w:val="24"/>
          <w:lang w:val="en-US" w:eastAsia="es-ES_tradnl"/>
        </w:rPr>
        <w:t>Infectious pathogens documented during the first 6 Months</w:t>
      </w:r>
    </w:p>
    <w:p w:rsidR="00110837" w:rsidRPr="00CF15C9" w:rsidRDefault="00110837">
      <w:pPr>
        <w:rPr>
          <w:lang w:val="en-US"/>
        </w:rPr>
      </w:pPr>
    </w:p>
    <w:sectPr w:rsidR="00110837" w:rsidRPr="00CF15C9" w:rsidSect="00D15F25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">
    <w:altName w:val="MS Mincho"/>
    <w:panose1 w:val="020B06040202020202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5C9"/>
    <w:rsid w:val="00110837"/>
    <w:rsid w:val="00CF15C9"/>
    <w:rsid w:val="00D15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139AC31"/>
  <w15:chartTrackingRefBased/>
  <w15:docId w15:val="{68624981-6897-4A40-A6D4-5EE61B13C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15C9"/>
    <w:pPr>
      <w:widowControl w:val="0"/>
      <w:suppressAutoHyphens/>
      <w:autoSpaceDN w:val="0"/>
      <w:textAlignment w:val="baseline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15C9"/>
    <w:pPr>
      <w:widowControl/>
      <w:suppressAutoHyphens w:val="0"/>
      <w:autoSpaceDN/>
      <w:spacing w:before="100" w:beforeAutospacing="1" w:after="100" w:afterAutospacing="1"/>
      <w:textAlignment w:val="auto"/>
    </w:pPr>
    <w:rPr>
      <w:sz w:val="24"/>
      <w:szCs w:val="24"/>
      <w:lang w:eastAsia="es-ES_tradnl"/>
    </w:rPr>
  </w:style>
  <w:style w:type="paragraph" w:customStyle="1" w:styleId="Standard">
    <w:name w:val="Standard"/>
    <w:rsid w:val="00CF15C9"/>
    <w:pPr>
      <w:suppressAutoHyphens/>
      <w:autoSpaceDN w:val="0"/>
      <w:textAlignment w:val="baseline"/>
    </w:pPr>
    <w:rPr>
      <w:rFonts w:ascii="Liberation Serif" w:eastAsia="SimSun" w:hAnsi="Liberation Serif" w:cs="Lucida Sans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03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637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2022-02-24T20:46:00Z</dcterms:created>
  <dcterms:modified xsi:type="dcterms:W3CDTF">2022-02-24T20:48:00Z</dcterms:modified>
</cp:coreProperties>
</file>