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C1A" w:rsidRPr="0008602D" w:rsidRDefault="00405C1A" w:rsidP="00405C1A">
      <w:pPr>
        <w:spacing w:after="0" w:line="480" w:lineRule="auto"/>
        <w:ind w:firstLine="0"/>
        <w:jc w:val="both"/>
        <w:rPr>
          <w:rFonts w:ascii="Arial" w:hAnsi="Arial" w:cs="Arial"/>
          <w:lang w:val="en-US"/>
        </w:rPr>
      </w:pPr>
      <w:r w:rsidRPr="0008602D">
        <w:rPr>
          <w:rFonts w:ascii="Arial" w:hAnsi="Arial" w:cs="Arial"/>
          <w:b/>
          <w:lang w:val="en-US"/>
        </w:rPr>
        <w:t>Suppl. Fig. 1: Commonly up- or downregulated genes by DAC+ATRA are involved in leukocyte differentiation, immune response and transcriptional initiation.</w:t>
      </w:r>
    </w:p>
    <w:p w:rsidR="00405C1A" w:rsidRPr="0008602D" w:rsidRDefault="00405C1A" w:rsidP="00405C1A">
      <w:pPr>
        <w:spacing w:after="0" w:line="480" w:lineRule="auto"/>
        <w:ind w:firstLine="0"/>
        <w:rPr>
          <w:rFonts w:ascii="Arial" w:hAnsi="Arial" w:cs="Arial"/>
          <w:lang w:val="en-US"/>
        </w:rPr>
      </w:pPr>
      <w:r w:rsidRPr="0008602D">
        <w:rPr>
          <w:rFonts w:ascii="Arial" w:hAnsi="Arial" w:cs="Arial"/>
          <w:lang w:val="en-US"/>
        </w:rPr>
        <w:t xml:space="preserve">Addition to Fig. 2 D. Top 20 results for the GO analysis of genes commonly regulated by DAC+ATRA in U937 and MOLM-13. </w:t>
      </w:r>
    </w:p>
    <w:p w:rsidR="00405C1A" w:rsidRPr="0008602D" w:rsidRDefault="00405C1A" w:rsidP="00405C1A">
      <w:pPr>
        <w:spacing w:after="0" w:line="480" w:lineRule="auto"/>
        <w:rPr>
          <w:rFonts w:ascii="Arial" w:hAnsi="Arial" w:cs="Arial"/>
          <w:lang w:val="en-US"/>
        </w:rPr>
      </w:pPr>
    </w:p>
    <w:p w:rsidR="00405C1A" w:rsidRPr="0008602D" w:rsidRDefault="00405C1A" w:rsidP="00405C1A">
      <w:pPr>
        <w:spacing w:after="0" w:line="480" w:lineRule="auto"/>
        <w:ind w:firstLine="0"/>
        <w:rPr>
          <w:rFonts w:ascii="Arial" w:hAnsi="Arial" w:cs="Arial"/>
          <w:lang w:val="en-US"/>
        </w:rPr>
      </w:pPr>
      <w:r w:rsidRPr="0008602D">
        <w:rPr>
          <w:rFonts w:ascii="Arial" w:hAnsi="Arial" w:cs="Arial"/>
          <w:b/>
          <w:bCs/>
          <w:lang w:val="en-US"/>
        </w:rPr>
        <w:t>Suppl. Fig. 2: Differential accessibility analysis</w:t>
      </w:r>
      <w:r>
        <w:rPr>
          <w:rFonts w:ascii="Arial" w:hAnsi="Arial" w:cs="Arial"/>
          <w:b/>
          <w:bCs/>
          <w:lang w:val="en-US"/>
        </w:rPr>
        <w:t>.</w:t>
      </w:r>
      <w:r w:rsidRPr="00454B77">
        <w:rPr>
          <w:rFonts w:ascii="Arial" w:hAnsi="Arial" w:cs="Arial"/>
          <w:lang w:val="en-US"/>
        </w:rPr>
        <w:t xml:space="preserve"> </w:t>
      </w:r>
      <w:r w:rsidRPr="0008602D">
        <w:rPr>
          <w:rFonts w:ascii="Arial" w:hAnsi="Arial" w:cs="Arial"/>
          <w:lang w:val="en-US"/>
        </w:rPr>
        <w:t xml:space="preserve">Differential accessibility analysis comparing ATRA vs. untreated (CNTL; </w:t>
      </w:r>
      <w:r>
        <w:rPr>
          <w:rFonts w:ascii="Arial" w:hAnsi="Arial" w:cs="Arial"/>
          <w:lang w:val="en-US"/>
        </w:rPr>
        <w:t>middle</w:t>
      </w:r>
      <w:r w:rsidRPr="0008602D">
        <w:rPr>
          <w:rFonts w:ascii="Arial" w:hAnsi="Arial" w:cs="Arial"/>
          <w:lang w:val="en-US"/>
        </w:rPr>
        <w:t xml:space="preserve"> panel), DAC vs. CNTL (</w:t>
      </w:r>
      <w:r>
        <w:rPr>
          <w:rFonts w:ascii="Arial" w:hAnsi="Arial" w:cs="Arial"/>
          <w:lang w:val="en-US"/>
        </w:rPr>
        <w:t>left</w:t>
      </w:r>
      <w:r w:rsidRPr="0008602D">
        <w:rPr>
          <w:rFonts w:ascii="Arial" w:hAnsi="Arial" w:cs="Arial"/>
          <w:lang w:val="en-US"/>
        </w:rPr>
        <w:t xml:space="preserve"> panel), and DAC+ATRA vs. CNTL (right panel). Pie charts (top row) and volcano plots (bottom row) indicate number of differentially accessible regions (DARs), defined by an adjusted (adj.) p-value &lt;0.05 and an absolute log2 fold change &gt;1. </w:t>
      </w:r>
      <w:proofErr w:type="gramStart"/>
      <w:r w:rsidRPr="0008602D">
        <w:rPr>
          <w:rFonts w:ascii="Arial" w:hAnsi="Arial" w:cs="Arial"/>
          <w:lang w:val="en-US"/>
        </w:rPr>
        <w:t>Red dots, increased accessibility in ATRA, DAC, or DAC +ATRA-treated samples; blue dots, increased accessibility in CNTL samples.</w:t>
      </w:r>
      <w:proofErr w:type="gramEnd"/>
      <w:r w:rsidRPr="0008602D">
        <w:rPr>
          <w:rFonts w:ascii="Arial" w:hAnsi="Arial" w:cs="Arial"/>
          <w:lang w:val="en-US"/>
        </w:rPr>
        <w:t xml:space="preserve"> This comparison of chromatin accessibility at the union set of all peaks revealed major effects of the different drug treatments on the overall chromatin compaction. Specifically, differential accessibility analysis revealed 17,784 regions with a significant decrease (adj. p-value &lt;0.05 and log2 fold change &lt;-1) and 16,606 regions with a significant increase (adj. p-value &lt;0.05 and log2 fold change &gt;1) in accessibility in ATRA- compared to CNTL samples. As expected, DAC treated samples showed an overall increase in chromatin accessibility with 30,940 regions with increased accessibility. This effect was further enhanced in the double-treated samples, with 31,460 regions with increased accessibility in DAC+ATRA vs</w:t>
      </w:r>
      <w:r>
        <w:rPr>
          <w:rFonts w:ascii="Arial" w:hAnsi="Arial" w:cs="Arial"/>
          <w:lang w:val="en-US"/>
        </w:rPr>
        <w:t>.</w:t>
      </w:r>
      <w:r w:rsidRPr="0008602D">
        <w:rPr>
          <w:rFonts w:ascii="Arial" w:hAnsi="Arial" w:cs="Arial"/>
          <w:lang w:val="en-US"/>
        </w:rPr>
        <w:t xml:space="preserve"> untreated. </w:t>
      </w:r>
    </w:p>
    <w:p w:rsidR="00405C1A" w:rsidRPr="0008602D" w:rsidRDefault="00405C1A" w:rsidP="00405C1A">
      <w:pPr>
        <w:spacing w:after="0" w:line="480" w:lineRule="auto"/>
        <w:rPr>
          <w:rFonts w:ascii="Arial" w:hAnsi="Arial" w:cs="Arial"/>
          <w:lang w:val="en-US"/>
        </w:rPr>
      </w:pPr>
    </w:p>
    <w:p w:rsidR="00405C1A" w:rsidRPr="0008602D" w:rsidRDefault="00405C1A" w:rsidP="00405C1A">
      <w:pPr>
        <w:spacing w:after="0" w:line="480" w:lineRule="auto"/>
        <w:ind w:firstLine="0"/>
        <w:jc w:val="both"/>
        <w:rPr>
          <w:rFonts w:ascii="Arial" w:hAnsi="Arial" w:cs="Arial"/>
          <w:b/>
          <w:lang w:val="en-US"/>
        </w:rPr>
      </w:pPr>
      <w:r w:rsidRPr="0008602D">
        <w:rPr>
          <w:rFonts w:ascii="Arial" w:hAnsi="Arial" w:cs="Arial"/>
          <w:b/>
          <w:lang w:val="en-US"/>
        </w:rPr>
        <w:t xml:space="preserve">Suppl. Fig. 3: DAC and ATRA cooperate in inducing “viral mimicry”. </w:t>
      </w:r>
      <w:r w:rsidRPr="0008602D">
        <w:rPr>
          <w:rFonts w:ascii="Arial" w:hAnsi="Arial" w:cs="Arial"/>
          <w:lang w:val="en-US"/>
        </w:rPr>
        <w:t>(A)</w:t>
      </w:r>
      <w:r w:rsidRPr="0008602D">
        <w:rPr>
          <w:rFonts w:ascii="Arial" w:hAnsi="Arial" w:cs="Arial"/>
          <w:b/>
          <w:lang w:val="en-US"/>
        </w:rPr>
        <w:t xml:space="preserve"> </w:t>
      </w:r>
      <w:r w:rsidRPr="0008602D">
        <w:rPr>
          <w:rFonts w:ascii="Arial" w:hAnsi="Arial" w:cs="Arial"/>
          <w:lang w:val="en-US"/>
        </w:rPr>
        <w:t xml:space="preserve">U937 cells (technical triplicates) untreated and treated with DMSO, DAC, ATRA and DAC+ATRA were analyzed for mRNA expression </w:t>
      </w:r>
      <w:r w:rsidRPr="0008602D">
        <w:rPr>
          <w:lang w:val="en-US"/>
        </w:rPr>
        <w:t xml:space="preserve">of </w:t>
      </w:r>
      <w:r w:rsidRPr="0008602D">
        <w:rPr>
          <w:rFonts w:ascii="Arial" w:hAnsi="Arial" w:cs="Arial"/>
          <w:i/>
          <w:lang w:val="en-US"/>
        </w:rPr>
        <w:t>ERV3-1</w:t>
      </w:r>
      <w:r w:rsidRPr="0008602D">
        <w:rPr>
          <w:rFonts w:ascii="Arial" w:hAnsi="Arial" w:cs="Arial"/>
          <w:lang w:val="en-US"/>
        </w:rPr>
        <w:t xml:space="preserve"> and </w:t>
      </w:r>
      <w:r w:rsidRPr="0008602D">
        <w:rPr>
          <w:rFonts w:ascii="Arial" w:hAnsi="Arial" w:cs="Arial"/>
          <w:i/>
          <w:lang w:val="en-US"/>
        </w:rPr>
        <w:t xml:space="preserve">ZNF117 </w:t>
      </w:r>
      <w:r w:rsidRPr="0049709F">
        <w:rPr>
          <w:rFonts w:ascii="Arial" w:hAnsi="Arial" w:cs="Arial"/>
          <w:lang w:val="en-US"/>
        </w:rPr>
        <w:t>a</w:t>
      </w:r>
      <w:r w:rsidRPr="0008602D">
        <w:rPr>
          <w:rFonts w:ascii="Arial" w:hAnsi="Arial" w:cs="Arial"/>
          <w:lang w:val="en-US"/>
        </w:rPr>
        <w:t xml:space="preserve">t 72 and 120 h. RT-qPCR was performed as described in </w:t>
      </w:r>
      <w:r w:rsidRPr="0008602D">
        <w:rPr>
          <w:rFonts w:ascii="Arial" w:hAnsi="Arial" w:cs="Arial"/>
          <w:bCs/>
          <w:lang w:val="en-US"/>
        </w:rPr>
        <w:t xml:space="preserve">Supplemental Methods, for primers see </w:t>
      </w:r>
      <w:r w:rsidRPr="0008602D">
        <w:rPr>
          <w:rFonts w:ascii="Arial" w:hAnsi="Arial" w:cs="Arial"/>
          <w:lang w:val="en-US"/>
        </w:rPr>
        <w:t>Suppl. Table 2. (B)</w:t>
      </w:r>
      <w:r w:rsidRPr="0008602D">
        <w:rPr>
          <w:rFonts w:ascii="Arial" w:hAnsi="Arial" w:cs="Arial"/>
          <w:b/>
          <w:lang w:val="en-US"/>
        </w:rPr>
        <w:t xml:space="preserve"> </w:t>
      </w:r>
      <w:r w:rsidRPr="0008602D">
        <w:rPr>
          <w:rFonts w:ascii="Arial" w:hAnsi="Arial" w:cs="Arial"/>
          <w:lang w:val="en-US"/>
        </w:rPr>
        <w:t xml:space="preserve">Overview of the anti-viral immune signaling pathway of RIG-I-like receptors. </w:t>
      </w:r>
    </w:p>
    <w:p w:rsidR="00405C1A" w:rsidRPr="0008602D" w:rsidRDefault="00405C1A" w:rsidP="00405C1A">
      <w:pPr>
        <w:spacing w:after="0" w:line="480" w:lineRule="auto"/>
        <w:rPr>
          <w:rFonts w:ascii="Arial" w:hAnsi="Arial" w:cs="Arial"/>
          <w:lang w:val="en-US"/>
        </w:rPr>
      </w:pPr>
    </w:p>
    <w:p w:rsidR="00405C1A" w:rsidRPr="0008602D" w:rsidRDefault="00405C1A" w:rsidP="00405C1A">
      <w:pPr>
        <w:spacing w:after="0" w:line="480" w:lineRule="auto"/>
        <w:ind w:firstLine="0"/>
        <w:rPr>
          <w:rFonts w:ascii="Arial" w:hAnsi="Arial" w:cs="Arial"/>
          <w:lang w:val="en-US"/>
        </w:rPr>
      </w:pPr>
      <w:r w:rsidRPr="0008602D">
        <w:rPr>
          <w:rFonts w:ascii="Arial" w:hAnsi="Arial" w:cs="Arial"/>
          <w:b/>
          <w:lang w:val="en-US"/>
        </w:rPr>
        <w:t>Suppl. Table 1: List of antibodies</w:t>
      </w:r>
      <w:r w:rsidRPr="00454B77">
        <w:rPr>
          <w:rFonts w:ascii="Arial" w:hAnsi="Arial" w:cs="Arial"/>
          <w:b/>
          <w:bCs/>
          <w:lang w:val="en-US"/>
        </w:rPr>
        <w:t>.</w:t>
      </w:r>
      <w:r w:rsidRPr="0008602D">
        <w:rPr>
          <w:rFonts w:ascii="Arial" w:hAnsi="Arial" w:cs="Arial"/>
          <w:lang w:val="en-US"/>
        </w:rPr>
        <w:t xml:space="preserve"> Antibodies used for Western Blot. </w:t>
      </w:r>
    </w:p>
    <w:p w:rsidR="00405C1A" w:rsidRPr="0008602D" w:rsidRDefault="00405C1A" w:rsidP="00405C1A">
      <w:pPr>
        <w:spacing w:after="0" w:line="480" w:lineRule="auto"/>
        <w:rPr>
          <w:rFonts w:ascii="Arial" w:hAnsi="Arial" w:cs="Arial"/>
          <w:lang w:val="en-US"/>
        </w:rPr>
      </w:pPr>
    </w:p>
    <w:p w:rsidR="00405C1A" w:rsidRPr="0008602D" w:rsidRDefault="00405C1A" w:rsidP="00405C1A">
      <w:pPr>
        <w:tabs>
          <w:tab w:val="left" w:pos="1905"/>
        </w:tabs>
        <w:spacing w:after="0" w:line="480" w:lineRule="auto"/>
        <w:ind w:left="1410" w:hanging="1410"/>
        <w:rPr>
          <w:rFonts w:ascii="Arial" w:hAnsi="Arial" w:cs="Arial"/>
          <w:lang w:val="en-US"/>
        </w:rPr>
      </w:pPr>
      <w:r w:rsidRPr="0008602D">
        <w:rPr>
          <w:rFonts w:ascii="Arial" w:hAnsi="Arial" w:cs="Arial"/>
          <w:b/>
          <w:lang w:val="en-US"/>
        </w:rPr>
        <w:t xml:space="preserve">Suppl. Table 2: Primers for qPCR. </w:t>
      </w:r>
      <w:r w:rsidRPr="0008602D">
        <w:rPr>
          <w:rFonts w:ascii="Arial" w:hAnsi="Arial" w:cs="Arial"/>
          <w:lang w:val="en-US"/>
        </w:rPr>
        <w:t xml:space="preserve">Primers used for RT-qPCR in AML cell lines. </w:t>
      </w:r>
    </w:p>
    <w:p w:rsidR="00405C1A" w:rsidRPr="0008602D" w:rsidRDefault="00405C1A" w:rsidP="00405C1A">
      <w:pPr>
        <w:tabs>
          <w:tab w:val="left" w:pos="1905"/>
        </w:tabs>
        <w:spacing w:after="0" w:line="480" w:lineRule="auto"/>
        <w:ind w:left="1410" w:hanging="1410"/>
        <w:rPr>
          <w:rFonts w:ascii="Arial" w:hAnsi="Arial" w:cs="Arial"/>
          <w:lang w:val="en-US"/>
        </w:rPr>
      </w:pPr>
    </w:p>
    <w:p w:rsidR="00405C1A" w:rsidRPr="0008602D" w:rsidRDefault="00405C1A" w:rsidP="00405C1A">
      <w:pPr>
        <w:tabs>
          <w:tab w:val="left" w:pos="1905"/>
        </w:tabs>
        <w:spacing w:after="0" w:line="480" w:lineRule="auto"/>
        <w:ind w:left="1410" w:hanging="1410"/>
        <w:rPr>
          <w:rFonts w:ascii="Arial" w:hAnsi="Arial" w:cs="Arial"/>
          <w:lang w:val="en-US"/>
        </w:rPr>
      </w:pPr>
      <w:r w:rsidRPr="0008602D">
        <w:rPr>
          <w:rFonts w:ascii="Arial" w:hAnsi="Arial" w:cs="Arial"/>
          <w:b/>
          <w:lang w:val="en-US"/>
        </w:rPr>
        <w:t xml:space="preserve">Suppl. Table 3: Patients’ characteristics. </w:t>
      </w:r>
      <w:r w:rsidRPr="0008602D">
        <w:rPr>
          <w:rFonts w:ascii="Arial" w:hAnsi="Arial" w:cs="Arial"/>
          <w:lang w:val="en-US"/>
        </w:rPr>
        <w:t>Characteristics of 15 AML patients treated with</w:t>
      </w:r>
    </w:p>
    <w:p w:rsidR="00405C1A" w:rsidRPr="0008602D" w:rsidRDefault="00405C1A" w:rsidP="00405C1A">
      <w:pPr>
        <w:tabs>
          <w:tab w:val="left" w:pos="1905"/>
        </w:tabs>
        <w:spacing w:after="0" w:line="480" w:lineRule="auto"/>
        <w:ind w:left="1410" w:hanging="1410"/>
        <w:rPr>
          <w:rFonts w:ascii="Arial" w:hAnsi="Arial" w:cs="Arial"/>
          <w:lang w:val="en-US"/>
        </w:rPr>
      </w:pPr>
      <w:proofErr w:type="gramStart"/>
      <w:r w:rsidRPr="0008602D">
        <w:rPr>
          <w:rFonts w:ascii="Arial" w:hAnsi="Arial" w:cs="Arial"/>
          <w:lang w:val="en-US"/>
        </w:rPr>
        <w:t>DAC or DAC+ATRA.</w:t>
      </w:r>
      <w:proofErr w:type="gramEnd"/>
      <w:r w:rsidRPr="0008602D">
        <w:rPr>
          <w:rFonts w:ascii="Arial" w:hAnsi="Arial" w:cs="Arial"/>
          <w:lang w:val="en-US"/>
        </w:rPr>
        <w:t xml:space="preserve"> </w:t>
      </w:r>
    </w:p>
    <w:p w:rsidR="00405C1A" w:rsidRPr="0008602D" w:rsidRDefault="00405C1A" w:rsidP="00405C1A">
      <w:pPr>
        <w:tabs>
          <w:tab w:val="left" w:pos="1905"/>
        </w:tabs>
        <w:spacing w:after="0" w:line="480" w:lineRule="auto"/>
        <w:ind w:left="1410" w:hanging="1410"/>
        <w:jc w:val="both"/>
        <w:rPr>
          <w:rFonts w:ascii="Arial" w:hAnsi="Arial" w:cs="Arial"/>
          <w:b/>
          <w:lang w:val="en-US"/>
        </w:rPr>
      </w:pPr>
    </w:p>
    <w:p w:rsidR="00405C1A" w:rsidRPr="0008602D" w:rsidRDefault="00405C1A" w:rsidP="00405C1A">
      <w:pPr>
        <w:tabs>
          <w:tab w:val="left" w:pos="1905"/>
        </w:tabs>
        <w:spacing w:after="0" w:line="480" w:lineRule="auto"/>
        <w:ind w:firstLine="0"/>
        <w:jc w:val="both"/>
        <w:rPr>
          <w:rFonts w:ascii="Arial" w:hAnsi="Arial" w:cs="Arial"/>
          <w:lang w:val="en-US"/>
        </w:rPr>
      </w:pPr>
      <w:r w:rsidRPr="0008602D">
        <w:rPr>
          <w:rFonts w:ascii="Arial" w:hAnsi="Arial" w:cs="Arial"/>
          <w:b/>
          <w:lang w:val="en-US"/>
        </w:rPr>
        <w:t>Suppl. Table 4: Patients expression array 1.</w:t>
      </w:r>
      <w:r w:rsidRPr="0008602D">
        <w:rPr>
          <w:rFonts w:ascii="Arial" w:hAnsi="Arial" w:cs="Arial"/>
          <w:lang w:val="en-US"/>
        </w:rPr>
        <w:t xml:space="preserve"> </w:t>
      </w:r>
      <w:proofErr w:type="gramStart"/>
      <w:r w:rsidRPr="0008602D">
        <w:rPr>
          <w:rFonts w:ascii="Arial" w:hAnsi="Arial" w:cs="Arial"/>
          <w:lang w:val="en-US"/>
        </w:rPr>
        <w:t>9 genes exhibiting induction by DAC alone, and significantly higher induction by DAC+ATRA.</w:t>
      </w:r>
      <w:proofErr w:type="gramEnd"/>
      <w:r w:rsidRPr="0008602D">
        <w:rPr>
          <w:rFonts w:ascii="Arial" w:hAnsi="Arial" w:cs="Arial"/>
          <w:lang w:val="en-US"/>
        </w:rPr>
        <w:t xml:space="preserve"> </w:t>
      </w:r>
    </w:p>
    <w:p w:rsidR="00405C1A" w:rsidRPr="0008602D" w:rsidRDefault="00405C1A" w:rsidP="00405C1A">
      <w:pPr>
        <w:tabs>
          <w:tab w:val="left" w:pos="1905"/>
        </w:tabs>
        <w:spacing w:after="0" w:line="480" w:lineRule="auto"/>
        <w:ind w:left="1410" w:hanging="1410"/>
        <w:jc w:val="both"/>
        <w:rPr>
          <w:rFonts w:ascii="Arial" w:hAnsi="Arial" w:cs="Arial"/>
          <w:b/>
          <w:lang w:val="en-US"/>
        </w:rPr>
      </w:pPr>
    </w:p>
    <w:p w:rsidR="00296007" w:rsidRPr="00405C1A" w:rsidRDefault="00405C1A" w:rsidP="00405C1A">
      <w:pPr>
        <w:spacing w:line="480" w:lineRule="auto"/>
        <w:ind w:firstLine="0"/>
        <w:jc w:val="both"/>
        <w:rPr>
          <w:rFonts w:ascii="Arial" w:hAnsi="Arial" w:cs="Arial"/>
          <w:lang w:val="en-GB"/>
        </w:rPr>
      </w:pPr>
      <w:r w:rsidRPr="0008602D">
        <w:rPr>
          <w:rFonts w:ascii="Arial" w:hAnsi="Arial" w:cs="Arial"/>
          <w:b/>
          <w:lang w:val="en-US"/>
        </w:rPr>
        <w:t xml:space="preserve">Suppl. Table 5: </w:t>
      </w:r>
      <w:r w:rsidRPr="0008602D">
        <w:rPr>
          <w:rFonts w:ascii="Arial" w:hAnsi="Arial" w:cs="Arial"/>
          <w:b/>
          <w:lang w:val="en-GB"/>
        </w:rPr>
        <w:t>Patients expression array 2</w:t>
      </w:r>
      <w:r w:rsidRPr="0008602D">
        <w:rPr>
          <w:rFonts w:ascii="Arial" w:hAnsi="Arial" w:cs="Arial"/>
          <w:b/>
          <w:lang w:val="en-US"/>
        </w:rPr>
        <w:t>.</w:t>
      </w:r>
      <w:r w:rsidRPr="0008602D">
        <w:rPr>
          <w:rFonts w:ascii="Arial" w:hAnsi="Arial" w:cs="Arial"/>
          <w:lang w:val="en-GB"/>
        </w:rPr>
        <w:t xml:space="preserve"> </w:t>
      </w:r>
      <w:proofErr w:type="gramStart"/>
      <w:r w:rsidRPr="0008602D">
        <w:rPr>
          <w:rFonts w:ascii="Arial" w:hAnsi="Arial" w:cs="Arial"/>
          <w:lang w:val="en-GB"/>
        </w:rPr>
        <w:t>60 genes in order of the strongest difference (Diff) between induction by DA</w:t>
      </w:r>
      <w:bookmarkStart w:id="0" w:name="_GoBack"/>
      <w:bookmarkEnd w:id="0"/>
      <w:r w:rsidRPr="0008602D">
        <w:rPr>
          <w:rFonts w:ascii="Arial" w:hAnsi="Arial" w:cs="Arial"/>
          <w:lang w:val="en-GB"/>
        </w:rPr>
        <w:t>C alone and downregulation by DAC+ATRA.</w:t>
      </w:r>
      <w:proofErr w:type="gramEnd"/>
    </w:p>
    <w:sectPr w:rsidR="00296007" w:rsidRPr="00405C1A" w:rsidSect="00405C1A">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C1A"/>
    <w:rsid w:val="00296007"/>
    <w:rsid w:val="00370E73"/>
    <w:rsid w:val="00405C1A"/>
    <w:rsid w:val="004970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05C1A"/>
    <w:pPr>
      <w:ind w:firstLine="709"/>
    </w:pPr>
  </w:style>
  <w:style w:type="paragraph" w:styleId="berschrift1">
    <w:name w:val="heading 1"/>
    <w:basedOn w:val="Standard"/>
    <w:next w:val="Standard"/>
    <w:link w:val="berschrift1Zchn"/>
    <w:uiPriority w:val="9"/>
    <w:qFormat/>
    <w:rsid w:val="00370E73"/>
    <w:pPr>
      <w:keepNext/>
      <w:keepLines/>
      <w:spacing w:before="480" w:after="0"/>
      <w:ind w:firstLine="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370E73"/>
    <w:pPr>
      <w:spacing w:before="100" w:beforeAutospacing="1" w:after="100" w:afterAutospacing="1" w:line="240" w:lineRule="auto"/>
      <w:ind w:firstLine="0"/>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0E73"/>
    <w:rPr>
      <w:rFonts w:asciiTheme="majorHAnsi" w:eastAsiaTheme="majorEastAsia" w:hAnsiTheme="majorHAnsi" w:cstheme="majorBidi"/>
      <w:b/>
      <w:bCs/>
      <w:color w:val="365F91" w:themeColor="accent1" w:themeShade="BF"/>
      <w:sz w:val="28"/>
      <w:szCs w:val="28"/>
    </w:rPr>
  </w:style>
  <w:style w:type="character" w:customStyle="1" w:styleId="berschrift3Zchn">
    <w:name w:val="Überschrift 3 Zchn"/>
    <w:basedOn w:val="Absatz-Standardschriftart"/>
    <w:link w:val="berschrift3"/>
    <w:uiPriority w:val="9"/>
    <w:rsid w:val="00370E73"/>
    <w:rPr>
      <w:rFonts w:ascii="Times New Roman" w:eastAsia="Times New Roman" w:hAnsi="Times New Roman" w:cs="Times New Roman"/>
      <w:b/>
      <w:bCs/>
      <w:sz w:val="27"/>
      <w:szCs w:val="27"/>
      <w:lang w:eastAsia="de-DE"/>
    </w:rPr>
  </w:style>
  <w:style w:type="paragraph" w:styleId="Beschriftung">
    <w:name w:val="caption"/>
    <w:basedOn w:val="Standard"/>
    <w:next w:val="Standard"/>
    <w:uiPriority w:val="35"/>
    <w:unhideWhenUsed/>
    <w:qFormat/>
    <w:rsid w:val="00370E73"/>
    <w:pPr>
      <w:spacing w:line="240" w:lineRule="auto"/>
      <w:ind w:firstLine="0"/>
    </w:pPr>
    <w:rPr>
      <w:rFonts w:ascii="Arial" w:hAnsi="Arial"/>
      <w:bCs/>
      <w:sz w:val="20"/>
      <w:szCs w:val="18"/>
    </w:rPr>
  </w:style>
  <w:style w:type="character" w:styleId="Fett">
    <w:name w:val="Strong"/>
    <w:basedOn w:val="Absatz-Standardschriftart"/>
    <w:uiPriority w:val="22"/>
    <w:qFormat/>
    <w:rsid w:val="00370E73"/>
    <w:rPr>
      <w:b/>
      <w:bCs/>
    </w:rPr>
  </w:style>
  <w:style w:type="character" w:styleId="Hervorhebung">
    <w:name w:val="Emphasis"/>
    <w:basedOn w:val="Absatz-Standardschriftart"/>
    <w:uiPriority w:val="20"/>
    <w:qFormat/>
    <w:rsid w:val="00370E73"/>
    <w:rPr>
      <w:i/>
      <w:iCs/>
    </w:rPr>
  </w:style>
  <w:style w:type="paragraph" w:styleId="KeinLeerraum">
    <w:name w:val="No Spacing"/>
    <w:uiPriority w:val="1"/>
    <w:qFormat/>
    <w:rsid w:val="00370E73"/>
    <w:pPr>
      <w:spacing w:after="0" w:line="240" w:lineRule="auto"/>
    </w:pPr>
  </w:style>
  <w:style w:type="paragraph" w:styleId="Listenabsatz">
    <w:name w:val="List Paragraph"/>
    <w:basedOn w:val="Standard"/>
    <w:uiPriority w:val="34"/>
    <w:qFormat/>
    <w:rsid w:val="00370E73"/>
    <w:pPr>
      <w:ind w:left="720" w:firstLine="0"/>
      <w:contextualSpacing/>
    </w:pPr>
  </w:style>
  <w:style w:type="character" w:styleId="Zeilennummer">
    <w:name w:val="line number"/>
    <w:basedOn w:val="Absatz-Standardschriftart"/>
    <w:uiPriority w:val="99"/>
    <w:semiHidden/>
    <w:unhideWhenUsed/>
    <w:rsid w:val="00405C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05C1A"/>
    <w:pPr>
      <w:ind w:firstLine="709"/>
    </w:pPr>
  </w:style>
  <w:style w:type="paragraph" w:styleId="berschrift1">
    <w:name w:val="heading 1"/>
    <w:basedOn w:val="Standard"/>
    <w:next w:val="Standard"/>
    <w:link w:val="berschrift1Zchn"/>
    <w:uiPriority w:val="9"/>
    <w:qFormat/>
    <w:rsid w:val="00370E73"/>
    <w:pPr>
      <w:keepNext/>
      <w:keepLines/>
      <w:spacing w:before="480" w:after="0"/>
      <w:ind w:firstLine="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370E73"/>
    <w:pPr>
      <w:spacing w:before="100" w:beforeAutospacing="1" w:after="100" w:afterAutospacing="1" w:line="240" w:lineRule="auto"/>
      <w:ind w:firstLine="0"/>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0E73"/>
    <w:rPr>
      <w:rFonts w:asciiTheme="majorHAnsi" w:eastAsiaTheme="majorEastAsia" w:hAnsiTheme="majorHAnsi" w:cstheme="majorBidi"/>
      <w:b/>
      <w:bCs/>
      <w:color w:val="365F91" w:themeColor="accent1" w:themeShade="BF"/>
      <w:sz w:val="28"/>
      <w:szCs w:val="28"/>
    </w:rPr>
  </w:style>
  <w:style w:type="character" w:customStyle="1" w:styleId="berschrift3Zchn">
    <w:name w:val="Überschrift 3 Zchn"/>
    <w:basedOn w:val="Absatz-Standardschriftart"/>
    <w:link w:val="berschrift3"/>
    <w:uiPriority w:val="9"/>
    <w:rsid w:val="00370E73"/>
    <w:rPr>
      <w:rFonts w:ascii="Times New Roman" w:eastAsia="Times New Roman" w:hAnsi="Times New Roman" w:cs="Times New Roman"/>
      <w:b/>
      <w:bCs/>
      <w:sz w:val="27"/>
      <w:szCs w:val="27"/>
      <w:lang w:eastAsia="de-DE"/>
    </w:rPr>
  </w:style>
  <w:style w:type="paragraph" w:styleId="Beschriftung">
    <w:name w:val="caption"/>
    <w:basedOn w:val="Standard"/>
    <w:next w:val="Standard"/>
    <w:uiPriority w:val="35"/>
    <w:unhideWhenUsed/>
    <w:qFormat/>
    <w:rsid w:val="00370E73"/>
    <w:pPr>
      <w:spacing w:line="240" w:lineRule="auto"/>
      <w:ind w:firstLine="0"/>
    </w:pPr>
    <w:rPr>
      <w:rFonts w:ascii="Arial" w:hAnsi="Arial"/>
      <w:bCs/>
      <w:sz w:val="20"/>
      <w:szCs w:val="18"/>
    </w:rPr>
  </w:style>
  <w:style w:type="character" w:styleId="Fett">
    <w:name w:val="Strong"/>
    <w:basedOn w:val="Absatz-Standardschriftart"/>
    <w:uiPriority w:val="22"/>
    <w:qFormat/>
    <w:rsid w:val="00370E73"/>
    <w:rPr>
      <w:b/>
      <w:bCs/>
    </w:rPr>
  </w:style>
  <w:style w:type="character" w:styleId="Hervorhebung">
    <w:name w:val="Emphasis"/>
    <w:basedOn w:val="Absatz-Standardschriftart"/>
    <w:uiPriority w:val="20"/>
    <w:qFormat/>
    <w:rsid w:val="00370E73"/>
    <w:rPr>
      <w:i/>
      <w:iCs/>
    </w:rPr>
  </w:style>
  <w:style w:type="paragraph" w:styleId="KeinLeerraum">
    <w:name w:val="No Spacing"/>
    <w:uiPriority w:val="1"/>
    <w:qFormat/>
    <w:rsid w:val="00370E73"/>
    <w:pPr>
      <w:spacing w:after="0" w:line="240" w:lineRule="auto"/>
    </w:pPr>
  </w:style>
  <w:style w:type="paragraph" w:styleId="Listenabsatz">
    <w:name w:val="List Paragraph"/>
    <w:basedOn w:val="Standard"/>
    <w:uiPriority w:val="34"/>
    <w:qFormat/>
    <w:rsid w:val="00370E73"/>
    <w:pPr>
      <w:ind w:left="720" w:firstLine="0"/>
      <w:contextualSpacing/>
    </w:pPr>
  </w:style>
  <w:style w:type="character" w:styleId="Zeilennummer">
    <w:name w:val="line number"/>
    <w:basedOn w:val="Absatz-Standardschriftart"/>
    <w:uiPriority w:val="99"/>
    <w:semiHidden/>
    <w:unhideWhenUsed/>
    <w:rsid w:val="0040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2165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Windows-Benutzer</dc:creator>
  <cp:lastModifiedBy>Windows-Benutzer</cp:lastModifiedBy>
  <cp:revision>2</cp:revision>
  <dcterms:created xsi:type="dcterms:W3CDTF">2022-07-28T16:24:00Z</dcterms:created>
  <dcterms:modified xsi:type="dcterms:W3CDTF">2022-07-28T16:59:00Z</dcterms:modified>
</cp:coreProperties>
</file>