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b/>
          <w:bCs/>
        </w:rPr>
      </w:pPr>
      <w:r>
        <w:rPr>
          <w:rFonts w:hint="eastAsia" w:ascii="Arial" w:hAnsi="Arial" w:cs="Arial"/>
          <w:b/>
          <w:bCs/>
        </w:rPr>
        <w:t>Supplementary Table 1. Baseline characteristics of patients</w:t>
      </w:r>
    </w:p>
    <w:tbl>
      <w:tblPr>
        <w:tblStyle w:val="5"/>
        <w:tblW w:w="1061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4"/>
        <w:gridCol w:w="1457"/>
        <w:gridCol w:w="1457"/>
        <w:gridCol w:w="1510"/>
        <w:gridCol w:w="1510"/>
        <w:gridCol w:w="133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Characteristic</w:t>
            </w:r>
          </w:p>
        </w:tc>
        <w:tc>
          <w:tcPr>
            <w:tcW w:w="1457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All patients</w:t>
            </w:r>
          </w:p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szCs w:val="24"/>
                <w:lang w:val="en-US" w:eastAsia="zh-CN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n=2</w:t>
            </w: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19</w:t>
            </w:r>
          </w:p>
        </w:tc>
        <w:tc>
          <w:tcPr>
            <w:tcW w:w="1457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Single</w:t>
            </w:r>
          </w:p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CD19</w:t>
            </w:r>
          </w:p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n=1</w:t>
            </w: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47</w:t>
            </w:r>
          </w:p>
        </w:tc>
        <w:tc>
          <w:tcPr>
            <w:tcW w:w="1510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Tandem CD19/CD22</w:t>
            </w:r>
          </w:p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n=</w:t>
            </w: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51</w:t>
            </w:r>
          </w:p>
        </w:tc>
        <w:tc>
          <w:tcPr>
            <w:tcW w:w="1510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Sequential CD19/CD22</w:t>
            </w:r>
          </w:p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n=</w:t>
            </w: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21</w:t>
            </w:r>
          </w:p>
        </w:tc>
        <w:tc>
          <w:tcPr>
            <w:tcW w:w="1338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 value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 (%)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n/N (%)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n/N (%)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n/N (%)</w:t>
            </w:r>
          </w:p>
        </w:tc>
        <w:tc>
          <w:tcPr>
            <w:tcW w:w="1338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Gender </w:t>
            </w:r>
          </w:p>
        </w:tc>
        <w:tc>
          <w:tcPr>
            <w:tcW w:w="1457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57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510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10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338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0.184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Male 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106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48.4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46.3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58.8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38.1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Female 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113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51.6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53.7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41.2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61.9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Age (y)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0.456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≤14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13.7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ascii="Arial" w:hAnsi="Arial" w:cs="Arial"/>
                <w:szCs w:val="24"/>
              </w:rPr>
              <w:t>1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5-34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107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48.9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46.9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51.0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57.1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ascii="Arial" w:hAnsi="Arial" w:cs="Arial"/>
                <w:szCs w:val="24"/>
              </w:rPr>
              <w:t>≥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35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42.0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45.6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35.3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33.3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Disease status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0.525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eastAsia="宋体" w:cs="Arial"/>
                <w:szCs w:val="24"/>
                <w:lang w:val="en-US" w:eastAsia="zh-CN"/>
              </w:rPr>
            </w:pPr>
            <w:r>
              <w:rPr>
                <w:rFonts w:ascii="Arial" w:hAnsi="Arial" w:cs="Arial"/>
                <w:szCs w:val="24"/>
              </w:rPr>
              <w:t>Refractory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22.8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21.8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29.4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14.3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First relapse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120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54.8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54.4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54.9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57.1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Second or more relapse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22.4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23.8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15.7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28.6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Course of prior therapy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0.211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≤3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101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46.1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49.0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45.1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28.6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≥4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118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53.9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51.0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54.9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71.4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Prior allo-HSCT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0.570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Yes 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21.0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21.1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17.6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28.6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No 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173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79.0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116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78.9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82.4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71.4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EMD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0.285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CNSL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Other EMD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11.8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Negative 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199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90.9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133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90.5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88.2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BM blasts by morphology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0.562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&lt;5%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41.1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64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43.5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37.3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33.3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5-20%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18.3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19.0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13.7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23.8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≥20%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40.6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37.4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49.0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42.9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Complex karyotype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0.223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Yes 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8.2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11.8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19.0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No 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197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135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91.8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88.2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81.0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Fusion gene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i/>
                <w:iCs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BCR-ABL1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64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29.2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32.7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31.4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lang w:val="en-US" w:eastAsia="zh-CN"/>
              </w:rPr>
              <w:t>0.008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Ph-like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4.6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Cs w:val="24"/>
                <w:lang w:val="en-US" w:eastAsia="zh-CN"/>
              </w:rPr>
              <w:t>0.091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KMT2A</w:t>
            </w:r>
            <w:r>
              <w:rPr>
                <w:rFonts w:ascii="Arial" w:hAnsi="Arial" w:cs="Arial"/>
                <w:szCs w:val="24"/>
              </w:rPr>
              <w:t xml:space="preserve"> rearrange</w:t>
            </w:r>
            <w:r>
              <w:rPr>
                <w:rFonts w:hint="eastAsia" w:ascii="Arial" w:hAnsi="Arial" w:cs="Arial"/>
                <w:szCs w:val="24"/>
              </w:rPr>
              <w:t>ment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0.347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Other fusion genes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0.308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Negative 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121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55.3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54.4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49.0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76.2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0.102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Gene mutation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T315I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13.7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17.0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0.061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i/>
                <w:iCs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TP53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13.7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0.125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44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i/>
                <w:iCs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i/>
                <w:iCs/>
                <w:szCs w:val="24"/>
                <w:lang w:val="en-US" w:eastAsia="zh-CN"/>
              </w:rPr>
              <w:t>IKZF1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510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0.383</w:t>
            </w:r>
          </w:p>
        </w:tc>
      </w:tr>
    </w:tbl>
    <w:p>
      <w:r>
        <w:br w:type="page"/>
      </w:r>
    </w:p>
    <w:p>
      <w:pPr>
        <w:widowControl/>
        <w:jc w:val="center"/>
        <w:rPr>
          <w:rFonts w:ascii="Arial" w:hAnsi="Arial" w:cs="Arial"/>
          <w:b/>
          <w:bCs/>
          <w:szCs w:val="24"/>
        </w:rPr>
      </w:pPr>
      <w:r>
        <w:rPr>
          <w:rFonts w:hint="eastAsia" w:ascii="Arial" w:hAnsi="Arial" w:cs="Arial"/>
          <w:b/>
          <w:bCs/>
        </w:rPr>
        <w:t xml:space="preserve">Supplementary </w:t>
      </w:r>
      <w:r>
        <w:rPr>
          <w:rFonts w:hint="eastAsia" w:ascii="Arial" w:hAnsi="Arial" w:cs="Arial"/>
          <w:b/>
          <w:bCs/>
          <w:szCs w:val="24"/>
        </w:rPr>
        <w:t xml:space="preserve">Table </w:t>
      </w:r>
      <w:r>
        <w:rPr>
          <w:rFonts w:hint="eastAsia" w:ascii="Arial" w:hAnsi="Arial" w:cs="Arial"/>
          <w:b/>
          <w:bCs/>
          <w:szCs w:val="24"/>
          <w:lang w:val="en-US" w:eastAsia="zh-CN"/>
        </w:rPr>
        <w:t>2</w:t>
      </w:r>
      <w:r>
        <w:rPr>
          <w:rFonts w:hint="eastAsia" w:ascii="Arial" w:hAnsi="Arial" w:cs="Arial"/>
          <w:b/>
          <w:bCs/>
          <w:szCs w:val="24"/>
        </w:rPr>
        <w:t xml:space="preserve">. Subgroup analysis of </w:t>
      </w:r>
      <w:r>
        <w:rPr>
          <w:rFonts w:hint="eastAsia" w:ascii="Arial" w:hAnsi="Arial" w:cs="Arial"/>
          <w:b/>
          <w:bCs/>
          <w:szCs w:val="24"/>
          <w:lang w:val="en-US" w:eastAsia="zh-CN"/>
        </w:rPr>
        <w:t xml:space="preserve">MRD-negative </w:t>
      </w:r>
      <w:r>
        <w:rPr>
          <w:rFonts w:hint="eastAsia" w:ascii="Arial" w:hAnsi="Arial" w:cs="Arial"/>
          <w:b/>
          <w:bCs/>
          <w:szCs w:val="24"/>
        </w:rPr>
        <w:t>CR rate</w:t>
      </w:r>
    </w:p>
    <w:tbl>
      <w:tblPr>
        <w:tblStyle w:val="5"/>
        <w:tblW w:w="992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4"/>
        <w:gridCol w:w="1877"/>
        <w:gridCol w:w="1877"/>
        <w:gridCol w:w="1657"/>
        <w:gridCol w:w="11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vMerge w:val="restart"/>
            <w:tcBorders>
              <w:top w:val="single" w:color="000000" w:sz="8" w:space="0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Characteristic</w:t>
            </w:r>
          </w:p>
        </w:tc>
        <w:tc>
          <w:tcPr>
            <w:tcW w:w="1877" w:type="dxa"/>
            <w:tcBorders>
              <w:top w:val="single" w:color="000000" w:sz="8" w:space="0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Single</w:t>
            </w:r>
          </w:p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CD19</w:t>
            </w:r>
          </w:p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n=1</w:t>
            </w: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47</w:t>
            </w:r>
          </w:p>
        </w:tc>
        <w:tc>
          <w:tcPr>
            <w:tcW w:w="1877" w:type="dxa"/>
            <w:tcBorders>
              <w:top w:val="single" w:color="000000" w:sz="8" w:space="0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Tandem CD19/CD22</w:t>
            </w:r>
          </w:p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n=</w:t>
            </w: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51</w:t>
            </w:r>
          </w:p>
        </w:tc>
        <w:tc>
          <w:tcPr>
            <w:tcW w:w="1657" w:type="dxa"/>
            <w:tcBorders>
              <w:top w:val="single" w:color="000000" w:sz="8" w:space="0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Sequential CD19/CD22</w:t>
            </w:r>
          </w:p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n=</w:t>
            </w: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21</w:t>
            </w:r>
          </w:p>
        </w:tc>
        <w:tc>
          <w:tcPr>
            <w:tcW w:w="1119" w:type="dxa"/>
            <w:vMerge w:val="restart"/>
            <w:tcBorders>
              <w:top w:val="single" w:color="000000" w:sz="8" w:space="0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vMerge w:val="continue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7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n/N (%)</w:t>
            </w:r>
          </w:p>
        </w:tc>
        <w:tc>
          <w:tcPr>
            <w:tcW w:w="187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n/N (%)</w:t>
            </w:r>
          </w:p>
        </w:tc>
        <w:tc>
          <w:tcPr>
            <w:tcW w:w="165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n/N (%)</w:t>
            </w:r>
          </w:p>
        </w:tc>
        <w:tc>
          <w:tcPr>
            <w:tcW w:w="1119" w:type="dxa"/>
            <w:vMerge w:val="continue"/>
            <w:tcBorders>
              <w:bottom w:val="single" w:color="000000" w:sz="8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Gender </w:t>
            </w:r>
          </w:p>
        </w:tc>
        <w:tc>
          <w:tcPr>
            <w:tcW w:w="1877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877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57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119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Male 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44/68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64.7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26/30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86.7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5/8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62.5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 w:val="0"/>
                <w:bCs w:val="0"/>
                <w:i w:val="0"/>
                <w:iCs w:val="0"/>
                <w:szCs w:val="24"/>
                <w:lang w:val="en-US" w:eastAsia="zh-CN"/>
              </w:rPr>
              <w:t>0.054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Female 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52/79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65.8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18/21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85.7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11/13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84.6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Age (y)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≤14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9/11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81.8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6/7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85.7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2/2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ascii="Arial" w:hAnsi="Arial" w:cs="Arial"/>
                <w:szCs w:val="24"/>
              </w:rPr>
              <w:t>1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5-34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49/69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71.0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20/26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76.9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9/12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75.0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0.897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ascii="Arial" w:hAnsi="Arial" w:cs="Arial"/>
                <w:szCs w:val="24"/>
              </w:rPr>
              <w:t>≥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35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38/67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56.7</w:t>
            </w:r>
            <w:r>
              <w:rPr>
                <w:rFonts w:ascii="Arial" w:hAnsi="Arial" w:cs="Arial"/>
                <w:szCs w:val="24"/>
              </w:rPr>
              <w:t>%)</w:t>
            </w:r>
            <w:r>
              <w:rPr>
                <w:rFonts w:hint="eastAsia" w:ascii="Arial" w:hAnsi="Arial" w:cs="Arial"/>
                <w:szCs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18/18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</w:rPr>
              <w:t>%)</w:t>
            </w:r>
            <w:r>
              <w:rPr>
                <w:rFonts w:hint="eastAsia" w:ascii="Arial" w:hAnsi="Arial" w:cs="Arial"/>
                <w:szCs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5/7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71.4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Disease status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eastAsia="宋体" w:cs="Arial"/>
                <w:szCs w:val="24"/>
                <w:lang w:val="en-US" w:eastAsia="zh-CN"/>
              </w:rPr>
            </w:pPr>
            <w:r>
              <w:rPr>
                <w:rFonts w:ascii="Arial" w:hAnsi="Arial" w:cs="Arial"/>
                <w:szCs w:val="24"/>
              </w:rPr>
              <w:t>Refractory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20/32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62.5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13/15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86.7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3/3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0.164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First relapse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55/80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68.8</w:t>
            </w:r>
            <w:r>
              <w:rPr>
                <w:rFonts w:ascii="Arial" w:hAnsi="Arial" w:cs="Arial"/>
                <w:szCs w:val="24"/>
              </w:rPr>
              <w:t>%)</w:t>
            </w:r>
            <w:r>
              <w:rPr>
                <w:rFonts w:hint="eastAsia" w:ascii="Arial" w:hAnsi="Arial" w:cs="Arial"/>
                <w:szCs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26/28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92.9</w:t>
            </w:r>
            <w:r>
              <w:rPr>
                <w:rFonts w:ascii="Arial" w:hAnsi="Arial" w:cs="Arial"/>
                <w:szCs w:val="24"/>
              </w:rPr>
              <w:t>%)</w:t>
            </w:r>
            <w:r>
              <w:rPr>
                <w:rFonts w:hint="eastAsia" w:ascii="Arial" w:hAnsi="Arial" w:cs="Arial"/>
                <w:szCs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9/12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75.0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lang w:val="en-US" w:eastAsia="zh-CN"/>
              </w:rPr>
              <w:t>0.029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Second or more relapse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21/35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5/8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62.5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4/6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66.7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Course of prior therapy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≤3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46/72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63.9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20/23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87.0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5/6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83.3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≥4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50/75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66.7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24/28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85.7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11/15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73.3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Prior allo-HSCT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Yes 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20/31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64.5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8/9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88.9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5/6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83.3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No 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76/116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65.5</w:t>
            </w:r>
            <w:r>
              <w:rPr>
                <w:rFonts w:ascii="Arial" w:hAnsi="Arial" w:cs="Arial"/>
                <w:szCs w:val="24"/>
              </w:rPr>
              <w:t>%)</w:t>
            </w:r>
            <w:r>
              <w:rPr>
                <w:rFonts w:hint="eastAsia" w:ascii="Arial" w:hAnsi="Arial" w:cs="Arial"/>
                <w:szCs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36/42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85.7</w:t>
            </w:r>
            <w:r>
              <w:rPr>
                <w:rFonts w:ascii="Arial" w:hAnsi="Arial" w:cs="Arial"/>
                <w:szCs w:val="24"/>
              </w:rPr>
              <w:t>%)</w:t>
            </w:r>
            <w:r>
              <w:rPr>
                <w:rFonts w:hint="eastAsia" w:ascii="Arial" w:hAnsi="Arial" w:cs="Arial"/>
                <w:szCs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11/15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73.3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lang w:val="en-US" w:eastAsia="zh-CN"/>
              </w:rPr>
              <w:t>0.041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EMD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CNSL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2/5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0/0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0/0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Other EMD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2/9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22.2</w:t>
            </w:r>
            <w:r>
              <w:rPr>
                <w:rFonts w:ascii="Arial" w:hAnsi="Arial" w:cs="Arial"/>
                <w:szCs w:val="24"/>
              </w:rPr>
              <w:t>%)</w:t>
            </w:r>
            <w:r>
              <w:rPr>
                <w:rFonts w:hint="eastAsia" w:ascii="Arial" w:hAnsi="Arial" w:cs="Arial"/>
                <w:szCs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5/6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83.3</w:t>
            </w:r>
            <w:r>
              <w:rPr>
                <w:rFonts w:ascii="Arial" w:hAnsi="Arial" w:cs="Arial"/>
                <w:szCs w:val="24"/>
              </w:rPr>
              <w:t>%)</w:t>
            </w:r>
            <w:r>
              <w:rPr>
                <w:rFonts w:hint="eastAsia" w:ascii="Arial" w:hAnsi="Arial" w:cs="Arial"/>
                <w:szCs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0/0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lang w:val="en-US" w:eastAsia="zh-CN"/>
              </w:rPr>
              <w:t>0.041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Negative 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92/133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69.2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39/45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86.7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16/21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76.2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0.067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BM blasts by morphology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&lt;5%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41/64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64.1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17/19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89.5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4/7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57.1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0.062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5-20%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19/28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67.9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5/7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71.4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5/5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0.463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≥20%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36/55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65.5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22/25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88.0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7/9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77.8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0.092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Complex karyotype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Yes 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8/12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66.7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5/6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83.3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2/4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0.598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No 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88/135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65.2</w:t>
            </w:r>
            <w:r>
              <w:rPr>
                <w:rFonts w:ascii="Arial" w:hAnsi="Arial" w:cs="Arial"/>
                <w:szCs w:val="24"/>
              </w:rPr>
              <w:t>%)</w:t>
            </w:r>
            <w:r>
              <w:rPr>
                <w:rFonts w:hint="eastAsia" w:ascii="Arial" w:hAnsi="Arial" w:cs="Arial"/>
                <w:szCs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39/45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86.7</w:t>
            </w:r>
            <w:r>
              <w:rPr>
                <w:rFonts w:ascii="Arial" w:hAnsi="Arial" w:cs="Arial"/>
                <w:szCs w:val="24"/>
              </w:rPr>
              <w:t>%)</w:t>
            </w:r>
            <w:r>
              <w:rPr>
                <w:rFonts w:hint="eastAsia" w:ascii="Arial" w:hAnsi="Arial" w:cs="Arial"/>
                <w:szCs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14/17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82.4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lang w:val="en-US" w:eastAsia="zh-CN"/>
              </w:rPr>
              <w:t>0.012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Fusion gene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i/>
                <w:iCs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BCR-ABL1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29/48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60.4</w:t>
            </w:r>
            <w:r>
              <w:rPr>
                <w:rFonts w:ascii="Arial" w:hAnsi="Arial" w:cs="Arial"/>
                <w:szCs w:val="24"/>
              </w:rPr>
              <w:t>%)</w:t>
            </w:r>
            <w:r>
              <w:rPr>
                <w:rFonts w:hint="eastAsia" w:ascii="Arial" w:hAnsi="Arial" w:cs="Arial"/>
                <w:szCs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16/16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</w:rPr>
              <w:t>%)</w:t>
            </w:r>
            <w:r>
              <w:rPr>
                <w:rFonts w:hint="eastAsia" w:ascii="Arial" w:hAnsi="Arial" w:cs="Arial"/>
                <w:szCs w:val="24"/>
                <w:vertAlign w:val="superscript"/>
                <w:lang w:val="en-US" w:eastAsia="zh-CN"/>
              </w:rPr>
              <w:t>#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0/0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lang w:val="en-US" w:eastAsia="zh-CN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i w:val="0"/>
                <w:iCs w:val="0"/>
                <w:szCs w:val="24"/>
              </w:rPr>
              <w:t>Ph</w:t>
            </w:r>
            <w:r>
              <w:rPr>
                <w:rFonts w:ascii="Arial" w:hAnsi="Arial" w:cs="Arial"/>
                <w:szCs w:val="24"/>
              </w:rPr>
              <w:t>-like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4/4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3/5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1/1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Cs w:val="24"/>
                <w:lang w:val="en-US" w:eastAsia="zh-CN"/>
              </w:rPr>
              <w:t>0.556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KMT2A</w:t>
            </w:r>
            <w:r>
              <w:rPr>
                <w:rFonts w:ascii="Arial" w:hAnsi="Arial" w:cs="Arial"/>
                <w:szCs w:val="24"/>
              </w:rPr>
              <w:t xml:space="preserve"> rearrange</w:t>
            </w:r>
            <w:r>
              <w:rPr>
                <w:rFonts w:hint="eastAsia" w:ascii="Arial" w:hAnsi="Arial" w:cs="Arial"/>
                <w:szCs w:val="24"/>
              </w:rPr>
              <w:t>ment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6/9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66.7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1/1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2/2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Other fusion genes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4/6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66.7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4/4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1/2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0.345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Negative 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53/80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66.3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20/25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80.0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12/16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75.0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0.401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Gene mutation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T315I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14/25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56.0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5/5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0/0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i/>
                <w:iCs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TP53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5/8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62.5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7/7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657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1/2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94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i/>
                <w:iCs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i/>
                <w:iCs/>
                <w:szCs w:val="24"/>
                <w:lang w:val="en-US" w:eastAsia="zh-CN"/>
              </w:rPr>
              <w:t>IKZF1</w:t>
            </w:r>
          </w:p>
        </w:tc>
        <w:tc>
          <w:tcPr>
            <w:tcW w:w="187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1/2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87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0/0</w:t>
            </w:r>
          </w:p>
        </w:tc>
        <w:tc>
          <w:tcPr>
            <w:tcW w:w="1657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0/1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19" w:type="dxa"/>
            <w:tcBorders>
              <w:bottom w:val="single" w:color="000000" w:sz="8" w:space="0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1.000</w:t>
            </w:r>
          </w:p>
        </w:tc>
      </w:tr>
    </w:tbl>
    <w:p>
      <w:pPr>
        <w:ind w:leftChars="200"/>
        <w:rPr>
          <w:rFonts w:hint="eastAsia" w:ascii="Arial" w:hAnsi="Arial" w:cs="Arial"/>
          <w:b/>
          <w:bCs/>
          <w:szCs w:val="24"/>
        </w:rPr>
      </w:pPr>
      <w:r>
        <w:rPr>
          <w:rFonts w:hint="eastAsia" w:ascii="Arial" w:hAnsi="Arial" w:cs="Arial"/>
          <w:b w:val="0"/>
          <w:bCs w:val="0"/>
          <w:lang w:val="en-US" w:eastAsia="zh-CN"/>
        </w:rPr>
        <w:t xml:space="preserve"># </w:t>
      </w:r>
      <w:r>
        <w:rPr>
          <w:rFonts w:hint="eastAsia" w:ascii="Arial" w:hAnsi="Arial" w:cs="Arial"/>
          <w:b w:val="0"/>
          <w:bCs w:val="0"/>
        </w:rPr>
        <w:t xml:space="preserve">Statistically significant difference between the </w:t>
      </w:r>
      <w:r>
        <w:rPr>
          <w:rFonts w:hint="eastAsia" w:ascii="Arial" w:hAnsi="Arial" w:cs="Arial"/>
          <w:b w:val="0"/>
          <w:bCs w:val="0"/>
          <w:lang w:val="en-US" w:eastAsia="zh-CN"/>
        </w:rPr>
        <w:t>two</w:t>
      </w:r>
      <w:r>
        <w:rPr>
          <w:rFonts w:hint="eastAsia" w:ascii="Arial" w:hAnsi="Arial" w:cs="Arial"/>
          <w:b w:val="0"/>
          <w:bCs w:val="0"/>
        </w:rPr>
        <w:t xml:space="preserve"> groups.</w:t>
      </w:r>
    </w:p>
    <w:p>
      <w:r>
        <w:br w:type="page"/>
      </w:r>
    </w:p>
    <w:p>
      <w:pPr>
        <w:widowControl/>
        <w:jc w:val="center"/>
        <w:rPr>
          <w:rFonts w:ascii="Arial" w:hAnsi="Arial" w:cs="Arial"/>
          <w:b/>
          <w:bCs/>
          <w:szCs w:val="24"/>
        </w:rPr>
      </w:pPr>
      <w:r>
        <w:rPr>
          <w:rFonts w:hint="eastAsia" w:ascii="Arial" w:hAnsi="Arial" w:cs="Arial"/>
          <w:b/>
          <w:bCs/>
          <w:szCs w:val="24"/>
        </w:rPr>
        <w:t>Supplementary Ta</w:t>
      </w:r>
      <w:r>
        <w:rPr>
          <w:rFonts w:hint="eastAsia" w:ascii="Arial" w:hAnsi="Arial" w:cs="Arial"/>
          <w:b/>
          <w:bCs/>
          <w:szCs w:val="24"/>
          <w:lang w:val="en-US" w:eastAsia="zh-CN"/>
        </w:rPr>
        <w:t>b</w:t>
      </w:r>
      <w:r>
        <w:rPr>
          <w:rFonts w:hint="eastAsia" w:ascii="Arial" w:hAnsi="Arial" w:cs="Arial"/>
          <w:b/>
          <w:bCs/>
          <w:szCs w:val="24"/>
        </w:rPr>
        <w:t xml:space="preserve">le </w:t>
      </w:r>
      <w:r>
        <w:rPr>
          <w:rFonts w:hint="eastAsia" w:ascii="Arial" w:hAnsi="Arial" w:cs="Arial"/>
          <w:b/>
          <w:bCs/>
          <w:szCs w:val="24"/>
          <w:lang w:val="en-US" w:eastAsia="zh-CN"/>
        </w:rPr>
        <w:t>3</w:t>
      </w:r>
      <w:r>
        <w:rPr>
          <w:rFonts w:hint="eastAsia" w:ascii="Arial" w:hAnsi="Arial" w:cs="Arial"/>
          <w:b/>
          <w:bCs/>
          <w:szCs w:val="24"/>
        </w:rPr>
        <w:t>. Univariate analysis for CR rate</w:t>
      </w:r>
    </w:p>
    <w:tbl>
      <w:tblPr>
        <w:tblStyle w:val="5"/>
        <w:tblW w:w="9243" w:type="dxa"/>
        <w:jc w:val="center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0"/>
        <w:gridCol w:w="1924"/>
        <w:gridCol w:w="1195"/>
        <w:gridCol w:w="2874"/>
      </w:tblGrid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3250" w:type="dxa"/>
            <w:tcBorders>
              <w:bottom w:val="single" w:color="000000" w:sz="8" w:space="0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hint="eastAsia" w:ascii="Arial" w:hAnsi="Arial" w:cs="Arial"/>
                <w:b/>
                <w:bCs/>
                <w:szCs w:val="24"/>
              </w:rPr>
              <w:t>Characteristic</w:t>
            </w:r>
          </w:p>
        </w:tc>
        <w:tc>
          <w:tcPr>
            <w:tcW w:w="1924" w:type="dxa"/>
            <w:tcBorders>
              <w:bottom w:val="single" w:color="000000" w:sz="8" w:space="0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hint="eastAsia" w:ascii="Arial" w:hAnsi="Arial" w:cs="Arial"/>
                <w:b/>
                <w:bCs/>
                <w:szCs w:val="24"/>
              </w:rPr>
              <w:t>CR rate</w:t>
            </w:r>
          </w:p>
        </w:tc>
        <w:tc>
          <w:tcPr>
            <w:tcW w:w="1195" w:type="dxa"/>
            <w:tcBorders>
              <w:bottom w:val="single" w:color="000000" w:sz="8" w:space="0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 value</w:t>
            </w:r>
          </w:p>
        </w:tc>
        <w:tc>
          <w:tcPr>
            <w:tcW w:w="2874" w:type="dxa"/>
            <w:tcBorders>
              <w:bottom w:val="single" w:color="000000" w:sz="8" w:space="0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Exp(B)(95%CI)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Gender </w:t>
            </w:r>
          </w:p>
        </w:tc>
        <w:tc>
          <w:tcPr>
            <w:tcW w:w="1924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op w:val="single" w:color="000000" w:sz="8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Male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90/106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84.9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Female 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102/113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90.3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0.231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0.607(0.268-1.375)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Age (y)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0.605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≤14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19/20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95.0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15-34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93/107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86.9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0.324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2.860(0.355-23.076)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≥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35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80/92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87.0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0.328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2.850(0.349-23.283)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Disease status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highlight w:val="none"/>
                <w:lang w:val="en-US" w:eastAsia="zh-CN"/>
              </w:rPr>
              <w:t>0.031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R</w:t>
            </w:r>
            <w:r>
              <w:rPr>
                <w:rFonts w:ascii="Arial" w:hAnsi="Arial" w:cs="Arial"/>
                <w:szCs w:val="24"/>
              </w:rPr>
              <w:t>efractory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48/50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96.0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szCs w:val="24"/>
              </w:rPr>
              <w:t>First relapse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106/120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88.3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0.137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3.170(0.693-14.498)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szCs w:val="24"/>
              </w:rPr>
              <w:t xml:space="preserve">Second </w:t>
            </w:r>
            <w:r>
              <w:rPr>
                <w:rFonts w:ascii="Arial" w:hAnsi="Arial" w:cs="Arial"/>
                <w:szCs w:val="24"/>
              </w:rPr>
              <w:t>or more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Cs w:val="24"/>
              </w:rPr>
              <w:t>relapse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38/49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77.6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highlight w:val="none"/>
                <w:lang w:val="en-US" w:eastAsia="zh-CN"/>
              </w:rPr>
              <w:t>0.015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6.947(1.452-33.247)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Course of prior therapy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≤3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91/101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90.1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≥4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101/118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85.6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0.315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1.532(0.667-3.516)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Prior allo-HSCT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Yes 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38/46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82.6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0.244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1.706(0.694-4.193)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No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154/173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89.0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EMD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lang w:val="en-US" w:eastAsia="zh-CN"/>
              </w:rPr>
              <w:t>&lt;0.001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CNSL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2/5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0.003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16.059(2.508-102.844)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Other EMD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8/15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53.3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lang w:val="en-US" w:eastAsia="zh-CN"/>
              </w:rPr>
              <w:t>&lt;0.001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9.368(3.027-28.988)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Negative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182/199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91.5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BM blasts by morphology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  <w:t>0.439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&lt;5%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82/90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91.1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5-20%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34/40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85.0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  <w:t>0.305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1.809(0.583-5.508)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≥20%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76/89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85.4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  <w:t>0.239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1.753(0.689-4.463)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Complex karyotype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Yes 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19/22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86.4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0.844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1.138(0.313-4.136)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No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173/197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87.8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Fusion gene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0.983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i/>
                <w:iCs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BCR-ABL1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56/64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87.5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0.889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0.938(0.378-2.326)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Ph-like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10/10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100.0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0.999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KMT2A</w:t>
            </w:r>
            <w:r>
              <w:rPr>
                <w:rFonts w:ascii="Arial" w:hAnsi="Arial" w:cs="Arial"/>
                <w:szCs w:val="24"/>
              </w:rPr>
              <w:t xml:space="preserve"> rearranged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11/12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91.7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0.632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0.597（0.072-4.939）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Other fusion genes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10/12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83.3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0.740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1.313（0.263-6.545）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Negative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105/121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86.8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b/>
                <w:bCs/>
                <w:szCs w:val="24"/>
              </w:rPr>
              <w:t>Gene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mutation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T315I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26/30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86.7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0.857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1.110(0.355-3.470)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hint="eastAsia" w:ascii="Arial" w:hAnsi="Arial" w:cs="Arial"/>
                <w:i/>
                <w:iCs/>
                <w:szCs w:val="24"/>
              </w:rPr>
              <w:t>TP53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14/17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82.4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0.491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1.589(0.426-5.836)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3250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i/>
                <w:iCs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i/>
                <w:iCs/>
                <w:szCs w:val="24"/>
                <w:lang w:val="en-US" w:eastAsia="zh-CN"/>
              </w:rPr>
              <w:t>IKZF1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2/3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66.7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0.297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3.654(0.320-41.720)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rPr>
                <w:rFonts w:ascii="Arial" w:hAnsi="Arial" w:cs="Arial"/>
                <w:i/>
                <w:iCs/>
                <w:szCs w:val="24"/>
              </w:rPr>
            </w:pPr>
            <w:r>
              <w:rPr>
                <w:rFonts w:hint="eastAsia" w:ascii="Arial" w:hAnsi="Arial" w:cs="Arial"/>
                <w:b/>
                <w:bCs/>
                <w:szCs w:val="24"/>
              </w:rPr>
              <w:t xml:space="preserve">Target 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0.036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</w:rPr>
              <w:t>Single CD19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122/147(83.0%)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</w:rPr>
              <w:t>Tandem CD19/CD22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50/51(98.0%)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0.024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0.098(0.013-0.740)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</w:rPr>
              <w:t>Sequential CD19/CD22</w:t>
            </w:r>
          </w:p>
        </w:tc>
        <w:tc>
          <w:tcPr>
            <w:tcW w:w="192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20/21(95.2%)</w:t>
            </w:r>
          </w:p>
        </w:tc>
        <w:tc>
          <w:tcPr>
            <w:tcW w:w="119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0.178</w:t>
            </w:r>
          </w:p>
        </w:tc>
        <w:tc>
          <w:tcPr>
            <w:tcW w:w="287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0.244(0.031-1.903)</w:t>
            </w:r>
          </w:p>
        </w:tc>
      </w:tr>
    </w:tbl>
    <w:p>
      <w:pPr>
        <w:widowControl/>
        <w:ind w:leftChars="300"/>
        <w:jc w:val="left"/>
        <w:rPr>
          <w:rFonts w:hint="default" w:ascii="Arial" w:hAnsi="Arial" w:cs="Arial"/>
          <w:szCs w:val="24"/>
          <w:lang w:val="en-US" w:eastAsia="zh-CN"/>
        </w:rPr>
      </w:pPr>
      <w:r>
        <w:rPr>
          <w:rFonts w:hint="eastAsia" w:ascii="Arial" w:hAnsi="Arial" w:cs="Arial"/>
          <w:szCs w:val="24"/>
          <w:lang w:val="en-US" w:eastAsia="zh-CN"/>
        </w:rPr>
        <w:t>* Control group</w:t>
      </w:r>
    </w:p>
    <w:p>
      <w:pPr>
        <w:jc w:val="center"/>
        <w:rPr>
          <w:rFonts w:ascii="Arial" w:hAnsi="Arial" w:cs="Arial"/>
          <w:b/>
          <w:bCs/>
          <w:szCs w:val="24"/>
        </w:rPr>
      </w:pPr>
      <w:r>
        <w:rPr>
          <w:rFonts w:hint="eastAsia" w:ascii="Arial" w:hAnsi="Arial" w:cs="Arial"/>
          <w:b/>
          <w:bCs/>
          <w:szCs w:val="24"/>
        </w:rPr>
        <w:t>Supplementary Ta</w:t>
      </w:r>
      <w:r>
        <w:rPr>
          <w:rFonts w:hint="eastAsia" w:ascii="Arial" w:hAnsi="Arial" w:cs="Arial"/>
          <w:b/>
          <w:bCs/>
          <w:szCs w:val="24"/>
          <w:lang w:val="en-US" w:eastAsia="zh-CN"/>
        </w:rPr>
        <w:t>b</w:t>
      </w:r>
      <w:r>
        <w:rPr>
          <w:rFonts w:hint="eastAsia" w:ascii="Arial" w:hAnsi="Arial" w:cs="Arial"/>
          <w:b/>
          <w:bCs/>
          <w:szCs w:val="24"/>
        </w:rPr>
        <w:t xml:space="preserve">le </w:t>
      </w:r>
      <w:r>
        <w:rPr>
          <w:rFonts w:hint="eastAsia" w:ascii="Arial" w:hAnsi="Arial" w:cs="Arial"/>
          <w:b/>
          <w:bCs/>
          <w:szCs w:val="24"/>
          <w:lang w:val="en-US" w:eastAsia="zh-CN"/>
        </w:rPr>
        <w:t>4</w:t>
      </w:r>
      <w:r>
        <w:rPr>
          <w:rFonts w:hint="eastAsia" w:ascii="Arial" w:hAnsi="Arial" w:cs="Arial"/>
          <w:b/>
          <w:bCs/>
          <w:szCs w:val="24"/>
        </w:rPr>
        <w:t xml:space="preserve">. Univariate analysis for </w:t>
      </w:r>
      <w:r>
        <w:rPr>
          <w:rFonts w:hint="eastAsia" w:ascii="Arial" w:hAnsi="Arial" w:cs="Arial"/>
          <w:b/>
          <w:bCs/>
          <w:szCs w:val="24"/>
          <w:lang w:val="en-US" w:eastAsia="zh-CN"/>
        </w:rPr>
        <w:t xml:space="preserve">MRD-negative </w:t>
      </w:r>
      <w:r>
        <w:rPr>
          <w:rFonts w:hint="eastAsia" w:ascii="Arial" w:hAnsi="Arial" w:cs="Arial"/>
          <w:b/>
          <w:bCs/>
          <w:szCs w:val="24"/>
        </w:rPr>
        <w:t>CR rate</w:t>
      </w:r>
    </w:p>
    <w:tbl>
      <w:tblPr>
        <w:tblStyle w:val="5"/>
        <w:tblW w:w="924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50"/>
        <w:gridCol w:w="1924"/>
        <w:gridCol w:w="1195"/>
        <w:gridCol w:w="287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hint="eastAsia" w:ascii="Arial" w:hAnsi="Arial" w:cs="Arial"/>
                <w:b/>
                <w:bCs/>
                <w:szCs w:val="24"/>
              </w:rPr>
              <w:t>Characteristic</w:t>
            </w:r>
          </w:p>
        </w:tc>
        <w:tc>
          <w:tcPr>
            <w:tcW w:w="192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hint="eastAsia" w:ascii="Arial" w:hAnsi="Arial" w:cs="Arial"/>
                <w:b/>
                <w:bCs/>
                <w:szCs w:val="24"/>
              </w:rPr>
              <w:t>CR rate</w:t>
            </w:r>
          </w:p>
        </w:tc>
        <w:tc>
          <w:tcPr>
            <w:tcW w:w="119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 value</w:t>
            </w:r>
          </w:p>
        </w:tc>
        <w:tc>
          <w:tcPr>
            <w:tcW w:w="287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Exp(B)(95%CI)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Gender </w:t>
            </w:r>
          </w:p>
        </w:tc>
        <w:tc>
          <w:tcPr>
            <w:tcW w:w="1924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Male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75/106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70.8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Female 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81/113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71.7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0.883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1.045(0.582-1.877)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Age (y)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0.228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≤14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17/20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85.0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15-34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78/107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72.9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0.261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2.107(0.575-7.725)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≥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35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61/92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66.3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0.111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2.880(0.784-10.580)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Disease status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0.203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R</w:t>
            </w:r>
            <w:r>
              <w:rPr>
                <w:rFonts w:ascii="Arial" w:hAnsi="Arial" w:cs="Arial"/>
                <w:szCs w:val="24"/>
              </w:rPr>
              <w:t>efractory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36/50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70.0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szCs w:val="24"/>
              </w:rPr>
              <w:t>First relapse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90/120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75.0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0.684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0.857(0.408-1.802)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szCs w:val="24"/>
              </w:rPr>
              <w:t xml:space="preserve">Second </w:t>
            </w:r>
            <w:r>
              <w:rPr>
                <w:rFonts w:ascii="Arial" w:hAnsi="Arial" w:cs="Arial"/>
                <w:szCs w:val="24"/>
              </w:rPr>
              <w:t>or more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Cs w:val="24"/>
              </w:rPr>
              <w:t>relapse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30/49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63.3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Cs w:val="24"/>
                <w:highlight w:val="none"/>
                <w:lang w:val="en-US" w:eastAsia="zh-CN"/>
              </w:rPr>
              <w:t>0.257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1.629(0.701-3.785)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Course of prior therapy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≤3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71/101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70.3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≥4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85/118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72.0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0.777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0.919(0.511-1.651)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Prior allo-HSCT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Yes 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33/46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71.7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0.932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0.969(0.471-1.993)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No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123/173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71.1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EMD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lang w:val="en-US" w:eastAsia="zh-CN"/>
              </w:rPr>
              <w:t>0.034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CNSL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2/5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40.0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 w:val="0"/>
                <w:bCs w:val="0"/>
                <w:szCs w:val="24"/>
                <w:lang w:val="en-US" w:eastAsia="zh-CN"/>
              </w:rPr>
              <w:t>0.119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4.240(0.689-26.091)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Other EMD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7/15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46.7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lang w:val="en-US" w:eastAsia="zh-CN"/>
              </w:rPr>
              <w:t>0.031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3.231(1.116-9.349)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Negative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147/199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73.9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BM blasts by morphology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  <w:t>0.813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&lt;5%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62/90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68.9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5-20%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29/40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72.5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  <w:t>0.679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0.840(0.368-1.917)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≥20%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65/89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73.0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  <w:t>0.542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0.818(0.428-1.561)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Complex karyotype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Yes 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15/22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68.2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0.739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1.175(0.455-3.035)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No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141/197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71.6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Fusion gene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0.961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i/>
                <w:iCs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BCR-ABL1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45/64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70.3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0.993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0.997(0.514-1.934)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Ph-like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8/10</w:t>
            </w:r>
            <w:r>
              <w:rPr>
                <w:rFonts w:ascii="Arial" w:hAnsi="Arial" w:cs="Arial"/>
                <w:szCs w:val="24"/>
                <w:highlight w:val="none"/>
              </w:rPr>
              <w:t>(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80.0</w:t>
            </w:r>
            <w:r>
              <w:rPr>
                <w:rFonts w:ascii="Arial" w:hAnsi="Arial" w:cs="Arial"/>
                <w:szCs w:val="24"/>
                <w:highlight w:val="none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0.518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0.590(0.119-2.917)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KMT2A</w:t>
            </w:r>
            <w:r>
              <w:rPr>
                <w:rFonts w:ascii="Arial" w:hAnsi="Arial" w:cs="Arial"/>
                <w:szCs w:val="24"/>
              </w:rPr>
              <w:t xml:space="preserve"> rearranged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9/12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75.0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0.731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0.787(0.201-3.077)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Other fusion genes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9/12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75.0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0.731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0.787(0.201-3.077)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ascii="Arial" w:hAnsi="Arial" w:cs="Arial"/>
                <w:szCs w:val="24"/>
              </w:rPr>
              <w:t>Negative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85/121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70.2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szCs w:val="24"/>
              </w:rPr>
            </w:pPr>
            <w:r>
              <w:rPr>
                <w:rFonts w:hint="eastAsia" w:ascii="Arial" w:hAnsi="Arial" w:cs="Arial"/>
                <w:b/>
                <w:bCs/>
                <w:szCs w:val="24"/>
              </w:rPr>
              <w:t>Gene</w:t>
            </w:r>
            <w:r>
              <w:rPr>
                <w:rFonts w:ascii="Arial" w:hAnsi="Arial" w:cs="Arial"/>
                <w:b/>
                <w:bCs/>
                <w:szCs w:val="24"/>
              </w:rPr>
              <w:t xml:space="preserve"> mutation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i/>
                <w:iCs/>
                <w:szCs w:val="24"/>
              </w:rPr>
              <w:t>T315I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19/30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63.3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0.306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1.525(0.680-3.423)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</w:rPr>
            </w:pPr>
            <w:r>
              <w:rPr>
                <w:rFonts w:hint="eastAsia" w:ascii="Arial" w:hAnsi="Arial" w:cs="Arial"/>
                <w:i/>
                <w:iCs/>
                <w:szCs w:val="24"/>
              </w:rPr>
              <w:t>TP53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13/17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76.5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lang w:val="en-US" w:eastAsia="zh-CN"/>
              </w:rPr>
              <w:t>0.620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0.746(0.234-2.381)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i/>
                <w:iCs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i/>
                <w:iCs/>
                <w:szCs w:val="24"/>
                <w:lang w:val="en-US" w:eastAsia="zh-CN"/>
              </w:rPr>
              <w:t>IKZF1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1/3</w:t>
            </w:r>
            <w:r>
              <w:rPr>
                <w:rFonts w:ascii="Arial" w:hAnsi="Arial" w:cs="Arial"/>
                <w:szCs w:val="24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33.3</w:t>
            </w:r>
            <w:r>
              <w:rPr>
                <w:rFonts w:ascii="Arial" w:hAnsi="Arial" w:cs="Arial"/>
                <w:szCs w:val="24"/>
              </w:rPr>
              <w:t>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0.188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5.082(0.452-57.075)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rPr>
                <w:rFonts w:ascii="Arial" w:hAnsi="Arial" w:cs="Arial"/>
                <w:i/>
                <w:iCs/>
                <w:szCs w:val="24"/>
              </w:rPr>
            </w:pPr>
            <w:r>
              <w:rPr>
                <w:rFonts w:hint="eastAsia" w:ascii="Arial" w:hAnsi="Arial" w:cs="Arial"/>
                <w:b/>
                <w:bCs/>
                <w:szCs w:val="24"/>
              </w:rPr>
              <w:t xml:space="preserve">Target 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0.020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</w:rPr>
              <w:t>Single CD19</w:t>
            </w:r>
            <w:r>
              <w:rPr>
                <w:rFonts w:hint="eastAsia" w:ascii="Arial" w:hAnsi="Arial" w:cs="Arial"/>
                <w:szCs w:val="24"/>
                <w:lang w:val="en-US" w:eastAsia="zh-CN"/>
              </w:rPr>
              <w:t>*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96/147(65.3%)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</w:rPr>
              <w:t>Tandem CD19/CD22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44/51(86.3%)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0.006</w:t>
            </w:r>
          </w:p>
        </w:tc>
        <w:tc>
          <w:tcPr>
            <w:tcW w:w="287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0.299(0.126-0.713)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0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</w:rPr>
              <w:t>Sequential CD19/CD22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16/21(76.2%)</w:t>
            </w:r>
          </w:p>
        </w:tc>
        <w:tc>
          <w:tcPr>
            <w:tcW w:w="1195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0.327</w:t>
            </w:r>
          </w:p>
        </w:tc>
        <w:tc>
          <w:tcPr>
            <w:tcW w:w="2874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0.588(0.204-1.698)</w:t>
            </w:r>
          </w:p>
        </w:tc>
      </w:tr>
    </w:tbl>
    <w:p>
      <w:pPr>
        <w:widowControl/>
        <w:jc w:val="left"/>
        <w:rPr>
          <w:rFonts w:hint="default" w:ascii="Arial" w:hAnsi="Arial" w:cs="Arial"/>
          <w:szCs w:val="24"/>
          <w:lang w:val="en-US" w:eastAsia="zh-CN"/>
        </w:rPr>
      </w:pPr>
      <w:r>
        <w:rPr>
          <w:rFonts w:hint="eastAsia" w:ascii="Arial" w:hAnsi="Arial" w:cs="Arial"/>
          <w:szCs w:val="24"/>
          <w:lang w:val="en-US" w:eastAsia="zh-CN"/>
        </w:rPr>
        <w:t>* Control group</w:t>
      </w:r>
    </w:p>
    <w:p>
      <w:pPr>
        <w:rPr>
          <w:rFonts w:hint="eastAsia" w:eastAsiaTheme="minorEastAsia"/>
        </w:rPr>
        <w:sectPr>
          <w:footerReference r:id="rId3" w:type="default"/>
          <w:pgSz w:w="11906" w:h="16838"/>
          <w:pgMar w:top="567" w:right="567" w:bottom="567" w:left="56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32" w:charSpace="0"/>
        </w:sectPr>
      </w:pPr>
    </w:p>
    <w:p>
      <w:pPr>
        <w:widowControl/>
        <w:jc w:val="center"/>
        <w:rPr>
          <w:rFonts w:ascii="Arial" w:hAnsi="Arial" w:cs="Arial"/>
          <w:b/>
          <w:bCs/>
          <w:szCs w:val="24"/>
        </w:rPr>
      </w:pPr>
      <w:r>
        <w:rPr>
          <w:rFonts w:hint="eastAsia" w:ascii="Arial" w:hAnsi="Arial" w:cs="Arial"/>
          <w:b/>
          <w:bCs/>
          <w:szCs w:val="24"/>
        </w:rPr>
        <w:t xml:space="preserve">Supplementary Table </w:t>
      </w:r>
      <w:r>
        <w:rPr>
          <w:rFonts w:hint="eastAsia" w:ascii="Arial" w:hAnsi="Arial" w:cs="Arial"/>
          <w:b/>
          <w:bCs/>
          <w:szCs w:val="24"/>
          <w:lang w:val="en-US" w:eastAsia="zh-CN"/>
        </w:rPr>
        <w:t>5</w:t>
      </w:r>
      <w:r>
        <w:rPr>
          <w:rFonts w:hint="eastAsia" w:ascii="Arial" w:hAnsi="Arial" w:cs="Arial"/>
          <w:b/>
          <w:bCs/>
          <w:szCs w:val="24"/>
        </w:rPr>
        <w:t xml:space="preserve">. Organ toxicity associated to </w:t>
      </w:r>
      <w:r>
        <w:rPr>
          <w:rFonts w:hint="eastAsia" w:ascii="Arial" w:hAnsi="Arial" w:cs="Arial"/>
          <w:b/>
          <w:bCs/>
          <w:szCs w:val="24"/>
          <w:lang w:eastAsia="zh-CN"/>
        </w:rPr>
        <w:t>CAR T-cell</w:t>
      </w:r>
      <w:r>
        <w:rPr>
          <w:rFonts w:hint="eastAsia" w:ascii="Arial" w:hAnsi="Arial" w:cs="Arial"/>
          <w:b/>
          <w:bCs/>
          <w:szCs w:val="24"/>
        </w:rPr>
        <w:t xml:space="preserve"> therapy</w:t>
      </w:r>
    </w:p>
    <w:tbl>
      <w:tblPr>
        <w:tblStyle w:val="5"/>
        <w:tblW w:w="1208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93"/>
        <w:gridCol w:w="959"/>
        <w:gridCol w:w="1984"/>
        <w:gridCol w:w="1984"/>
        <w:gridCol w:w="1984"/>
        <w:gridCol w:w="107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  <w:lang w:bidi="ar"/>
              </w:rPr>
              <w:t>Characteristic</w:t>
            </w:r>
          </w:p>
        </w:tc>
        <w:tc>
          <w:tcPr>
            <w:tcW w:w="95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  <w:lang w:bidi="ar"/>
              </w:rPr>
              <w:t xml:space="preserve">Grade </w:t>
            </w:r>
          </w:p>
        </w:tc>
        <w:tc>
          <w:tcPr>
            <w:tcW w:w="198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  <w:lang w:bidi="ar"/>
              </w:rPr>
              <w:t>Single</w:t>
            </w:r>
          </w:p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  <w:lang w:bidi="ar"/>
              </w:rPr>
              <w:t>CD19</w:t>
            </w:r>
          </w:p>
        </w:tc>
        <w:tc>
          <w:tcPr>
            <w:tcW w:w="198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  <w:lang w:bidi="ar"/>
              </w:rPr>
              <w:t>Tandem CD19/CD22</w:t>
            </w:r>
          </w:p>
        </w:tc>
        <w:tc>
          <w:tcPr>
            <w:tcW w:w="198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  <w:lang w:bidi="ar"/>
              </w:rPr>
              <w:t>Sequential CD19/CD22</w:t>
            </w:r>
          </w:p>
        </w:tc>
        <w:tc>
          <w:tcPr>
            <w:tcW w:w="107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  <w:lang w:bidi="ar"/>
              </w:rPr>
              <w:t>P value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  <w:lang w:bidi="ar"/>
              </w:rPr>
              <w:t>Hematological Toxicity</w:t>
            </w:r>
          </w:p>
        </w:tc>
        <w:tc>
          <w:tcPr>
            <w:tcW w:w="959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7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Myelosuppression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480" w:leftChars="20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Neutrophil granulocyte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1-2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2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0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(13.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6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7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(1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3.7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0/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(0.0%)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0.183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480" w:leftChars="20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3-4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17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(79.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6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8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(7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4.5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20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(9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5.2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0.130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480" w:leftChars="20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Hemoglobin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1-2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5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0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(3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4.0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13/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(2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5</w:t>
            </w:r>
            <w:r>
              <w:rPr>
                <w:rFonts w:ascii="Arial" w:hAnsi="Arial" w:cs="Arial"/>
                <w:szCs w:val="24"/>
                <w:lang w:bidi="ar"/>
              </w:rPr>
              <w:t>.5%)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4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19.0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0.252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480" w:leftChars="20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3-4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92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62.6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35/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68.6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15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(7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1.4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0.592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480" w:leftChars="20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Platelet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1-2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4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1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(2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7.9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13/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(2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5</w:t>
            </w:r>
            <w:r>
              <w:rPr>
                <w:rFonts w:ascii="Arial" w:hAnsi="Arial" w:cs="Arial"/>
                <w:szCs w:val="24"/>
                <w:lang w:bidi="ar"/>
              </w:rPr>
              <w:t>.5%)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2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9.5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0.196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480" w:leftChars="20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3-4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66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(44.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9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30/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58.8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5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71.4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lang w:val="en-US" w:eastAsia="zh-CN"/>
              </w:rPr>
              <w:t>0.031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Coagulation abnormality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1-2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6</w:t>
            </w:r>
            <w:r>
              <w:rPr>
                <w:rFonts w:ascii="Arial" w:hAnsi="Arial" w:cs="Arial"/>
                <w:szCs w:val="24"/>
                <w:lang w:bidi="ar"/>
              </w:rPr>
              <w:t>1/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(4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1.5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25/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49</w:t>
            </w:r>
            <w:r>
              <w:rPr>
                <w:rFonts w:ascii="Arial" w:hAnsi="Arial" w:cs="Arial"/>
                <w:szCs w:val="24"/>
                <w:lang w:bidi="ar"/>
              </w:rPr>
              <w:t>.0%)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10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47.6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0.605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3-4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(0.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7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0/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(0.0%)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0/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(0.0%)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Bleeding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1-2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6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(4.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1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3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5.9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0/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(0.0%)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0.654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3-4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cs="Arial"/>
                <w:szCs w:val="24"/>
                <w:lang w:bidi="ar"/>
              </w:rPr>
              <w:t>1/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(0.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7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cs="Arial"/>
                <w:szCs w:val="24"/>
                <w:lang w:bidi="ar"/>
              </w:rPr>
              <w:t>0/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(0.0%)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cs="Arial"/>
                <w:szCs w:val="24"/>
                <w:lang w:bidi="ar"/>
              </w:rPr>
              <w:t>0/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(0.0%)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  <w:lang w:bidi="ar"/>
              </w:rPr>
              <w:t>Non-hematological Toxicity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Infection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1-2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19/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(1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2.9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4/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7.8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3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14</w:t>
            </w:r>
            <w:r>
              <w:rPr>
                <w:rFonts w:ascii="Arial" w:hAnsi="Arial" w:cs="Arial"/>
                <w:szCs w:val="24"/>
                <w:lang w:bidi="ar"/>
              </w:rPr>
              <w:t>.3%)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0.576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3-4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2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3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(15.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6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13/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(2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5</w:t>
            </w:r>
            <w:r>
              <w:rPr>
                <w:rFonts w:ascii="Arial" w:hAnsi="Arial" w:cs="Arial"/>
                <w:szCs w:val="24"/>
                <w:lang w:bidi="ar"/>
              </w:rPr>
              <w:t>.5%)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5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(2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3.8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0.246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Gastrointestinal reaction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1-2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13/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8.8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2/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3.9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2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9.5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0.608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3-4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2/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(1.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4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(2.0%)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0/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(0.0%)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Cardiotoxicity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3-4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7/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(4.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8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2/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3.9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4.8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Hepatotoxicity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1-2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4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0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(27.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2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15/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29.4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6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(2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8.6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0.953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3-4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19/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(1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2.9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4/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7.8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4.8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0.513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09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Renal toxicity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1-2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14/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9.5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7/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(1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3.7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2</w:t>
            </w:r>
            <w:r>
              <w:rPr>
                <w:rFonts w:ascii="Arial" w:hAnsi="Arial" w:cs="Arial"/>
                <w:szCs w:val="24"/>
                <w:lang w:bidi="ar"/>
              </w:rPr>
              <w:t>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9.5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0.693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9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ind w:left="240" w:leftChars="10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  <w:lang w:bidi="ar"/>
              </w:rPr>
              <w:t>3-4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cs="Arial"/>
                <w:szCs w:val="24"/>
                <w:lang w:bidi="ar"/>
              </w:rPr>
              <w:t>1/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147</w:t>
            </w:r>
            <w:r>
              <w:rPr>
                <w:rFonts w:ascii="Arial" w:hAnsi="Arial" w:cs="Arial"/>
                <w:szCs w:val="24"/>
                <w:lang w:bidi="ar"/>
              </w:rPr>
              <w:t>(0.</w:t>
            </w:r>
            <w:r>
              <w:rPr>
                <w:rFonts w:hint="eastAsia" w:ascii="Arial" w:hAnsi="Arial" w:cs="Arial"/>
                <w:szCs w:val="24"/>
                <w:lang w:val="en-US" w:eastAsia="zh-CN" w:bidi="ar"/>
              </w:rPr>
              <w:t>7</w:t>
            </w:r>
            <w:r>
              <w:rPr>
                <w:rFonts w:ascii="Arial" w:hAnsi="Arial" w:cs="Arial"/>
                <w:szCs w:val="24"/>
                <w:lang w:bidi="ar"/>
              </w:rPr>
              <w:t>%)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cs="Arial"/>
                <w:szCs w:val="24"/>
                <w:lang w:bidi="ar"/>
              </w:rPr>
              <w:t>0/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51</w:t>
            </w:r>
            <w:r>
              <w:rPr>
                <w:rFonts w:ascii="Arial" w:hAnsi="Arial" w:cs="Arial"/>
                <w:szCs w:val="24"/>
                <w:lang w:bidi="ar"/>
              </w:rPr>
              <w:t>(0.0%)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cs="Arial"/>
                <w:szCs w:val="24"/>
                <w:lang w:bidi="ar"/>
              </w:rPr>
              <w:t>0/</w:t>
            </w:r>
            <w:r>
              <w:rPr>
                <w:rFonts w:hint="eastAsia" w:ascii="Arial" w:hAnsi="Arial" w:cs="Arial"/>
                <w:szCs w:val="24"/>
                <w:lang w:eastAsia="zh-CN" w:bidi="ar"/>
              </w:rPr>
              <w:t>21</w:t>
            </w:r>
            <w:r>
              <w:rPr>
                <w:rFonts w:ascii="Arial" w:hAnsi="Arial" w:cs="Arial"/>
                <w:szCs w:val="24"/>
                <w:lang w:bidi="ar"/>
              </w:rPr>
              <w:t>(0.0%)</w:t>
            </w:r>
          </w:p>
        </w:tc>
        <w:tc>
          <w:tcPr>
            <w:tcW w:w="107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cs="Arial"/>
                <w:szCs w:val="24"/>
                <w:lang w:val="en-US" w:eastAsia="zh-CN"/>
              </w:rPr>
              <w:t>1.000</w:t>
            </w:r>
          </w:p>
        </w:tc>
      </w:tr>
    </w:tbl>
    <w:p>
      <w:r>
        <w:br w:type="page"/>
      </w:r>
    </w:p>
    <w:p>
      <w:pPr>
        <w:widowControl/>
        <w:jc w:val="center"/>
        <w:rPr>
          <w:rFonts w:hint="eastAsia" w:ascii="Arial" w:hAnsi="Arial" w:cs="Arial"/>
          <w:b/>
          <w:bCs/>
          <w:szCs w:val="24"/>
        </w:rPr>
        <w:sectPr>
          <w:footerReference r:id="rId4" w:type="default"/>
          <w:pgSz w:w="16838" w:h="11906" w:orient="landscape"/>
          <w:pgMar w:top="567" w:right="567" w:bottom="567" w:left="56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36" w:charSpace="0"/>
        </w:sectPr>
      </w:pPr>
    </w:p>
    <w:p>
      <w:pPr>
        <w:widowControl/>
        <w:jc w:val="center"/>
        <w:rPr>
          <w:rFonts w:ascii="Arial" w:hAnsi="Arial" w:cs="Arial"/>
          <w:b/>
          <w:bCs/>
          <w:szCs w:val="24"/>
          <w:highlight w:val="none"/>
        </w:rPr>
      </w:pPr>
      <w:r>
        <w:rPr>
          <w:rFonts w:hint="eastAsia" w:ascii="Arial" w:hAnsi="Arial" w:cs="Arial"/>
          <w:b/>
          <w:bCs/>
          <w:szCs w:val="24"/>
          <w:highlight w:val="none"/>
        </w:rPr>
        <w:t xml:space="preserve">Supplementary Table </w:t>
      </w:r>
      <w:r>
        <w:rPr>
          <w:rFonts w:hint="eastAsia" w:ascii="Arial" w:hAnsi="Arial" w:cs="Arial"/>
          <w:b/>
          <w:bCs/>
          <w:szCs w:val="24"/>
          <w:highlight w:val="none"/>
          <w:lang w:val="en-US" w:eastAsia="zh-CN"/>
        </w:rPr>
        <w:t>6</w:t>
      </w:r>
      <w:r>
        <w:rPr>
          <w:rFonts w:hint="eastAsia" w:ascii="Arial" w:hAnsi="Arial" w:cs="Arial"/>
          <w:b/>
          <w:bCs/>
          <w:szCs w:val="24"/>
          <w:highlight w:val="none"/>
        </w:rPr>
        <w:t>. Univariate analysis for LFS</w:t>
      </w:r>
    </w:p>
    <w:tbl>
      <w:tblPr>
        <w:tblStyle w:val="5"/>
        <w:tblW w:w="909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7"/>
        <w:gridCol w:w="1893"/>
        <w:gridCol w:w="1175"/>
        <w:gridCol w:w="282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  <w:highlight w:val="none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highlight w:val="none"/>
              </w:rPr>
              <w:t>Characteristic</w:t>
            </w:r>
          </w:p>
        </w:tc>
        <w:tc>
          <w:tcPr>
            <w:tcW w:w="189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b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highlight w:val="none"/>
                <w:lang w:val="en-US" w:eastAsia="zh-CN"/>
              </w:rPr>
              <w:t>2-year LFS</w:t>
            </w:r>
          </w:p>
        </w:tc>
        <w:tc>
          <w:tcPr>
            <w:tcW w:w="117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  <w:r>
              <w:rPr>
                <w:rFonts w:ascii="Arial" w:hAnsi="Arial" w:cs="Arial"/>
                <w:b/>
                <w:bCs/>
                <w:szCs w:val="24"/>
                <w:highlight w:val="none"/>
              </w:rPr>
              <w:t>P value</w:t>
            </w:r>
          </w:p>
        </w:tc>
        <w:tc>
          <w:tcPr>
            <w:tcW w:w="282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  <w:highlight w:val="none"/>
              </w:rPr>
            </w:pPr>
            <w:r>
              <w:rPr>
                <w:rFonts w:ascii="Arial" w:hAnsi="Arial" w:cs="Arial"/>
                <w:b/>
                <w:bCs/>
                <w:szCs w:val="24"/>
                <w:highlight w:val="none"/>
              </w:rPr>
              <w:t>Exp(B)(95%CI)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  <w:highlight w:val="none"/>
              </w:rPr>
            </w:pPr>
            <w:r>
              <w:rPr>
                <w:rFonts w:ascii="Arial" w:hAnsi="Arial" w:cs="Arial"/>
                <w:b/>
                <w:bCs/>
                <w:szCs w:val="24"/>
                <w:highlight w:val="none"/>
              </w:rPr>
              <w:t xml:space="preserve">Gender </w:t>
            </w:r>
          </w:p>
        </w:tc>
        <w:tc>
          <w:tcPr>
            <w:tcW w:w="1893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Male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  <w:highlight w:val="none"/>
              </w:rPr>
              <w:t xml:space="preserve">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51.5%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 xml:space="preserve">Female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56.2%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0.344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0.810(0.523-1.254)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  <w:highlight w:val="none"/>
              </w:rPr>
            </w:pPr>
            <w:r>
              <w:rPr>
                <w:rFonts w:ascii="Arial" w:hAnsi="Arial" w:cs="Arial"/>
                <w:b/>
                <w:bCs/>
                <w:szCs w:val="24"/>
                <w:highlight w:val="none"/>
              </w:rPr>
              <w:t>Age (y)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0.477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≤14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*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46.3%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15-34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60.5%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0.289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0.694(0.353-1.364)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≥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48.1%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0.677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0.865(0.438-1.708)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  <w:highlight w:val="none"/>
              </w:rPr>
            </w:pPr>
            <w:r>
              <w:rPr>
                <w:rFonts w:ascii="Arial" w:hAnsi="Arial" w:cs="Arial"/>
                <w:b/>
                <w:bCs/>
                <w:szCs w:val="24"/>
                <w:highlight w:val="none"/>
              </w:rPr>
              <w:t>Disease status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 w:val="0"/>
                <w:bCs w:val="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highlight w:val="none"/>
                <w:lang w:val="en-US" w:eastAsia="zh-CN"/>
              </w:rPr>
              <w:t>0.003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</w:rPr>
              <w:t>R</w:t>
            </w:r>
            <w:r>
              <w:rPr>
                <w:rFonts w:ascii="Arial" w:hAnsi="Arial" w:cs="Arial"/>
                <w:szCs w:val="24"/>
                <w:highlight w:val="none"/>
              </w:rPr>
              <w:t>efractory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*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61.4%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  <w:r>
              <w:rPr>
                <w:rFonts w:hint="eastAsia" w:ascii="Arial" w:hAnsi="Arial" w:cs="Arial"/>
                <w:szCs w:val="24"/>
                <w:highlight w:val="none"/>
              </w:rPr>
              <w:t>First relapse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57.9%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0.397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1.282(0.722-2.277)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  <w:r>
              <w:rPr>
                <w:rFonts w:hint="eastAsia" w:ascii="Arial" w:hAnsi="Arial" w:cs="Arial"/>
                <w:szCs w:val="24"/>
                <w:highlight w:val="none"/>
              </w:rPr>
              <w:t xml:space="preserve">Second </w:t>
            </w:r>
            <w:r>
              <w:rPr>
                <w:rFonts w:ascii="Arial" w:hAnsi="Arial" w:cs="Arial"/>
                <w:szCs w:val="24"/>
                <w:highlight w:val="none"/>
              </w:rPr>
              <w:t>or more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Cs w:val="24"/>
                <w:highlight w:val="none"/>
              </w:rPr>
              <w:t>relapse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32.1%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b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b/>
                <w:bCs/>
                <w:szCs w:val="24"/>
                <w:highlight w:val="none"/>
                <w:lang w:val="en-US" w:eastAsia="zh-CN"/>
              </w:rPr>
              <w:t>0.002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2.765(1.443-5.299)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  <w:highlight w:val="none"/>
              </w:rPr>
            </w:pPr>
            <w:r>
              <w:rPr>
                <w:rFonts w:ascii="Arial" w:hAnsi="Arial" w:cs="Arial"/>
                <w:b/>
                <w:bCs/>
                <w:szCs w:val="24"/>
                <w:highlight w:val="none"/>
              </w:rPr>
              <w:t>Course of prior therapy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≤3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*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57.9%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≥4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50.3%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0.133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1.403(0.902-2.182)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  <w:highlight w:val="none"/>
              </w:rPr>
            </w:pPr>
            <w:r>
              <w:rPr>
                <w:rFonts w:ascii="Arial" w:hAnsi="Arial" w:cs="Arial"/>
                <w:b/>
                <w:bCs/>
                <w:szCs w:val="24"/>
                <w:highlight w:val="none"/>
              </w:rPr>
              <w:t>Prior allo-HSCT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 xml:space="preserve">Yes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59.1%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0.789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0.926(0.529-1.623)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No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  <w:highlight w:val="none"/>
              </w:rPr>
              <w:t xml:space="preserve">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52.7%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  <w:highlight w:val="none"/>
              </w:rPr>
            </w:pPr>
            <w:r>
              <w:rPr>
                <w:rFonts w:ascii="Arial" w:hAnsi="Arial" w:cs="Arial"/>
                <w:b/>
                <w:bCs/>
                <w:szCs w:val="24"/>
                <w:highlight w:val="none"/>
              </w:rPr>
              <w:t>EMD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eastAsia="zh-CN"/>
              </w:rPr>
              <w:t>Y</w:t>
            </w: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 xml:space="preserve">es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57.9%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0.403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0.611(0.193-1.937)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eastAsia="zh-CN"/>
              </w:rPr>
              <w:t>N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 xml:space="preserve">o*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53.5%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  <w:highlight w:val="none"/>
              </w:rPr>
            </w:pPr>
            <w:r>
              <w:rPr>
                <w:rFonts w:ascii="Arial" w:hAnsi="Arial" w:cs="Arial"/>
                <w:b/>
                <w:bCs/>
                <w:szCs w:val="24"/>
                <w:highlight w:val="none"/>
              </w:rPr>
              <w:t>BM blasts by morphology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0.269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&lt;5%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*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59.5%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5-20%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49.5%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0.443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1.276(0.684-2.383)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≥20%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50.0%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0.106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1.494(0.919-2.430)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/>
                <w:b/>
                <w:bCs/>
                <w:szCs w:val="24"/>
                <w:highlight w:val="none"/>
              </w:rPr>
            </w:pPr>
            <w:r>
              <w:rPr>
                <w:rFonts w:ascii="Arial" w:hAnsi="Arial" w:cs="Arial"/>
                <w:b/>
                <w:bCs/>
                <w:szCs w:val="24"/>
                <w:highlight w:val="none"/>
              </w:rPr>
              <w:t>Complex karyotype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 xml:space="preserve">Yes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33.7%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0.146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1.603(0.848-3.032)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No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  <w:highlight w:val="none"/>
              </w:rPr>
              <w:t xml:space="preserve">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56.1%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b/>
                <w:bCs/>
                <w:szCs w:val="24"/>
                <w:highlight w:val="none"/>
              </w:rPr>
            </w:pPr>
            <w:r>
              <w:rPr>
                <w:rFonts w:ascii="Arial" w:hAnsi="Arial" w:cs="Arial"/>
                <w:b/>
                <w:bCs/>
                <w:szCs w:val="24"/>
                <w:highlight w:val="none"/>
              </w:rPr>
              <w:t>Fusion gene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0.935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i/>
                <w:iCs/>
                <w:szCs w:val="24"/>
                <w:highlight w:val="none"/>
              </w:rPr>
            </w:pPr>
            <w:r>
              <w:rPr>
                <w:rFonts w:ascii="Arial" w:hAnsi="Arial" w:cs="Arial"/>
                <w:i/>
                <w:iCs/>
                <w:szCs w:val="24"/>
                <w:highlight w:val="none"/>
              </w:rPr>
              <w:t>BCR-ABL1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54.6%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0.916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0.973(0.589-1.609)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Ph-like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45.0%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0.721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1.183(0.470-2.982)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ascii="Arial" w:hAnsi="Arial" w:cs="Arial"/>
                <w:i/>
                <w:iCs/>
                <w:szCs w:val="24"/>
                <w:highlight w:val="none"/>
              </w:rPr>
              <w:t>KMT2A</w:t>
            </w:r>
            <w:r>
              <w:rPr>
                <w:rFonts w:ascii="Arial" w:hAnsi="Arial" w:cs="Arial"/>
                <w:szCs w:val="24"/>
                <w:highlight w:val="none"/>
              </w:rPr>
              <w:t xml:space="preserve"> rearranged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46.8%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0.511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1.364(0.540-3.441)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Other fusion genes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80.0%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0.662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0.771(0.239-2.481)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  <w:r>
              <w:rPr>
                <w:rFonts w:ascii="Arial" w:hAnsi="Arial" w:cs="Arial"/>
                <w:szCs w:val="24"/>
                <w:highlight w:val="none"/>
              </w:rPr>
              <w:t>Negative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*</w:t>
            </w:r>
            <w:r>
              <w:rPr>
                <w:rFonts w:ascii="Arial" w:hAnsi="Arial" w:cs="Arial"/>
                <w:szCs w:val="24"/>
                <w:highlight w:val="none"/>
              </w:rPr>
              <w:t xml:space="preserve">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53.1%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ascii="Arial" w:hAnsi="Arial" w:cs="Arial" w:eastAsiaTheme="minorEastAsia"/>
                <w:szCs w:val="24"/>
                <w:highlight w:val="none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highlight w:val="none"/>
              </w:rPr>
              <w:t>Gene</w:t>
            </w:r>
            <w:r>
              <w:rPr>
                <w:rFonts w:ascii="Arial" w:hAnsi="Arial" w:cs="Arial"/>
                <w:b/>
                <w:bCs/>
                <w:szCs w:val="24"/>
                <w:highlight w:val="none"/>
              </w:rPr>
              <w:t xml:space="preserve"> mutation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szCs w:val="24"/>
                <w:highlight w:val="none"/>
              </w:rPr>
            </w:pPr>
            <w:r>
              <w:rPr>
                <w:rFonts w:ascii="Arial" w:hAnsi="Arial" w:cs="Arial"/>
                <w:i/>
                <w:iCs/>
                <w:szCs w:val="24"/>
                <w:highlight w:val="none"/>
              </w:rPr>
              <w:t>T315I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47.2%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0.323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1.349(0.745-2.442)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 w:eastAsiaTheme="minorEastAsia"/>
                <w:b/>
                <w:bCs/>
                <w:szCs w:val="24"/>
                <w:highlight w:val="none"/>
              </w:rPr>
            </w:pPr>
            <w:r>
              <w:rPr>
                <w:rFonts w:hint="eastAsia" w:ascii="Arial" w:hAnsi="Arial" w:cs="Arial"/>
                <w:i/>
                <w:iCs/>
                <w:szCs w:val="24"/>
                <w:highlight w:val="none"/>
              </w:rPr>
              <w:t>TP53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57.1%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 w:eastAsiaTheme="minorEastAsia"/>
                <w:szCs w:val="24"/>
                <w:highlight w:val="none"/>
                <w:lang w:val="en-US" w:eastAsia="zh-CN"/>
              </w:rPr>
              <w:t>0.678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0.838(0.365-1.926)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rPr>
                <w:rFonts w:ascii="Arial" w:hAnsi="Arial" w:cs="Arial"/>
                <w:i/>
                <w:iCs/>
                <w:szCs w:val="24"/>
                <w:highlight w:val="none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highlight w:val="none"/>
              </w:rPr>
              <w:t xml:space="preserve">Target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0.245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hint="eastAsia" w:ascii="Arial" w:hAnsi="Arial" w:cs="Arial"/>
                <w:szCs w:val="24"/>
                <w:highlight w:val="none"/>
              </w:rPr>
              <w:t>Single CD19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*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50.7%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hint="eastAsia" w:ascii="Arial" w:hAnsi="Arial" w:cs="Arial"/>
                <w:szCs w:val="24"/>
                <w:highlight w:val="none"/>
              </w:rPr>
              <w:t>Tandem CD19/CD22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63.9%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0.121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0.655(0.384-1.118)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hint="eastAsia" w:ascii="Arial" w:hAnsi="Arial" w:cs="Arial"/>
                <w:szCs w:val="24"/>
                <w:highlight w:val="none"/>
              </w:rPr>
              <w:t>Sequential CD19/CD22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43.5%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0.733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1.131(0.558-2.293)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rPr>
                <w:rFonts w:ascii="Arial" w:hAnsi="Arial" w:cs="Arial"/>
                <w:b/>
                <w:bCs/>
                <w:szCs w:val="24"/>
                <w:highlight w:val="none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highlight w:val="none"/>
              </w:rPr>
              <w:t xml:space="preserve">Response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hint="eastAsia" w:ascii="Arial" w:hAnsi="Arial" w:cs="Arial"/>
                <w:szCs w:val="24"/>
                <w:highlight w:val="none"/>
              </w:rPr>
              <w:t>MRD-negative CR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58.4%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color w:val="auto"/>
                <w:szCs w:val="24"/>
                <w:highlight w:val="none"/>
                <w:lang w:val="en-US" w:eastAsia="zh-CN"/>
              </w:rPr>
              <w:t>0.005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auto"/>
                <w:szCs w:val="24"/>
                <w:highlight w:val="none"/>
                <w:lang w:val="en-US" w:eastAsia="zh-CN"/>
              </w:rPr>
              <w:t>0.499(0.306-0.815)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hint="eastAsia" w:ascii="Arial" w:hAnsi="Arial" w:cs="Arial"/>
                <w:szCs w:val="24"/>
                <w:highlight w:val="none"/>
              </w:rPr>
              <w:t>MRD-positive CR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*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35.1%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color w:val="0000FF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color w:val="0000FF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highlight w:val="none"/>
              </w:rPr>
              <w:t>Bridging to HSCT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hint="eastAsia" w:ascii="Arial" w:hAnsi="Arial" w:cs="Arial"/>
                <w:szCs w:val="24"/>
                <w:highlight w:val="none"/>
              </w:rPr>
              <w:t xml:space="preserve">Yes 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67.5%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b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highlight w:val="none"/>
                <w:lang w:val="en-US" w:eastAsia="zh-CN"/>
              </w:rPr>
              <w:t>&lt;0.001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0.356(0.226-0.560)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  <w:r>
              <w:rPr>
                <w:rFonts w:hint="eastAsia" w:ascii="Arial" w:hAnsi="Arial" w:cs="Arial"/>
                <w:szCs w:val="24"/>
                <w:highlight w:val="none"/>
              </w:rPr>
              <w:t>No</w:t>
            </w: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*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37.8%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left"/>
              <w:rPr>
                <w:rFonts w:hint="default" w:ascii="Arial" w:hAnsi="Arial" w:eastAsia="宋体" w:cs="Arial"/>
                <w:b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szCs w:val="24"/>
                <w:highlight w:val="none"/>
                <w:lang w:val="en-US" w:eastAsia="zh-CN"/>
              </w:rPr>
              <w:t>CRS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eastAsia" w:ascii="Arial" w:hAnsi="Arial" w:cs="Arial"/>
                <w:szCs w:val="24"/>
                <w:highlight w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0.406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Grade 0*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58.4%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szCs w:val="24"/>
                <w:highlight w:val="none"/>
                <w:lang w:val="en-US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Grade 1-2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55.6%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0.618</w:t>
            </w:r>
          </w:p>
        </w:tc>
        <w:tc>
          <w:tcPr>
            <w:tcW w:w="28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1.151(0.663-1.999)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97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cs="Arial"/>
                <w:szCs w:val="24"/>
                <w:highlight w:val="none"/>
                <w:lang w:val="en-US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Grade 3-4</w:t>
            </w:r>
          </w:p>
        </w:tc>
        <w:tc>
          <w:tcPr>
            <w:tcW w:w="1893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44.3%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0.197</w:t>
            </w:r>
          </w:p>
        </w:tc>
        <w:tc>
          <w:tcPr>
            <w:tcW w:w="2827" w:type="dxa"/>
            <w:tcBorders>
              <w:top w:val="nil"/>
              <w:left w:val="nil"/>
              <w:bottom w:val="single" w:color="000000" w:sz="8" w:space="0"/>
              <w:right w:val="nil"/>
              <w:tl2br w:val="nil"/>
              <w:tr2bl w:val="nil"/>
            </w:tcBorders>
            <w:shd w:val="clear" w:color="auto" w:fill="F1F1F1" w:themeFill="background1" w:themeFillShade="F2"/>
            <w:vAlign w:val="center"/>
          </w:tcPr>
          <w:p>
            <w:pPr>
              <w:widowControl/>
              <w:jc w:val="center"/>
              <w:rPr>
                <w:rFonts w:hint="default" w:ascii="Arial" w:hAnsi="Arial" w:eastAsia="宋体" w:cs="Arial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Cs w:val="24"/>
                <w:highlight w:val="none"/>
                <w:lang w:val="en-US" w:eastAsia="zh-CN"/>
              </w:rPr>
              <w:t>1.514(0.806-2.843)</w:t>
            </w:r>
          </w:p>
        </w:tc>
      </w:tr>
    </w:tbl>
    <w:p>
      <w:pPr>
        <w:widowControl/>
        <w:ind w:leftChars="500"/>
        <w:jc w:val="left"/>
        <w:rPr>
          <w:rFonts w:hint="default" w:ascii="Arial" w:hAnsi="Arial" w:cs="Arial"/>
          <w:szCs w:val="24"/>
          <w:highlight w:val="none"/>
          <w:lang w:val="en-US" w:eastAsia="zh-CN"/>
        </w:rPr>
      </w:pPr>
      <w:r>
        <w:rPr>
          <w:rFonts w:hint="eastAsia" w:ascii="Arial" w:hAnsi="Arial" w:cs="Arial"/>
          <w:szCs w:val="24"/>
          <w:highlight w:val="none"/>
          <w:lang w:val="en-US" w:eastAsia="zh-CN"/>
        </w:rPr>
        <w:t>* Control group</w:t>
      </w:r>
    </w:p>
    <w:p/>
    <w:p>
      <w:r>
        <w:br w:type="page"/>
      </w:r>
    </w:p>
    <w:p>
      <w:pPr>
        <w:spacing w:line="360" w:lineRule="auto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Supplementary Figure 1. Peak of cytokine levels.</w:t>
      </w:r>
    </w:p>
    <w:p>
      <w:pPr>
        <w:spacing w:line="360" w:lineRule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The peak concentration of serum Fer, CRP, IL-2, IL-4, IL-6, IL-10, TNF-α and IFN-γ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/>
          <w:sz w:val="24"/>
          <w:szCs w:val="24"/>
        </w:rPr>
        <w:t>in</w:t>
      </w:r>
      <w:r>
        <w:rPr>
          <w:rFonts w:hint="default" w:ascii="Arial" w:hAnsi="Arial" w:cs="Arial"/>
          <w:sz w:val="24"/>
          <w:szCs w:val="24"/>
          <w:lang w:val="en-US" w:eastAsia="zh-CN"/>
        </w:rPr>
        <w:t xml:space="preserve"> the</w:t>
      </w:r>
      <w:r>
        <w:rPr>
          <w:rFonts w:hint="default" w:ascii="Arial" w:hAnsi="Arial" w:cs="Arial"/>
          <w:sz w:val="24"/>
          <w:szCs w:val="24"/>
        </w:rPr>
        <w:t xml:space="preserve"> single CD19, tandem CD19/CD22 and sequential CD19/CD22 group.</w:t>
      </w:r>
    </w:p>
    <w:p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drawing>
          <wp:inline distT="0" distB="0" distL="114300" distR="114300">
            <wp:extent cx="6607810" cy="6480175"/>
            <wp:effectExtent l="0" t="0" r="2540" b="6350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0781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cs="Arial"/>
          <w:sz w:val="24"/>
          <w:szCs w:val="24"/>
        </w:rPr>
        <w:br w:type="page"/>
      </w:r>
    </w:p>
    <w:p>
      <w:pPr>
        <w:spacing w:line="360" w:lineRule="auto"/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</w:rPr>
        <w:t xml:space="preserve">Supplementary Figure 2. Survival of patients 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t xml:space="preserve">with high-risk factors 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according to different CAR T-cell therap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t>ies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.</w:t>
      </w:r>
    </w:p>
    <w:p>
      <w:pPr>
        <w:numPr>
          <w:ilvl w:val="0"/>
          <w:numId w:val="0"/>
        </w:numPr>
        <w:spacing w:line="360" w:lineRule="auto"/>
        <w:rPr>
          <w:rFonts w:hint="default" w:ascii="Arial" w:hAnsi="Arial" w:cs="Arial"/>
          <w:sz w:val="24"/>
          <w:szCs w:val="24"/>
          <w:highlight w:val="none"/>
        </w:rPr>
      </w:pPr>
      <w:bookmarkStart w:id="0" w:name="OLE_LINK2"/>
      <w:r>
        <w:rPr>
          <w:rFonts w:hint="default" w:ascii="Arial" w:hAnsi="Arial" w:cs="Arial"/>
          <w:sz w:val="24"/>
          <w:szCs w:val="24"/>
          <w:highlight w:val="none"/>
        </w:rPr>
        <w:t>(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>A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) Overall survival (B) leukemia-free survival and (C) cumulative incidence of relapse of patients who underwent allo-HSCT after </w:t>
      </w:r>
      <w:r>
        <w:rPr>
          <w:rFonts w:hint="eastAsia" w:ascii="Arial" w:hAnsi="Arial" w:cs="Arial"/>
          <w:sz w:val="24"/>
          <w:szCs w:val="24"/>
          <w:highlight w:val="none"/>
          <w:lang w:eastAsia="zh-CN"/>
        </w:rPr>
        <w:t>CAR T-cell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 therapy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in 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 xml:space="preserve">the </w:t>
      </w:r>
      <w:r>
        <w:rPr>
          <w:rFonts w:hint="default" w:ascii="Arial" w:hAnsi="Arial" w:cs="Arial"/>
          <w:sz w:val="24"/>
          <w:szCs w:val="24"/>
          <w:highlight w:val="none"/>
        </w:rPr>
        <w:t>single CD19 group, tandem CD19/CD22 group and sequential CD19/CD22 group.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Arial" w:hAnsi="Arial" w:cs="Arial"/>
          <w:sz w:val="24"/>
          <w:szCs w:val="24"/>
          <w:highlight w:val="none"/>
        </w:rPr>
      </w:pPr>
      <w:r>
        <w:rPr>
          <w:rFonts w:hint="default" w:ascii="Arial" w:hAnsi="Arial" w:cs="Arial"/>
          <w:sz w:val="24"/>
          <w:szCs w:val="24"/>
          <w:highlight w:val="none"/>
        </w:rPr>
        <w:t>(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>D</w:t>
      </w:r>
      <w:r>
        <w:rPr>
          <w:rFonts w:hint="default" w:ascii="Arial" w:hAnsi="Arial" w:cs="Arial"/>
          <w:sz w:val="24"/>
          <w:szCs w:val="24"/>
          <w:highlight w:val="none"/>
        </w:rPr>
        <w:t>) Overall survival (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>E</w:t>
      </w:r>
      <w:r>
        <w:rPr>
          <w:rFonts w:hint="default" w:ascii="Arial" w:hAnsi="Arial" w:cs="Arial"/>
          <w:sz w:val="24"/>
          <w:szCs w:val="24"/>
          <w:highlight w:val="none"/>
        </w:rPr>
        <w:t>) leukemia-free survival and (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>F</w:t>
      </w:r>
      <w:r>
        <w:rPr>
          <w:rFonts w:hint="default" w:ascii="Arial" w:hAnsi="Arial" w:cs="Arial"/>
          <w:sz w:val="24"/>
          <w:szCs w:val="24"/>
          <w:highlight w:val="none"/>
        </w:rPr>
        <w:t>) cumulative incidence of relapse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of patients 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>without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 allo-HSCT after </w:t>
      </w:r>
      <w:r>
        <w:rPr>
          <w:rFonts w:hint="eastAsia" w:ascii="Arial" w:hAnsi="Arial" w:cs="Arial"/>
          <w:sz w:val="24"/>
          <w:szCs w:val="24"/>
          <w:highlight w:val="none"/>
          <w:lang w:eastAsia="zh-CN"/>
        </w:rPr>
        <w:t>CAR T-cell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 therapy among the three groups. </w:t>
      </w:r>
    </w:p>
    <w:p>
      <w:pPr>
        <w:rPr>
          <w:rFonts w:hint="default" w:ascii="Arial" w:hAnsi="Arial" w:cs="Arial"/>
          <w:sz w:val="24"/>
          <w:szCs w:val="24"/>
          <w:highlight w:val="yellow"/>
        </w:rPr>
      </w:pPr>
      <w:r>
        <w:drawing>
          <wp:inline distT="0" distB="0" distL="114300" distR="114300">
            <wp:extent cx="7012305" cy="2879725"/>
            <wp:effectExtent l="0" t="0" r="7620" b="635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1230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>
      <w:pP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br w:type="page"/>
      </w:r>
    </w:p>
    <w:p>
      <w:pPr>
        <w:spacing w:line="360" w:lineRule="auto"/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t>Su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 xml:space="preserve">pplementary Figure 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t>3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 xml:space="preserve">. Survival of patients 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t xml:space="preserve">without high-risk factors 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according to different CAR T-cell therap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t>ies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.</w:t>
      </w:r>
    </w:p>
    <w:p>
      <w:pPr>
        <w:numPr>
          <w:ilvl w:val="0"/>
          <w:numId w:val="0"/>
        </w:numPr>
        <w:spacing w:line="360" w:lineRule="auto"/>
        <w:rPr>
          <w:rFonts w:hint="default" w:ascii="Arial" w:hAnsi="Arial" w:cs="Arial"/>
          <w:sz w:val="24"/>
          <w:szCs w:val="24"/>
          <w:highlight w:val="none"/>
        </w:rPr>
      </w:pPr>
      <w:r>
        <w:rPr>
          <w:rFonts w:hint="default" w:ascii="Arial" w:hAnsi="Arial" w:cs="Arial"/>
          <w:sz w:val="24"/>
          <w:szCs w:val="24"/>
          <w:highlight w:val="none"/>
        </w:rPr>
        <w:t>(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>A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) Overall survival (B) leukemia-free survival and (C) cumulative incidence of relapse of patients who underwent allo-HSCT after </w:t>
      </w:r>
      <w:r>
        <w:rPr>
          <w:rFonts w:hint="eastAsia" w:ascii="Arial" w:hAnsi="Arial" w:cs="Arial"/>
          <w:sz w:val="24"/>
          <w:szCs w:val="24"/>
          <w:highlight w:val="none"/>
          <w:lang w:eastAsia="zh-CN"/>
        </w:rPr>
        <w:t>CAR T-cell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 therapy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in 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 xml:space="preserve">the </w:t>
      </w:r>
      <w:r>
        <w:rPr>
          <w:rFonts w:hint="default" w:ascii="Arial" w:hAnsi="Arial" w:cs="Arial"/>
          <w:sz w:val="24"/>
          <w:szCs w:val="24"/>
          <w:highlight w:val="none"/>
        </w:rPr>
        <w:t>single CD19 group, tandem CD19/CD22 group and sequential CD19/CD22 group.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Arial" w:hAnsi="Arial" w:cs="Arial"/>
          <w:sz w:val="24"/>
          <w:szCs w:val="24"/>
          <w:highlight w:val="none"/>
        </w:rPr>
      </w:pPr>
      <w:r>
        <w:rPr>
          <w:rFonts w:hint="default" w:ascii="Arial" w:hAnsi="Arial" w:cs="Arial"/>
          <w:sz w:val="24"/>
          <w:szCs w:val="24"/>
          <w:highlight w:val="none"/>
        </w:rPr>
        <w:t>(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>D</w:t>
      </w:r>
      <w:r>
        <w:rPr>
          <w:rFonts w:hint="default" w:ascii="Arial" w:hAnsi="Arial" w:cs="Arial"/>
          <w:sz w:val="24"/>
          <w:szCs w:val="24"/>
          <w:highlight w:val="none"/>
        </w:rPr>
        <w:t>) Overall survival (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>E</w:t>
      </w:r>
      <w:r>
        <w:rPr>
          <w:rFonts w:hint="default" w:ascii="Arial" w:hAnsi="Arial" w:cs="Arial"/>
          <w:sz w:val="24"/>
          <w:szCs w:val="24"/>
          <w:highlight w:val="none"/>
        </w:rPr>
        <w:t>) leukemia-free survival and (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>F</w:t>
      </w:r>
      <w:r>
        <w:rPr>
          <w:rFonts w:hint="default" w:ascii="Arial" w:hAnsi="Arial" w:cs="Arial"/>
          <w:sz w:val="24"/>
          <w:szCs w:val="24"/>
          <w:highlight w:val="none"/>
        </w:rPr>
        <w:t>) cumulative incidence of relapse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of patients 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>without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 allo-HSCT after </w:t>
      </w:r>
      <w:r>
        <w:rPr>
          <w:rFonts w:hint="eastAsia" w:ascii="Arial" w:hAnsi="Arial" w:cs="Arial"/>
          <w:sz w:val="24"/>
          <w:szCs w:val="24"/>
          <w:highlight w:val="none"/>
          <w:lang w:eastAsia="zh-CN"/>
        </w:rPr>
        <w:t>CAR T-cell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 therapy among the three groups. 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Arial" w:hAnsi="Arial" w:cs="Arial"/>
          <w:sz w:val="24"/>
          <w:szCs w:val="24"/>
          <w:highlight w:val="yellow"/>
        </w:rPr>
      </w:pPr>
      <w:r>
        <w:drawing>
          <wp:inline distT="0" distB="0" distL="114300" distR="114300">
            <wp:extent cx="7044055" cy="2879725"/>
            <wp:effectExtent l="0" t="0" r="4445" b="635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4405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>
      <w:pP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br w:type="page"/>
      </w:r>
    </w:p>
    <w:p>
      <w:pPr>
        <w:spacing w:line="360" w:lineRule="auto"/>
        <w:rPr>
          <w:rFonts w:hint="default" w:ascii="Arial" w:hAnsi="Arial" w:cs="Arial"/>
          <w:b/>
          <w:bCs/>
          <w:sz w:val="24"/>
          <w:szCs w:val="24"/>
          <w:highlight w:val="none"/>
        </w:rPr>
      </w:pP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t xml:space="preserve">Supplementary 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 xml:space="preserve">Figure </w:t>
      </w:r>
      <w:r>
        <w:rPr>
          <w:rFonts w:hint="default" w:ascii="Arial" w:hAnsi="Arial" w:cs="Arial"/>
          <w:b/>
          <w:bCs/>
          <w:sz w:val="24"/>
          <w:szCs w:val="24"/>
          <w:highlight w:val="none"/>
          <w:lang w:val="en-US" w:eastAsia="zh-CN"/>
        </w:rPr>
        <w:t>4</w:t>
      </w:r>
      <w:r>
        <w:rPr>
          <w:rFonts w:hint="default" w:ascii="Arial" w:hAnsi="Arial" w:cs="Arial"/>
          <w:b/>
          <w:bCs/>
          <w:sz w:val="24"/>
          <w:szCs w:val="24"/>
          <w:highlight w:val="none"/>
        </w:rPr>
        <w:t>. Survival of the entire study population.</w:t>
      </w:r>
    </w:p>
    <w:p>
      <w:pPr>
        <w:numPr>
          <w:ilvl w:val="0"/>
          <w:numId w:val="1"/>
        </w:numPr>
        <w:spacing w:line="360" w:lineRule="auto"/>
        <w:rPr>
          <w:rFonts w:hint="default" w:ascii="Arial" w:hAnsi="Arial" w:cs="Arial"/>
          <w:sz w:val="24"/>
          <w:szCs w:val="24"/>
          <w:highlight w:val="none"/>
        </w:rPr>
      </w:pPr>
      <w:r>
        <w:rPr>
          <w:rFonts w:hint="default" w:ascii="Arial" w:hAnsi="Arial" w:cs="Arial"/>
          <w:sz w:val="24"/>
          <w:szCs w:val="24"/>
          <w:highlight w:val="none"/>
        </w:rPr>
        <w:t xml:space="preserve">Leukemia-free survival of patients according to disease status. </w:t>
      </w:r>
    </w:p>
    <w:p>
      <w:pPr>
        <w:numPr>
          <w:ilvl w:val="0"/>
          <w:numId w:val="1"/>
        </w:numPr>
        <w:spacing w:line="360" w:lineRule="auto"/>
        <w:rPr>
          <w:rFonts w:hint="default" w:ascii="Arial" w:hAnsi="Arial" w:cs="Arial"/>
          <w:sz w:val="24"/>
          <w:szCs w:val="24"/>
          <w:highlight w:val="none"/>
        </w:rPr>
      </w:pPr>
      <w:r>
        <w:rPr>
          <w:rFonts w:hint="default" w:ascii="Arial" w:hAnsi="Arial" w:cs="Arial"/>
          <w:sz w:val="24"/>
          <w:szCs w:val="24"/>
          <w:highlight w:val="none"/>
        </w:rPr>
        <w:t xml:space="preserve">Leukemia-free survival of patients according </w:t>
      </w:r>
      <w:r>
        <w:rPr>
          <w:rFonts w:hint="default" w:ascii="Arial" w:hAnsi="Arial" w:cs="Arial"/>
          <w:sz w:val="24"/>
          <w:szCs w:val="24"/>
          <w:highlight w:val="none"/>
          <w:lang w:val="en-US" w:eastAsia="zh-CN"/>
        </w:rPr>
        <w:t>tumor burden</w:t>
      </w:r>
      <w:r>
        <w:rPr>
          <w:rFonts w:hint="default" w:ascii="Arial" w:hAnsi="Arial" w:cs="Arial"/>
          <w:sz w:val="24"/>
          <w:szCs w:val="24"/>
          <w:highlight w:val="none"/>
        </w:rPr>
        <w:t xml:space="preserve">. </w:t>
      </w:r>
    </w:p>
    <w:p>
      <w:pPr>
        <w:numPr>
          <w:ilvl w:val="0"/>
          <w:numId w:val="1"/>
        </w:numPr>
        <w:spacing w:line="360" w:lineRule="auto"/>
        <w:rPr>
          <w:rFonts w:hint="default" w:ascii="Arial" w:hAnsi="Arial" w:cs="Arial"/>
          <w:sz w:val="24"/>
          <w:szCs w:val="24"/>
          <w:highlight w:val="none"/>
        </w:rPr>
      </w:pPr>
      <w:r>
        <w:rPr>
          <w:rFonts w:hint="default" w:ascii="Arial" w:hAnsi="Arial" w:cs="Arial"/>
          <w:sz w:val="24"/>
          <w:szCs w:val="24"/>
          <w:highlight w:val="none"/>
        </w:rPr>
        <w:t xml:space="preserve">Leukemia-free survival of patients according to response. </w:t>
      </w:r>
    </w:p>
    <w:p>
      <w:pPr>
        <w:numPr>
          <w:ilvl w:val="0"/>
          <w:numId w:val="1"/>
        </w:numPr>
        <w:spacing w:line="360" w:lineRule="auto"/>
        <w:rPr>
          <w:rFonts w:hint="default" w:ascii="Arial" w:hAnsi="Arial" w:cs="Arial"/>
          <w:b w:val="0"/>
          <w:bCs w:val="0"/>
          <w:szCs w:val="24"/>
          <w:highlight w:val="none"/>
        </w:rPr>
      </w:pPr>
      <w:r>
        <w:rPr>
          <w:rFonts w:hint="default" w:ascii="Arial" w:hAnsi="Arial" w:cs="Arial"/>
          <w:b w:val="0"/>
          <w:bCs w:val="0"/>
          <w:sz w:val="24"/>
          <w:szCs w:val="24"/>
          <w:highlight w:val="none"/>
        </w:rPr>
        <w:t xml:space="preserve">Leukemia-free survival of patients according to bridging to allo-HSCT. </w:t>
      </w:r>
    </w:p>
    <w:p>
      <w:pPr>
        <w:jc w:val="center"/>
        <w:rPr>
          <w:rFonts w:hint="eastAsia" w:eastAsia="宋体"/>
          <w:highlight w:val="yellow"/>
          <w:lang w:eastAsia="zh-CN"/>
        </w:rPr>
      </w:pPr>
      <w:r>
        <w:drawing>
          <wp:inline distT="0" distB="0" distL="114300" distR="114300">
            <wp:extent cx="5019675" cy="3239770"/>
            <wp:effectExtent l="0" t="0" r="0" b="825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567" w:right="567" w:bottom="567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FA71D5"/>
    <w:multiLevelType w:val="singleLevel"/>
    <w:tmpl w:val="FCFA71D5"/>
    <w:lvl w:ilvl="0" w:tentative="0">
      <w:start w:val="1"/>
      <w:numFmt w:val="upperLetter"/>
      <w:suff w:val="space"/>
      <w:lvlText w:val="(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6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lZDBkOTg2ZGM2ODAwNmNjMzdiOWI5NjQ0NWE0YzkifQ=="/>
  </w:docVars>
  <w:rsids>
    <w:rsidRoot w:val="00000000"/>
    <w:rsid w:val="021C3B8D"/>
    <w:rsid w:val="0CA263AA"/>
    <w:rsid w:val="18A3214E"/>
    <w:rsid w:val="1A342FFB"/>
    <w:rsid w:val="21666375"/>
    <w:rsid w:val="217D2C20"/>
    <w:rsid w:val="255819F3"/>
    <w:rsid w:val="25906B0D"/>
    <w:rsid w:val="25DF5026"/>
    <w:rsid w:val="2658512A"/>
    <w:rsid w:val="27BB42B6"/>
    <w:rsid w:val="2D951605"/>
    <w:rsid w:val="2E523813"/>
    <w:rsid w:val="2F1715F7"/>
    <w:rsid w:val="31404F80"/>
    <w:rsid w:val="32166AAA"/>
    <w:rsid w:val="33166DD7"/>
    <w:rsid w:val="357C0AAC"/>
    <w:rsid w:val="37F04B3D"/>
    <w:rsid w:val="39CF7407"/>
    <w:rsid w:val="3CB15FDF"/>
    <w:rsid w:val="42C67DBB"/>
    <w:rsid w:val="433F6114"/>
    <w:rsid w:val="43F9532C"/>
    <w:rsid w:val="48E96DF2"/>
    <w:rsid w:val="4BA32E52"/>
    <w:rsid w:val="4BCE1F30"/>
    <w:rsid w:val="4C2800BB"/>
    <w:rsid w:val="4E5F1689"/>
    <w:rsid w:val="4E7A5952"/>
    <w:rsid w:val="567741D0"/>
    <w:rsid w:val="581723B3"/>
    <w:rsid w:val="5AB01635"/>
    <w:rsid w:val="5C62014C"/>
    <w:rsid w:val="5E430061"/>
    <w:rsid w:val="608B58A3"/>
    <w:rsid w:val="6CF76E09"/>
    <w:rsid w:val="6D1A6F2F"/>
    <w:rsid w:val="6DC023EF"/>
    <w:rsid w:val="71D65D98"/>
    <w:rsid w:val="76CD3596"/>
    <w:rsid w:val="79981DB4"/>
    <w:rsid w:val="7A725C26"/>
    <w:rsid w:val="7B19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黑体"/>
      <w:kern w:val="44"/>
      <w:sz w:val="36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大标题"/>
    <w:basedOn w:val="1"/>
    <w:qFormat/>
    <w:uiPriority w:val="0"/>
    <w:pPr>
      <w:jc w:val="center"/>
    </w:pPr>
    <w:rPr>
      <w:rFonts w:ascii="Times New Roman" w:hAnsi="Times New Roman" w:eastAsia="黑体"/>
      <w:sz w:val="36"/>
      <w:szCs w:val="21"/>
    </w:rPr>
  </w:style>
  <w:style w:type="paragraph" w:customStyle="1" w:styleId="8">
    <w:name w:val="小标题"/>
    <w:basedOn w:val="1"/>
    <w:qFormat/>
    <w:uiPriority w:val="0"/>
    <w:pPr>
      <w:jc w:val="center"/>
    </w:pPr>
    <w:rPr>
      <w:rFonts w:ascii="Times New Roman" w:hAnsi="Times New Roman" w:eastAsia="黑体"/>
      <w:sz w:val="28"/>
      <w:szCs w:val="21"/>
    </w:rPr>
  </w:style>
  <w:style w:type="character" w:customStyle="1" w:styleId="9">
    <w:name w:val="标题 1 Char"/>
    <w:link w:val="2"/>
    <w:qFormat/>
    <w:uiPriority w:val="0"/>
    <w:rPr>
      <w:rFonts w:eastAsia="黑体"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1282</Words>
  <Characters>9476</Characters>
  <Lines>0</Lines>
  <Paragraphs>0</Paragraphs>
  <TotalTime>2</TotalTime>
  <ScaleCrop>false</ScaleCrop>
  <LinksUpToDate>false</LinksUpToDate>
  <CharactersWithSpaces>9939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2021-03-19T04:19:00Z</dcterms:created>
  <dc:creator>hiahia</dc:creator>
  <cp:lastModifiedBy>hiahia</cp:lastModifiedBy>
  <dcterms:modified xsi:type="dcterms:W3CDTF">2023-03-09T08:18:45Z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F1B4BB09BDE94D52ABDA6E3078F44C78</vt:lpwstr>
  </property>
</Properties>
</file>