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49969" w14:textId="77777777" w:rsidR="00C96475" w:rsidRPr="00593813" w:rsidRDefault="00C96475" w:rsidP="00320ED4">
      <w:pPr>
        <w:spacing w:line="240" w:lineRule="auto"/>
        <w:ind w:left="-142"/>
        <w:rPr>
          <w:rFonts w:ascii="Times New Roman" w:hAnsi="Times New Roman" w:cs="Times New Roman"/>
          <w:lang w:val="en-GB"/>
        </w:rPr>
      </w:pPr>
      <w:r w:rsidRPr="00C66B3C">
        <w:rPr>
          <w:rFonts w:ascii="Times New Roman" w:hAnsi="Times New Roman" w:cs="Times New Roman"/>
          <w:b/>
          <w:bCs/>
          <w:lang w:val="en-GB"/>
        </w:rPr>
        <w:t>Suppl. Table 1</w:t>
      </w:r>
      <w:r w:rsidRPr="00C66B3C">
        <w:rPr>
          <w:rFonts w:ascii="Times New Roman" w:hAnsi="Times New Roman" w:cs="Times New Roman"/>
          <w:lang w:val="en-GB"/>
        </w:rPr>
        <w:t>. Agreement between the risk groups of IPI, NCCN-IPI, and other clinical models with</w:t>
      </w:r>
      <w:r w:rsidRPr="00593813">
        <w:rPr>
          <w:rFonts w:ascii="Times New Roman" w:hAnsi="Times New Roman" w:cs="Times New Roman"/>
          <w:lang w:val="en-GB"/>
        </w:rPr>
        <w:t xml:space="preserve"> four</w:t>
      </w:r>
      <w:r>
        <w:rPr>
          <w:rFonts w:ascii="Times New Roman" w:hAnsi="Times New Roman" w:cs="Times New Roman"/>
          <w:lang w:val="en-GB"/>
        </w:rPr>
        <w:t>-</w:t>
      </w:r>
      <w:r w:rsidRPr="00593813">
        <w:rPr>
          <w:rFonts w:ascii="Times New Roman" w:hAnsi="Times New Roman" w:cs="Times New Roman"/>
          <w:lang w:val="en-GB"/>
        </w:rPr>
        <w:t xml:space="preserve">risk groups </w:t>
      </w:r>
      <w:r>
        <w:rPr>
          <w:rFonts w:ascii="Times New Roman" w:hAnsi="Times New Roman" w:cs="Times New Roman"/>
          <w:lang w:val="en-GB"/>
        </w:rPr>
        <w:t xml:space="preserve">evaluated using </w:t>
      </w:r>
      <w:r w:rsidRPr="00593813">
        <w:rPr>
          <w:rFonts w:ascii="Times New Roman" w:hAnsi="Times New Roman" w:cs="Times New Roman"/>
          <w:lang w:val="en-GB"/>
        </w:rPr>
        <w:t xml:space="preserve">weighted Cohen </w:t>
      </w:r>
      <w:proofErr w:type="gramStart"/>
      <w:r>
        <w:rPr>
          <w:rFonts w:ascii="Times New Roman" w:hAnsi="Times New Roman" w:cs="Times New Roman"/>
          <w:lang w:val="en-GB"/>
        </w:rPr>
        <w:t>κ</w:t>
      </w:r>
      <w:proofErr w:type="gramEnd"/>
      <w:r w:rsidRPr="00593813">
        <w:rPr>
          <w:rFonts w:ascii="Times New Roman" w:hAnsi="Times New Roman" w:cs="Times New Roman"/>
          <w:lang w:val="en-GB"/>
        </w:rPr>
        <w:t xml:space="preserve"> </w:t>
      </w:r>
    </w:p>
    <w:tbl>
      <w:tblPr>
        <w:tblStyle w:val="PlainTable2"/>
        <w:tblpPr w:leftFromText="180" w:rightFromText="180" w:vertAnchor="text" w:tblpX="-147" w:tblpY="1"/>
        <w:tblW w:w="14475" w:type="dxa"/>
        <w:tblLayout w:type="fixed"/>
        <w:tblLook w:val="04A0" w:firstRow="1" w:lastRow="0" w:firstColumn="1" w:lastColumn="0" w:noHBand="0" w:noVBand="1"/>
      </w:tblPr>
      <w:tblGrid>
        <w:gridCol w:w="1560"/>
        <w:gridCol w:w="1365"/>
        <w:gridCol w:w="1734"/>
        <w:gridCol w:w="1785"/>
        <w:gridCol w:w="1511"/>
        <w:gridCol w:w="1275"/>
        <w:gridCol w:w="1843"/>
        <w:gridCol w:w="1843"/>
        <w:gridCol w:w="1559"/>
      </w:tblGrid>
      <w:tr w:rsidR="00C96475" w:rsidRPr="00B564EE" w14:paraId="28B6B1A7" w14:textId="77777777" w:rsidTr="00320ED4">
        <w:trPr>
          <w:cnfStyle w:val="100000000000" w:firstRow="1" w:lastRow="0" w:firstColumn="0" w:lastColumn="0" w:oddVBand="0" w:evenVBand="0" w:oddHBand="0"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560" w:type="dxa"/>
          </w:tcPr>
          <w:p w14:paraId="1CBDFC75" w14:textId="77777777" w:rsidR="00C96475" w:rsidRPr="002F7E13" w:rsidRDefault="00C96475" w:rsidP="00320ED4">
            <w:pPr>
              <w:rPr>
                <w:rFonts w:ascii="Times New Roman" w:hAnsi="Times New Roman" w:cs="Times New Roman"/>
                <w:lang w:val="en-GB"/>
              </w:rPr>
            </w:pPr>
          </w:p>
        </w:tc>
        <w:tc>
          <w:tcPr>
            <w:tcW w:w="6395" w:type="dxa"/>
            <w:gridSpan w:val="4"/>
          </w:tcPr>
          <w:p w14:paraId="3F8AC788" w14:textId="77777777" w:rsidR="00C96475" w:rsidRPr="00A52968" w:rsidRDefault="00C96475" w:rsidP="00320E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 xml:space="preserve"> IPI</w:t>
            </w:r>
          </w:p>
          <w:p w14:paraId="4A1591A2" w14:textId="77777777" w:rsidR="00C96475" w:rsidRPr="00A52968" w:rsidRDefault="00C96475" w:rsidP="00320E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(N=5126)</w:t>
            </w:r>
          </w:p>
        </w:tc>
        <w:tc>
          <w:tcPr>
            <w:tcW w:w="6520" w:type="dxa"/>
            <w:gridSpan w:val="4"/>
          </w:tcPr>
          <w:p w14:paraId="3880DCE7" w14:textId="77777777" w:rsidR="00C96475" w:rsidRPr="00A52968" w:rsidRDefault="00C96475" w:rsidP="00320E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 xml:space="preserve"> NCCN-IPI</w:t>
            </w:r>
          </w:p>
          <w:p w14:paraId="42A756B8" w14:textId="77777777" w:rsidR="00C96475" w:rsidRPr="00A52968" w:rsidRDefault="00C96475" w:rsidP="00320E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(N=5126)</w:t>
            </w:r>
          </w:p>
        </w:tc>
      </w:tr>
      <w:tr w:rsidR="00C96475" w:rsidRPr="00B564EE" w14:paraId="401B67D4" w14:textId="77777777" w:rsidTr="00320ED4">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560" w:type="dxa"/>
          </w:tcPr>
          <w:p w14:paraId="03CA2139"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Prognostic</w:t>
            </w:r>
          </w:p>
          <w:p w14:paraId="7C693B1B"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models</w:t>
            </w:r>
          </w:p>
        </w:tc>
        <w:tc>
          <w:tcPr>
            <w:tcW w:w="1365" w:type="dxa"/>
          </w:tcPr>
          <w:p w14:paraId="6C0D6BD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N misclassified patients (%) </w:t>
            </w:r>
          </w:p>
        </w:tc>
        <w:tc>
          <w:tcPr>
            <w:tcW w:w="1734" w:type="dxa"/>
          </w:tcPr>
          <w:p w14:paraId="59F04DF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N misclassified patients</w:t>
            </w:r>
          </w:p>
          <w:p w14:paraId="72EBAB4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within IPI risk groups (%)</w:t>
            </w:r>
          </w:p>
        </w:tc>
        <w:tc>
          <w:tcPr>
            <w:tcW w:w="1785" w:type="dxa"/>
          </w:tcPr>
          <w:p w14:paraId="5615FB7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N of equally classified patients within IPI (%)</w:t>
            </w:r>
          </w:p>
        </w:tc>
        <w:tc>
          <w:tcPr>
            <w:tcW w:w="1511" w:type="dxa"/>
          </w:tcPr>
          <w:p w14:paraId="245CBAB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weighted κ*</w:t>
            </w:r>
          </w:p>
        </w:tc>
        <w:tc>
          <w:tcPr>
            <w:tcW w:w="1275" w:type="dxa"/>
          </w:tcPr>
          <w:p w14:paraId="14736741"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N misclassified patients (%)</w:t>
            </w:r>
          </w:p>
        </w:tc>
        <w:tc>
          <w:tcPr>
            <w:tcW w:w="1843" w:type="dxa"/>
          </w:tcPr>
          <w:p w14:paraId="2A4CF69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N misclassified patients</w:t>
            </w:r>
            <w:r>
              <w:rPr>
                <w:rFonts w:ascii="Times New Roman" w:hAnsi="Times New Roman" w:cs="Times New Roman"/>
                <w:lang w:val="en-GB"/>
              </w:rPr>
              <w:t xml:space="preserve"> </w:t>
            </w:r>
            <w:r w:rsidRPr="002A37BB">
              <w:rPr>
                <w:rFonts w:ascii="Times New Roman" w:hAnsi="Times New Roman" w:cs="Times New Roman"/>
                <w:lang w:val="en-GB"/>
              </w:rPr>
              <w:t>within NCCN-IPI risk groups (%)</w:t>
            </w:r>
          </w:p>
        </w:tc>
        <w:tc>
          <w:tcPr>
            <w:tcW w:w="1843" w:type="dxa"/>
          </w:tcPr>
          <w:p w14:paraId="659DC23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N equally classified patients within NCCN-IPI (%)</w:t>
            </w:r>
          </w:p>
        </w:tc>
        <w:tc>
          <w:tcPr>
            <w:tcW w:w="1559" w:type="dxa"/>
          </w:tcPr>
          <w:p w14:paraId="7031C33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weighted κ</w:t>
            </w:r>
          </w:p>
        </w:tc>
      </w:tr>
      <w:tr w:rsidR="00C96475" w:rsidRPr="002A37BB" w14:paraId="55C120DB" w14:textId="77777777" w:rsidTr="00320ED4">
        <w:trPr>
          <w:trHeight w:val="1086"/>
        </w:trPr>
        <w:tc>
          <w:tcPr>
            <w:cnfStyle w:val="001000000000" w:firstRow="0" w:lastRow="0" w:firstColumn="1" w:lastColumn="0" w:oddVBand="0" w:evenVBand="0" w:oddHBand="0" w:evenHBand="0" w:firstRowFirstColumn="0" w:firstRowLastColumn="0" w:lastRowFirstColumn="0" w:lastRowLastColumn="0"/>
            <w:tcW w:w="1560" w:type="dxa"/>
          </w:tcPr>
          <w:p w14:paraId="766B0F3F"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IPI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{"citationItems":[{"id":"ITEM-1","itemData":{"abstract":"BACKGROUND: Although many patients with intermediate-grade or high-grade (aggressive) non-Hodgkin's lymphoma are cured by combination chemotherapy, the remainder are not cured and ultimately die of their disease. The Ann Arbor classification, used to determine the stage of this disease, does not consistently distinguish between patients with different long-term prognoses. This project was undertaken to develop a model for predicting outcome in patients with aggressive non-Hodgkin's lymphoma on the basis of the patients' clinical characteristics before treatment. METHODS: Adults with aggressive non-Hodgkin's lymphoma from 16 institutions and cooperative groups in the United States, Europe, and Canada who were treated between 1982 and 1987 with combination-chemotherapy regimens containing doxorubicin were evaluated for clinical features predictive of overall survival and relapse-free survival. Features that remained independently significant in step-down regression analyses of survival were incorporated into models that identified groups of patients of all ages and groups of patients no more than 60 years old with different risks of death. RESULTS: In 2031 patients of all ages, our model, based on age, tumor stage, serum lactate dehydrogenase concentration, performance status, and number of extranodal disease sites, identified four risk groups with predicted five-year survival rates of 73 percent, 51 percent, 43 percent, and 26 percent. In 1274 patients 60 or younger, an age-adjusted model based on tumor stage, lactate dehydrogenase level, and performance status identified four risk groups with predicted five-year survival rates of 83 percent, 69 percent, 46 percent, and 32 percent. In both models, the increased risk of death was due to both a lower rate of complete responses and a higher rate of relapse from complete response. These two indexes, called the international index and the age-adjusted international index, were significantly more accurate than the Ann Arbor classification in predicting long-term survival. CONCLUSIONS: The international index and the age-adjusted international index should be used in the design of future therapeutic trials in patients with aggressive non-Hodgkin's lymphoma and in the selection of appropriate therapeutic approaches for individual patients.","author":[{"dropping-particle":"","family":"Shipp et al.","given":"","non-dropping-particle":"","parse-names":false,"suffix":""}],"container-title":"The New England journal of medicine","id":"ITEM-1","issue":"14","issued":{"date-parts":[["1993","9","30"]]},"page":"987-94","title":"A predictive model for aggressive non-Hodgkin's lymphoma. The International Non-Hodgkin's Lymphoma Prognostic Factors Project.","type":"article-journal","volume":"329"},"uris":["http://www.mendeley.com/documents/?uuid=4589339a-1e84-433b-b7aa-41b91592e92e"]}],"mendeley":{"formattedCitation":"&lt;sup&gt;3&lt;/sup&gt;","plainTextFormattedCitation":"3","previouslyFormattedCitation":"(Shipp et al., 1993)"},"properties":{"noteIndex":0},"schema":"https://github.com/citation-style-language/schema/raw/master/csl-citation.json"}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w:t>
            </w:r>
            <w:r w:rsidRPr="002A37BB">
              <w:rPr>
                <w:rFonts w:ascii="Times New Roman" w:hAnsi="Times New Roman" w:cs="Times New Roman"/>
                <w:lang w:val="en-GB"/>
              </w:rPr>
              <w:fldChar w:fldCharType="end"/>
            </w:r>
          </w:p>
        </w:tc>
        <w:tc>
          <w:tcPr>
            <w:tcW w:w="1365" w:type="dxa"/>
          </w:tcPr>
          <w:p w14:paraId="0434DEEC"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c>
          <w:tcPr>
            <w:tcW w:w="1734" w:type="dxa"/>
          </w:tcPr>
          <w:p w14:paraId="7B58C11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c>
          <w:tcPr>
            <w:tcW w:w="1785" w:type="dxa"/>
          </w:tcPr>
          <w:p w14:paraId="16F4D33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c>
          <w:tcPr>
            <w:tcW w:w="1511" w:type="dxa"/>
          </w:tcPr>
          <w:p w14:paraId="4957DDF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A37BB">
              <w:rPr>
                <w:rFonts w:ascii="Times New Roman" w:hAnsi="Times New Roman" w:cs="Times New Roman"/>
                <w:lang w:val="en-GB"/>
              </w:rPr>
              <w:t>/</w:t>
            </w:r>
          </w:p>
        </w:tc>
        <w:tc>
          <w:tcPr>
            <w:tcW w:w="1275" w:type="dxa"/>
          </w:tcPr>
          <w:p w14:paraId="4AEC1A2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A37BB">
              <w:rPr>
                <w:rFonts w:ascii="Times New Roman" w:hAnsi="Times New Roman" w:cs="Times New Roman"/>
              </w:rPr>
              <w:t>2015 (39.3)</w:t>
            </w:r>
          </w:p>
        </w:tc>
        <w:tc>
          <w:tcPr>
            <w:tcW w:w="1843" w:type="dxa"/>
          </w:tcPr>
          <w:p w14:paraId="5EB47C45"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 5 (1.2)</w:t>
            </w:r>
          </w:p>
          <w:p w14:paraId="4D105A0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1029 (55.0)</w:t>
            </w:r>
          </w:p>
          <w:p w14:paraId="075B8FA6"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897 (42.1)</w:t>
            </w:r>
          </w:p>
          <w:p w14:paraId="5EA28E7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84 (11.8)</w:t>
            </w:r>
          </w:p>
        </w:tc>
        <w:tc>
          <w:tcPr>
            <w:tcW w:w="1843" w:type="dxa"/>
          </w:tcPr>
          <w:p w14:paraId="1D418B03"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409 (98.8)</w:t>
            </w:r>
          </w:p>
          <w:p w14:paraId="767EA2A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841 (45.0)</w:t>
            </w:r>
          </w:p>
          <w:p w14:paraId="73326263"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1232 (57.9)</w:t>
            </w:r>
          </w:p>
          <w:p w14:paraId="6EF5770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629 (88.2)</w:t>
            </w:r>
          </w:p>
        </w:tc>
        <w:tc>
          <w:tcPr>
            <w:tcW w:w="1559" w:type="dxa"/>
          </w:tcPr>
          <w:p w14:paraId="59E56778"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0.638 </w:t>
            </w:r>
          </w:p>
          <w:p w14:paraId="50BF4B85"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A37BB">
              <w:rPr>
                <w:rFonts w:ascii="Times New Roman" w:hAnsi="Times New Roman" w:cs="Times New Roman"/>
                <w:lang w:val="en-GB"/>
              </w:rPr>
              <w:t>(0.625; 0.650)</w:t>
            </w:r>
          </w:p>
        </w:tc>
      </w:tr>
      <w:tr w:rsidR="00C96475" w:rsidRPr="002A37BB" w14:paraId="65595D1F" w14:textId="77777777" w:rsidTr="00320ED4">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60" w:type="dxa"/>
          </w:tcPr>
          <w:p w14:paraId="6D164ED8" w14:textId="77777777" w:rsidR="00C96475" w:rsidRPr="002A37BB" w:rsidRDefault="00C96475" w:rsidP="00320ED4">
            <w:pPr>
              <w:rPr>
                <w:rFonts w:ascii="Times New Roman" w:hAnsi="Times New Roman" w:cs="Times New Roman"/>
                <w:lang w:val="en-GB"/>
              </w:rPr>
            </w:pPr>
            <w:proofErr w:type="spellStart"/>
            <w:r w:rsidRPr="002A37BB">
              <w:rPr>
                <w:rFonts w:ascii="Times New Roman" w:hAnsi="Times New Roman" w:cs="Times New Roman"/>
                <w:lang w:val="en-GB"/>
              </w:rPr>
              <w:t>aaIPI</w:t>
            </w:r>
            <w:proofErr w:type="spellEnd"/>
            <w:r w:rsidRPr="002A37BB">
              <w:rPr>
                <w:rFonts w:ascii="Times New Roman" w:hAnsi="Times New Roman" w:cs="Times New Roman"/>
                <w:lang w:val="en-GB"/>
              </w:rPr>
              <w:t xml:space="preserve">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{"citationItems":[{"id":"ITEM-1","itemData":{"abstract":"BACKGROUND: Although many patients with intermediate-grade or high-grade (aggressive) non-Hodgkin's lymphoma are cured by combination chemotherapy, the remainder are not cured and ultimately die of their disease. The Ann Arbor classification, used to determine the stage of this disease, does not consistently distinguish between patients with different long-term prognoses. This project was undertaken to develop a model for predicting outcome in patients with aggressive non-Hodgkin's lymphoma on the basis of the patients' clinical characteristics before treatment. METHODS: Adults with aggressive non-Hodgkin's lymphoma from 16 institutions and cooperative groups in the United States, Europe, and Canada who were treated between 1982 and 1987 with combination-chemotherapy regimens containing doxorubicin were evaluated for clinical features predictive of overall survival and relapse-free survival. Features that remained independently significant in step-down regression analyses of survival were incorporated into models that identified groups of patients of all ages and groups of patients no more than 60 years old with different risks of death. RESULTS: In 2031 patients of all ages, our model, based on age, tumor stage, serum lactate dehydrogenase concentration, performance status, and number of extranodal disease sites, identified four risk groups with predicted five-year survival rates of 73 percent, 51 percent, 43 percent, and 26 percent. In 1274 patients 60 or younger, an age-adjusted model based on tumor stage, lactate dehydrogenase level, and performance status identified four risk groups with predicted five-year survival rates of 83 percent, 69 percent, 46 percent, and 32 percent. In both models, the increased risk of death was due to both a lower rate of complete responses and a higher rate of relapse from complete response. These two indexes, called the international index and the age-adjusted international index, were significantly more accurate than the Ann Arbor classification in predicting long-term survival. CONCLUSIONS: The international index and the age-adjusted international index should be used in the design of future therapeutic trials in patients with aggressive non-Hodgkin's lymphoma and in the selection of appropriate therapeutic approaches for individual patients.","author":[{"dropping-particle":"","family":"Shipp et al.","given":"","non-dropping-particle":"","parse-names":false,"suffix":""}],"container-title":"The New England journal of medicine","id":"ITEM-1","issue":"14","issued":{"date-parts":[["1993","9","30"]]},"page":"987-94","title":"A predictive model for aggressive non-Hodgkin's lymphoma. The International Non-Hodgkin's Lymphoma Prognostic Factors Project.","type":"article-journal","volume":"329"},"uris":["http://www.mendeley.com/documents/?uuid=4589339a-1e84-433b-b7aa-41b91592e92e"]}],"mendeley":{"formattedCitation":"&lt;sup&gt;3&lt;/sup&gt;","plainTextFormattedCitation":"3","previouslyFormattedCitation":"(Shipp et al., 1993)"},"properties":{"noteIndex":0},"schema":"https://github.com/citation-style-language/schema/raw/master/csl-citation.json"}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w:t>
            </w:r>
            <w:r w:rsidRPr="002A37BB">
              <w:rPr>
                <w:rFonts w:ascii="Times New Roman" w:hAnsi="Times New Roman" w:cs="Times New Roman"/>
                <w:lang w:val="en-GB"/>
              </w:rPr>
              <w:fldChar w:fldCharType="end"/>
            </w:r>
          </w:p>
        </w:tc>
        <w:tc>
          <w:tcPr>
            <w:tcW w:w="1365" w:type="dxa"/>
          </w:tcPr>
          <w:p w14:paraId="0BDB93C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1465 (28.5)</w:t>
            </w:r>
          </w:p>
        </w:tc>
        <w:tc>
          <w:tcPr>
            <w:tcW w:w="1734" w:type="dxa"/>
          </w:tcPr>
          <w:p w14:paraId="01C114E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372 (27.7)</w:t>
            </w:r>
          </w:p>
          <w:p w14:paraId="674CCDEB"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463 (36.5)</w:t>
            </w:r>
          </w:p>
          <w:p w14:paraId="088499F3"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318 (22.3)</w:t>
            </w:r>
          </w:p>
          <w:p w14:paraId="6212C72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312 (28.6)</w:t>
            </w:r>
          </w:p>
        </w:tc>
        <w:tc>
          <w:tcPr>
            <w:tcW w:w="1785" w:type="dxa"/>
          </w:tcPr>
          <w:p w14:paraId="056E449D"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970 (72.3)</w:t>
            </w:r>
          </w:p>
          <w:p w14:paraId="724AE5AB"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804 (63.5)</w:t>
            </w:r>
          </w:p>
          <w:p w14:paraId="3E59B88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1108 (77.7)</w:t>
            </w:r>
          </w:p>
          <w:p w14:paraId="1308B9A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779 (71.4</w:t>
            </w:r>
          </w:p>
        </w:tc>
        <w:tc>
          <w:tcPr>
            <w:tcW w:w="1511" w:type="dxa"/>
          </w:tcPr>
          <w:p w14:paraId="50C6443B"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0.758 </w:t>
            </w:r>
          </w:p>
          <w:p w14:paraId="6134771B"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(0.747; 0.769)</w:t>
            </w:r>
          </w:p>
        </w:tc>
        <w:tc>
          <w:tcPr>
            <w:tcW w:w="1275" w:type="dxa"/>
          </w:tcPr>
          <w:p w14:paraId="34CA2153"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2420 (47.2)</w:t>
            </w:r>
          </w:p>
        </w:tc>
        <w:tc>
          <w:tcPr>
            <w:tcW w:w="1843" w:type="dxa"/>
          </w:tcPr>
          <w:p w14:paraId="496D30D0"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90 (21.7)</w:t>
            </w:r>
          </w:p>
          <w:p w14:paraId="7CF6763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1093 (58.4)</w:t>
            </w:r>
          </w:p>
          <w:p w14:paraId="162260AC"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956 (44.9)</w:t>
            </w:r>
          </w:p>
          <w:p w14:paraId="3FE3529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281 (39.4)</w:t>
            </w:r>
          </w:p>
        </w:tc>
        <w:tc>
          <w:tcPr>
            <w:tcW w:w="1843" w:type="dxa"/>
          </w:tcPr>
          <w:p w14:paraId="0EE550B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324 (78.3)</w:t>
            </w:r>
          </w:p>
          <w:p w14:paraId="0E5643B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777 (41.6)</w:t>
            </w:r>
          </w:p>
          <w:p w14:paraId="1E71798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1173 (55.1)</w:t>
            </w:r>
          </w:p>
          <w:p w14:paraId="02504860"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432 (60.6)</w:t>
            </w:r>
          </w:p>
        </w:tc>
        <w:tc>
          <w:tcPr>
            <w:tcW w:w="1559" w:type="dxa"/>
          </w:tcPr>
          <w:p w14:paraId="5CF548EA"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0.513 </w:t>
            </w:r>
          </w:p>
          <w:p w14:paraId="48FB222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(0.498; 0.529)</w:t>
            </w:r>
          </w:p>
        </w:tc>
      </w:tr>
      <w:tr w:rsidR="00C96475" w:rsidRPr="002A37BB" w14:paraId="661EEECE" w14:textId="77777777" w:rsidTr="00320ED4">
        <w:trPr>
          <w:trHeight w:val="264"/>
        </w:trPr>
        <w:tc>
          <w:tcPr>
            <w:cnfStyle w:val="001000000000" w:firstRow="0" w:lastRow="0" w:firstColumn="1" w:lastColumn="0" w:oddVBand="0" w:evenVBand="0" w:oddHBand="0" w:evenHBand="0" w:firstRowFirstColumn="0" w:firstRowLastColumn="0" w:lastRowFirstColumn="0" w:lastRowLastColumn="0"/>
            <w:tcW w:w="1560" w:type="dxa"/>
          </w:tcPr>
          <w:p w14:paraId="3056683F"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NCCN-IPI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has been the basis for determining prognosis in patients with aggressive non-Hodgkin lymphoma (NHL) for the past 20 years. Using raw clinical data from the National Comprehensive Cancer Network (NCCN) database collected during the rituximab era, we built an enhanced IPI with the goal of improving risk stratification. Clinical features from 1650 adults with de novo diffuse large B-cell lymphoma (DLBCL) diagnosed from 2000-2010 at 7 NCCN cancer centers were assessed for their prognostic significance, with statistical efforts to further refine the categorization of age and normalized LDH. Five predictors (age, lactate dehydrogenase (LDH), sites of involvement, Ann Arbor stage, ECOG performance status) were identified and a maximum of 8 points assigned. Four risk groups were formed: low (0-1), low-intermediate (2-3), high-intermediate (4-5), and high (6-8). Compared with the IPI, the NCCN-IPI better discriminated low- and high-risk subgroups (5-year overall survival [OS]: 96% vs 33%) than the IPI (5 year OS: 90% vs 54%), respectively. When validated using an independent cohort from the British Columbia Cancer Agency (n = 1138), it also demonstrated enhanced discrimination for both low- and high-risk patients. The NCCN-IPI is easy to apply and more powerful than the IPI for predicting survival in the rituximab era.","author":[{"dropping-particle":"","family":"Zhou","given":"Zheng","non-dropping-particle":"","parse-names":false,"suffix":""},{"dropping-particle":"","family":"Sehn","given":"Laurie H","non-dropping-particle":"","parse-names":false,"suffix":""},{"dropping-particle":"","family":"Rademaker","given":"Alfred W","non-dropping-particle":"","parse-names":false,"suffix":""},{"dropping-particle":"","family":"Gordon","given":"Leo I","non-dropping-particle":"","parse-names":false,"suffix":""},{"dropping-particle":"","family":"Lacasce","given":"Ann S","non-dropping-particle":"","parse-names":false,"suffix":""},{"dropping-particle":"","family":"Crosby-Thompson","given":"Allison","non-dropping-particle":"","parse-names":false,"suffix":""},{"dropping-particle":"","family":"Vanderplas","given":"Ann","non-dropping-particle":"","parse-names":false,"suffix":""},{"dropping-particle":"","family":"Zelenetz","given":"Andrew D","non-dropping-particle":"","parse-names":false,"suffix":""},{"dropping-particle":"","family":"Abel","given":"Gregory A","non-dropping-particle":"","parse-names":false,"suffix":""},{"dropping-particle":"","family":"Rodriguez","given":"Maria A","non-dropping-particle":"","parse-names":false,"suffix":""},{"dropping-particle":"","family":"Nademanee","given":"Auayporn","non-dropping-particle":"","parse-names":false,"suffix":""},{"dropping-particle":"","family":"Kaminski","given":"Mark S","non-dropping-particle":"","parse-names":false,"suffix":""},{"dropping-particle":"","family":"Czuczman","given":"Myron S","non-dropping-particle":"","parse-names":false,"suffix":""},{"dropping-particle":"","family":"Millenson","given":"Michael","non-dropping-particle":"","parse-names":false,"suffix":""},{"dropping-particle":"","family":"Niland","given":"Joyce","non-dropping-particle":"","parse-names":false,"suffix":""},{"dropping-particle":"","family":"Gascoyne","given":"Randy D","non-dropping-particle":"","parse-names":false,"suffix":""},{"dropping-particle":"","family":"Connors","given":"Joseph M","non-dropping-particle":"","parse-names":false,"suffix":""},{"dropping-particle":"","family":"Friedberg","given":"Jonathan W","non-dropping-particle":"","parse-names":false,"suffix":""},{"dropping-particle":"","family":"Winter","given":"Jane N","non-dropping-particle":"","parse-names":false,"suffix":""}],"container-title":"Blood","id":"ITEM-1","issue":"6","issued":{"date-parts":[["2014","2","6"]]},"page":"837-42","title":"An enhanced International Prognostic Index (NCCN-IPI) for patients with diffuse large B-cell lymphoma treated in the rituximab era.","type":"article-journal","volume":"123"},"uris":["http://www.mendeley.com/documents/?uuid=108d7336-c5ee-4479-8f9f-9f518fa1dc20"]}],"mendeley":{"formattedCitation":"&lt;sup&gt;8&lt;/sup&gt;","plainTextFormattedCitation":"8","previouslyFormattedCitation":"(Zhou et al., 2014)"},"properties":{"noteIndex":0},"schema":"https://github.com/citation-style-language/schema/raw/master/csl-citation.json"}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8</w:t>
            </w:r>
            <w:r w:rsidRPr="002A37BB">
              <w:rPr>
                <w:rFonts w:ascii="Times New Roman" w:hAnsi="Times New Roman" w:cs="Times New Roman"/>
                <w:lang w:val="en-GB"/>
              </w:rPr>
              <w:fldChar w:fldCharType="end"/>
            </w:r>
          </w:p>
        </w:tc>
        <w:tc>
          <w:tcPr>
            <w:tcW w:w="1365" w:type="dxa"/>
          </w:tcPr>
          <w:p w14:paraId="7DEA07A2"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2015 (39.3)</w:t>
            </w:r>
          </w:p>
        </w:tc>
        <w:tc>
          <w:tcPr>
            <w:tcW w:w="1734" w:type="dxa"/>
          </w:tcPr>
          <w:p w14:paraId="1633CE63"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933 (69.5)</w:t>
            </w:r>
          </w:p>
          <w:p w14:paraId="5C815B3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426 (33.6)</w:t>
            </w:r>
          </w:p>
          <w:p w14:paraId="69964AF6"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194 (13.6)</w:t>
            </w:r>
          </w:p>
          <w:p w14:paraId="45C6BFB8"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462 (42.3)</w:t>
            </w:r>
          </w:p>
        </w:tc>
        <w:tc>
          <w:tcPr>
            <w:tcW w:w="1785" w:type="dxa"/>
          </w:tcPr>
          <w:p w14:paraId="74B5D573"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409 (30.5)</w:t>
            </w:r>
          </w:p>
          <w:p w14:paraId="7ECA944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841 (66.4)</w:t>
            </w:r>
          </w:p>
          <w:p w14:paraId="3CA7A9E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1232 (86.4)</w:t>
            </w:r>
          </w:p>
          <w:p w14:paraId="072F0195"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629 (57.7)</w:t>
            </w:r>
          </w:p>
        </w:tc>
        <w:tc>
          <w:tcPr>
            <w:tcW w:w="1511" w:type="dxa"/>
          </w:tcPr>
          <w:p w14:paraId="315C56BE"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0.638</w:t>
            </w:r>
          </w:p>
          <w:p w14:paraId="3E7897E8"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(0.625; 0.650)</w:t>
            </w:r>
          </w:p>
        </w:tc>
        <w:tc>
          <w:tcPr>
            <w:tcW w:w="1275" w:type="dxa"/>
          </w:tcPr>
          <w:p w14:paraId="336873C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c>
          <w:tcPr>
            <w:tcW w:w="1843" w:type="dxa"/>
          </w:tcPr>
          <w:p w14:paraId="492F551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c>
          <w:tcPr>
            <w:tcW w:w="1843" w:type="dxa"/>
          </w:tcPr>
          <w:p w14:paraId="37E12AFA"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w:t>
            </w:r>
          </w:p>
        </w:tc>
        <w:tc>
          <w:tcPr>
            <w:tcW w:w="1559" w:type="dxa"/>
          </w:tcPr>
          <w:p w14:paraId="543A92C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w:t>
            </w:r>
          </w:p>
        </w:tc>
      </w:tr>
      <w:tr w:rsidR="00C96475" w:rsidRPr="002A37BB" w14:paraId="66583676" w14:textId="77777777" w:rsidTr="00320ED4">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560" w:type="dxa"/>
          </w:tcPr>
          <w:p w14:paraId="4BBC4C59"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DLBCL-PI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introduction of rituximab and generally improved health among elderly patients have increased the survival of patients with diffuse large B-cell lymphoma (DLBCL). The International Prognostic Index (IPI) from 1992 is based on pre-rituximab data from clinical trials including several lymphoma subtypes. We applied IPI factors to a population-based rituximab-treated cohort of 1990 patients diagnosed 2000-2010 and explored new factors and the optimal prognostic age cut-off for DLBCL. Multivariate-analyses (MVA) confirmed the prognostic value of all IPI factors except the presence of &gt; 1 extranodal lesion. The optimal age cut-off was 70 years. In a MVA of albumin, lymphocyte count, sex, immunoglobulin G, bulky disease, hemoglobin and B-symptoms, only albumin was prognostic. We propose: (1) a modified DLBCL prognostic index (DLBCL-PI) including: age (70 years), performance status (PS), lactate dehydrogenase (LDH), stage and albumin level, and (2) a separate age-adjusted DLBCL-PI for patients ≤ 70 years including PS, LDH, albumin level and &gt; 1 extranodal lesion, however excluding stage.","author":[{"dropping-particle":"","family":"Gang","given":"Anne O","non-dropping-particle":"","parse-names":false,"suffix":""},{"dropping-particle":"","family":"Pedersen","given":"Michael","non-dropping-particle":"","parse-names":false,"suffix":""},{"dropping-particle":"","family":"d'Amore","given":"Francesco","non-dropping-particle":"","parse-names":false,"suffix":""},{"dropping-particle":"","family":"Pedersen","given":"Lars M","non-dropping-particle":"","parse-names":false,"suffix":""},{"dropping-particle":"","family":"Jensen","given":"Bo A","non-dropping-particle":"","parse-names":false,"suffix":""},{"dropping-particle":"","family":"Jensen","given":"Paw","non-dropping-particle":"","parse-names":false,"suffix":""},{"dropping-particle":"","family":"Møller","given":"Michael B","non-dropping-particle":"","parse-names":false,"suffix":""},{"dropping-particle":"","family":"Mourits-Andersen","given":"Hans T","non-dropping-particle":"","parse-names":false,"suffix":""},{"dropping-particle":"","family":"Pedersen","given":"Robert S","non-dropping-particle":"","parse-names":false,"suffix":""},{"dropping-particle":"","family":"Klausen","given":"Tobias W","non-dropping-particle":"","parse-names":false,"suffix":""},{"dropping-particle":"","family":"N Brown","given":"Peter","non-dropping-particle":"de","parse-names":false,"suffix":""}],"container-title":"Leukemia &amp; lymphoma","id":"ITEM-1","issue":"9","issued":{"date-parts":[["2015","9","2"]]},"page":"2556-62","title":"A clinically based prognostic index for diffuse large B-cell lymphoma with a cut-off at 70 years of age significantly improves prognostic stratification: population-based analysis from the Danish Lymphoma Registry.","type":"article-journal","volume":"56"},"uris":["http://www.mendeley.com/documents/?uuid=28f641a5-2b98-31e2-8f63-0536392d552f"]}],"mendeley":{"formattedCitation":"&lt;sup&gt;12&lt;/sup&gt;","plainTextFormattedCitation":"12","previouslyFormattedCitation":"(Gang et al., 2015)"},"properties":{"noteIndex":0},"schema":"https://github.com/citation-style-language/schema/raw/master/csl-citation.json"}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12</w:t>
            </w:r>
            <w:r w:rsidRPr="002A37BB">
              <w:rPr>
                <w:rFonts w:ascii="Times New Roman" w:hAnsi="Times New Roman" w:cs="Times New Roman"/>
                <w:lang w:val="en-GB"/>
              </w:rPr>
              <w:fldChar w:fldCharType="end"/>
            </w:r>
          </w:p>
        </w:tc>
        <w:tc>
          <w:tcPr>
            <w:tcW w:w="1365" w:type="dxa"/>
          </w:tcPr>
          <w:p w14:paraId="11C9C14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2193 (42.8)</w:t>
            </w:r>
          </w:p>
        </w:tc>
        <w:tc>
          <w:tcPr>
            <w:tcW w:w="1734" w:type="dxa"/>
          </w:tcPr>
          <w:p w14:paraId="0409B86A"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417 (31.1)</w:t>
            </w:r>
          </w:p>
          <w:p w14:paraId="03F45D4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751 (59.3)</w:t>
            </w:r>
          </w:p>
          <w:p w14:paraId="50AB2B0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725 (50.8)</w:t>
            </w:r>
          </w:p>
          <w:p w14:paraId="519FB61D"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300 (27.5)</w:t>
            </w:r>
          </w:p>
        </w:tc>
        <w:tc>
          <w:tcPr>
            <w:tcW w:w="1785" w:type="dxa"/>
          </w:tcPr>
          <w:p w14:paraId="771A644D"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925 (68.9)</w:t>
            </w:r>
          </w:p>
          <w:p w14:paraId="4A86E22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516 (40.7)</w:t>
            </w:r>
          </w:p>
          <w:p w14:paraId="339E8F2B"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701 (49.2)</w:t>
            </w:r>
          </w:p>
          <w:p w14:paraId="64E7236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791 (72.5)</w:t>
            </w:r>
          </w:p>
        </w:tc>
        <w:tc>
          <w:tcPr>
            <w:tcW w:w="1511" w:type="dxa"/>
          </w:tcPr>
          <w:p w14:paraId="1246553B"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0.634 </w:t>
            </w:r>
          </w:p>
          <w:p w14:paraId="2F4062F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(0.621; 0.648)</w:t>
            </w:r>
          </w:p>
        </w:tc>
        <w:tc>
          <w:tcPr>
            <w:tcW w:w="1275" w:type="dxa"/>
          </w:tcPr>
          <w:p w14:paraId="54228AB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2251 (43.9)</w:t>
            </w:r>
          </w:p>
        </w:tc>
        <w:tc>
          <w:tcPr>
            <w:tcW w:w="1843" w:type="dxa"/>
          </w:tcPr>
          <w:p w14:paraId="4C3012D3"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40 (9.7)</w:t>
            </w:r>
          </w:p>
          <w:p w14:paraId="6B4F170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1091 (58.3)</w:t>
            </w:r>
          </w:p>
          <w:p w14:paraId="54330A0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1037 (48.7)</w:t>
            </w:r>
          </w:p>
          <w:p w14:paraId="4513DDD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83 (11.6)</w:t>
            </w:r>
          </w:p>
        </w:tc>
        <w:tc>
          <w:tcPr>
            <w:tcW w:w="1843" w:type="dxa"/>
          </w:tcPr>
          <w:p w14:paraId="26328F9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374 (90.3)</w:t>
            </w:r>
          </w:p>
          <w:p w14:paraId="7CBC8CAB"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779 (41.7)</w:t>
            </w:r>
          </w:p>
          <w:p w14:paraId="686D6804"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1092 (51.3)</w:t>
            </w:r>
          </w:p>
          <w:p w14:paraId="483C50D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630 (88.4)</w:t>
            </w:r>
          </w:p>
        </w:tc>
        <w:tc>
          <w:tcPr>
            <w:tcW w:w="1559" w:type="dxa"/>
          </w:tcPr>
          <w:p w14:paraId="4CF758AC"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0.582 </w:t>
            </w:r>
          </w:p>
          <w:p w14:paraId="48119A4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(0.568; 0.596)</w:t>
            </w:r>
          </w:p>
        </w:tc>
      </w:tr>
      <w:tr w:rsidR="00C96475" w:rsidRPr="002A37BB" w14:paraId="7566417D" w14:textId="77777777" w:rsidTr="00320ED4">
        <w:trPr>
          <w:trHeight w:val="264"/>
        </w:trPr>
        <w:tc>
          <w:tcPr>
            <w:cnfStyle w:val="001000000000" w:firstRow="0" w:lastRow="0" w:firstColumn="1" w:lastColumn="0" w:oddVBand="0" w:evenVBand="0" w:oddHBand="0" w:evenHBand="0" w:firstRowFirstColumn="0" w:firstRowLastColumn="0" w:lastRowFirstColumn="0" w:lastRowLastColumn="0"/>
            <w:tcW w:w="1560" w:type="dxa"/>
          </w:tcPr>
          <w:p w14:paraId="612E2E33" w14:textId="77777777" w:rsidR="00C96475" w:rsidRPr="002A37BB" w:rsidRDefault="00C96475" w:rsidP="00320ED4">
            <w:pPr>
              <w:rPr>
                <w:rFonts w:ascii="Times New Roman" w:hAnsi="Times New Roman" w:cs="Times New Roman"/>
                <w:lang w:val="en-GB"/>
              </w:rPr>
            </w:pPr>
            <w:proofErr w:type="spellStart"/>
            <w:r w:rsidRPr="002A37BB">
              <w:rPr>
                <w:rFonts w:ascii="Times New Roman" w:hAnsi="Times New Roman" w:cs="Times New Roman"/>
                <w:lang w:val="en-GB"/>
              </w:rPr>
              <w:t>aaDLBCL</w:t>
            </w:r>
            <w:proofErr w:type="spellEnd"/>
            <w:r w:rsidRPr="002A37BB">
              <w:rPr>
                <w:rFonts w:ascii="Times New Roman" w:hAnsi="Times New Roman" w:cs="Times New Roman"/>
                <w:lang w:val="en-GB"/>
              </w:rPr>
              <w:t xml:space="preserve">-PI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introduction of rituximab and generally improved health among elderly patients have increased the survival of patients with diffuse large B-cell lymphoma (DLBCL). The International Prognostic Index (IPI) from 1992 is based on pre-rituximab data from clinical trials including several lymphoma subtypes. We applied IPI factors to a population-based rituximab-treated cohort of 1990 patients diagnosed 2000-2010 and explored new factors and the optimal prognostic age cut-off for DLBCL. Multivariate-analyses (MVA) confirmed the prognostic value of all IPI factors except the presence of &gt; 1 extranodal lesion. The optimal age cut-off was 70 years. In a MVA of albumin, lymphocyte count, sex, immunoglobulin G, bulky disease, hemoglobin and B-symptoms, only albumin was prognostic. We propose: (1) a modified DLBCL prognostic index (DLBCL-PI) including: age (70 years), performance status (PS), lactate dehydrogenase (LDH), stage and albumin level, and (2) a separate age-adjusted DLBCL-PI for patients ≤ 70 years including PS, LDH, albumin level and &gt; 1 extranodal lesion, however excluding stage.","author":[{"dropping-particle":"","family":"Gang","given":"Anne O","non-dropping-particle":"","parse-names":false,"suffix":""},{"dropping-particle":"","family":"Pedersen","given":"Michael","non-dropping-particle":"","parse-names":false,"suffix":""},{"dropping-particle":"","family":"d'Amore","given":"Francesco","non-dropping-particle":"","parse-names":false,"suffix":""},{"dropping-particle":"","family":"Pedersen","given":"Lars M","non-dropping-particle":"","parse-names":false,"suffix":""},{"dropping-particle":"","family":"Jensen","given":"Bo A","non-dropping-particle":"","parse-names":false,"suffix":""},{"dropping-particle":"","family":"Jensen","given":"Paw","non-dropping-particle":"","parse-names":false,"suffix":""},{"dropping-particle":"","family":"Møller","given":"Michael B","non-dropping-particle":"","parse-names":false,"suffix":""},{"dropping-particle":"","family":"Mourits-Andersen","given":"Hans T","non-dropping-particle":"","parse-names":false,"suffix":""},{"dropping-particle":"","family":"Pedersen","given":"Robert S","non-dropping-particle":"","parse-names":false,"suffix":""},{"dropping-particle":"","family":"Klausen","given":"Tobias W","non-dropping-particle":"","parse-names":false,"suffix":""},{"dropping-particle":"","family":"N Brown","given":"Peter","non-dropping-particle":"de","parse-names":false,"suffix":""}],"container-title":"Leukemia &amp; lymphoma","id":"ITEM-1","issue":"9","issued":{"date-parts":[["2015","9","2"]]},"page":"2556-62","title":"A clinically based prognostic index for diffuse large B-cell lymphoma with a cut-off at 70 years of age significantly improves prognostic stratification: population-based analysis from the Danish Lymphoma Registry.","type":"article-journal","volume":"56"},"uris":["http://www.mendeley.com/documents/?uuid=28f641a5-2b98-31e2-8f63-0536392d552f"]}],"mendeley":{"formattedCitation":"&lt;sup&gt;12&lt;/sup&gt;","plainTextFormattedCitation":"12","previouslyFormattedCitation":"(Gang et al., 2015)"},"properties":{"noteIndex":0},"schema":"https://github.com/citation-style-language/schema/raw/master/csl-citation.json"}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12</w:t>
            </w:r>
            <w:r w:rsidRPr="002A37BB">
              <w:rPr>
                <w:rFonts w:ascii="Times New Roman" w:hAnsi="Times New Roman" w:cs="Times New Roman"/>
                <w:lang w:val="en-GB"/>
              </w:rPr>
              <w:fldChar w:fldCharType="end"/>
            </w:r>
          </w:p>
        </w:tc>
        <w:tc>
          <w:tcPr>
            <w:tcW w:w="1365" w:type="dxa"/>
          </w:tcPr>
          <w:p w14:paraId="43AF327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2097 (40.9)</w:t>
            </w:r>
          </w:p>
        </w:tc>
        <w:tc>
          <w:tcPr>
            <w:tcW w:w="1734" w:type="dxa"/>
          </w:tcPr>
          <w:p w14:paraId="3330EF0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750 (55.9)</w:t>
            </w:r>
          </w:p>
          <w:p w14:paraId="774FB96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688 (54.3)</w:t>
            </w:r>
          </w:p>
          <w:p w14:paraId="4888DC5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546 (38.3)</w:t>
            </w:r>
          </w:p>
          <w:p w14:paraId="457AD94A"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113 (10.4)</w:t>
            </w:r>
          </w:p>
        </w:tc>
        <w:tc>
          <w:tcPr>
            <w:tcW w:w="1785" w:type="dxa"/>
          </w:tcPr>
          <w:p w14:paraId="14EECF3E"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592 (44.1)</w:t>
            </w:r>
          </w:p>
          <w:p w14:paraId="28912B75"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579 (45.7)</w:t>
            </w:r>
          </w:p>
          <w:p w14:paraId="643CE83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880 (61.7)</w:t>
            </w:r>
          </w:p>
          <w:p w14:paraId="0FA669F8"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978 (89.6)</w:t>
            </w:r>
          </w:p>
        </w:tc>
        <w:tc>
          <w:tcPr>
            <w:tcW w:w="1511" w:type="dxa"/>
          </w:tcPr>
          <w:p w14:paraId="7E3C0198"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0.636 </w:t>
            </w:r>
          </w:p>
          <w:p w14:paraId="5F160E6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(0.622; 0.650)</w:t>
            </w:r>
          </w:p>
        </w:tc>
        <w:tc>
          <w:tcPr>
            <w:tcW w:w="1275" w:type="dxa"/>
          </w:tcPr>
          <w:p w14:paraId="6C32FB00"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2390 (46.6)</w:t>
            </w:r>
          </w:p>
        </w:tc>
        <w:tc>
          <w:tcPr>
            <w:tcW w:w="1843" w:type="dxa"/>
          </w:tcPr>
          <w:p w14:paraId="7AD425A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180 (43.5)</w:t>
            </w:r>
          </w:p>
          <w:p w14:paraId="37B69FF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975 (52.1)</w:t>
            </w:r>
          </w:p>
          <w:p w14:paraId="742478A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1123 (52.7)</w:t>
            </w:r>
          </w:p>
          <w:p w14:paraId="3635DDBC"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112 (15.7)</w:t>
            </w:r>
          </w:p>
        </w:tc>
        <w:tc>
          <w:tcPr>
            <w:tcW w:w="1843" w:type="dxa"/>
          </w:tcPr>
          <w:p w14:paraId="4B88565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234 (56.5)</w:t>
            </w:r>
          </w:p>
          <w:p w14:paraId="4864B6F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895 (47.9)</w:t>
            </w:r>
          </w:p>
          <w:p w14:paraId="5ACC3BDB"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1006 (47.3)</w:t>
            </w:r>
          </w:p>
          <w:p w14:paraId="682132B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601 (84.3)</w:t>
            </w:r>
          </w:p>
        </w:tc>
        <w:tc>
          <w:tcPr>
            <w:tcW w:w="1559" w:type="dxa"/>
          </w:tcPr>
          <w:p w14:paraId="5CA4C2B2"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0.507 </w:t>
            </w:r>
          </w:p>
          <w:p w14:paraId="37CE036D"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(0.491; 0.523)</w:t>
            </w:r>
          </w:p>
        </w:tc>
      </w:tr>
      <w:tr w:rsidR="00C96475" w:rsidRPr="002A37BB" w14:paraId="398B9251" w14:textId="77777777" w:rsidTr="00320ED4">
        <w:trPr>
          <w:cnfStyle w:val="000000100000" w:firstRow="0" w:lastRow="0" w:firstColumn="0" w:lastColumn="0" w:oddVBand="0" w:evenVBand="0" w:oddHBand="1"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1560" w:type="dxa"/>
          </w:tcPr>
          <w:p w14:paraId="6EEB50E4"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Modified NCCN-IPI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has been used for decades in diffuse large B-cell lymphoma (DLBCL). A retrospective cancer registry analysis in North America showed significantly improved results when an enhanced IPI, the National Comprehensive Cancer Network (NCCN)-IPI was applied. This novel score puts more weight on age and high levels of lactate dehydrogenase (LDH). Nevertheless, it remains unclear if these results can be extrapolated to the general population. This retrospective bi-centre analysis included 499 unselected DLBCL patients who were treated with rituximab and anthracycline-based chemoimmunotherapy between 2004 and 2013. In our cohort, the NCCN-IPI was more accurate in identifying patients at low or high risk, despite older age, and more patients with increased LDH. Nevertheless, a modified scoring of the risk factors was required to more accurately identify elderly patients with a very favourable diagnosis, suggesting an impaired value of the original NCCN-IPI in the elderly. Serum β2 -microglobulin and albumin were retained as independent prognostic factors for survival in a multivariate analysis. Our data confirm, for the first time, the superior prognostic power of the NCCN-IPI in an unselected, middle-European cohort. We furthermore propose a modified NCCN-IPI for more accurate prognostication in the elderly. Albumin and β2 -microglobulin levels are likely to add significant information to the NCCN-IPI.","author":[{"dropping-particle":"","family":"Melchardt","given":"Thomas","non-dropping-particle":"","parse-names":false,"suffix":""},{"dropping-particle":"","family":"Troppan","given":"Katharina","non-dropping-particle":"","parse-names":false,"suffix":""},{"dropping-particle":"","family":"Weiss","given":"Lukas","non-dropping-particle":"","parse-names":false,"suffix":""},{"dropping-particle":"","family":"Hufnagl","given":"Clemens","non-dropping-particle":"","parse-names":false,"suffix":""},{"dropping-particle":"","family":"Neureiter","given":"Daniel","non-dropping-particle":"","parse-names":false,"suffix":""},{"dropping-particle":"","family":"Tränkenschuh","given":"Wolfgang","non-dropping-particle":"","parse-names":false,"suffix":""},{"dropping-particle":"","family":"Hopfinger","given":"Georg","non-dropping-particle":"","parse-names":false,"suffix":""},{"dropping-particle":"","family":"Magnes","given":"Teresa","non-dropping-particle":"","parse-names":false,"suffix":""},{"dropping-particle":"","family":"Deutsch","given":"Alexander","non-dropping-particle":"","parse-names":false,"suffix":""},{"dropping-particle":"","family":"Neumeister","given":"Peter","non-dropping-particle":"","parse-names":false,"suffix":""},{"dropping-particle":"","family":"Hackl","given":"Hubert","non-dropping-particle":"","parse-names":false,"suffix":""},{"dropping-particle":"","family":"Greil","given":"Richard","non-dropping-particle":"","parse-names":false,"suffix":""},{"dropping-particle":"","family":"Pichler","given":"Martin","non-dropping-particle":"","parse-names":false,"suffix":""},{"dropping-particle":"","family":"Egle","given":"Alexander","non-dropping-particle":"","parse-names":false,"suffix":""}],"container-title":"British journal of haematology","id":"ITEM-1","issue":"2","issued":{"date-parts":[["2015","1"]]},"page":"239-45","title":"A modified scoring of the NCCN-IPI is more accurate in the elderly and is improved by albumin and β2 -microglobulin.","type":"article-journal","volume":"168"},"uris":["http://www.mendeley.com/documents/?uuid=e630a530-62d2-3e90-94ce-87e258702a6c"]}],"mendeley":{"formattedCitation":"&lt;sup&gt;30&lt;/sup&gt;","plainTextFormattedCitation":"30","previouslyFormattedCitation":"(Melchardt et al., 2015)"},"properties":{"noteIndex":0},"schema":"https://github.com/citation-style-language/schema/raw/master/csl-citation.json"}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30</w:t>
            </w:r>
            <w:r w:rsidRPr="002A37BB">
              <w:rPr>
                <w:rFonts w:ascii="Times New Roman" w:hAnsi="Times New Roman" w:cs="Times New Roman"/>
                <w:lang w:val="en-GB"/>
              </w:rPr>
              <w:fldChar w:fldCharType="end"/>
            </w:r>
          </w:p>
          <w:p w14:paraId="548B3E07" w14:textId="77777777" w:rsidR="00C96475" w:rsidRPr="002A37BB" w:rsidRDefault="00C96475" w:rsidP="00320ED4">
            <w:pPr>
              <w:rPr>
                <w:rFonts w:ascii="Times New Roman" w:hAnsi="Times New Roman" w:cs="Times New Roman"/>
                <w:lang w:val="en-GB"/>
              </w:rPr>
            </w:pPr>
          </w:p>
        </w:tc>
        <w:tc>
          <w:tcPr>
            <w:tcW w:w="1365" w:type="dxa"/>
          </w:tcPr>
          <w:p w14:paraId="7CD76E7A"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1864 (36.4)</w:t>
            </w:r>
          </w:p>
        </w:tc>
        <w:tc>
          <w:tcPr>
            <w:tcW w:w="1734" w:type="dxa"/>
          </w:tcPr>
          <w:p w14:paraId="6FB639A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382 (28.5)</w:t>
            </w:r>
          </w:p>
          <w:p w14:paraId="3CCE94E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666 (52.6)</w:t>
            </w:r>
          </w:p>
          <w:p w14:paraId="5C336F0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124 (8.7)</w:t>
            </w:r>
          </w:p>
          <w:p w14:paraId="3C367AB1"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692 (63.4)</w:t>
            </w:r>
          </w:p>
        </w:tc>
        <w:tc>
          <w:tcPr>
            <w:tcW w:w="1785" w:type="dxa"/>
          </w:tcPr>
          <w:p w14:paraId="110D9F6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960 (71.5)</w:t>
            </w:r>
          </w:p>
          <w:p w14:paraId="52A9411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601 (47.4)</w:t>
            </w:r>
          </w:p>
          <w:p w14:paraId="4232967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1302 (91.3)</w:t>
            </w:r>
          </w:p>
          <w:p w14:paraId="29C3839D"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399 (36.6)</w:t>
            </w:r>
          </w:p>
        </w:tc>
        <w:tc>
          <w:tcPr>
            <w:tcW w:w="1511" w:type="dxa"/>
          </w:tcPr>
          <w:p w14:paraId="4C9CE7D7"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0.654 </w:t>
            </w:r>
          </w:p>
          <w:p w14:paraId="3A76F9B9"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(0.640; 0.668)</w:t>
            </w:r>
          </w:p>
        </w:tc>
        <w:tc>
          <w:tcPr>
            <w:tcW w:w="1275" w:type="dxa"/>
          </w:tcPr>
          <w:p w14:paraId="0157072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1242 (24.2)</w:t>
            </w:r>
          </w:p>
        </w:tc>
        <w:tc>
          <w:tcPr>
            <w:tcW w:w="1843" w:type="dxa"/>
          </w:tcPr>
          <w:p w14:paraId="02BA079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19 (4.5)</w:t>
            </w:r>
          </w:p>
          <w:p w14:paraId="35C1C39C"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954 (51.0)</w:t>
            </w:r>
          </w:p>
          <w:p w14:paraId="657A0CE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 (0)</w:t>
            </w:r>
          </w:p>
          <w:p w14:paraId="164DC141"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269 (37.7)</w:t>
            </w:r>
          </w:p>
        </w:tc>
        <w:tc>
          <w:tcPr>
            <w:tcW w:w="1843" w:type="dxa"/>
          </w:tcPr>
          <w:p w14:paraId="3FFB8B1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395 (95.4)</w:t>
            </w:r>
          </w:p>
          <w:p w14:paraId="3013DF34"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916 (49.0)</w:t>
            </w:r>
          </w:p>
          <w:p w14:paraId="05668C4F"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2129 (100.0)</w:t>
            </w:r>
          </w:p>
          <w:p w14:paraId="4A2171F0"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444 (62.3)</w:t>
            </w:r>
          </w:p>
        </w:tc>
        <w:tc>
          <w:tcPr>
            <w:tcW w:w="1559" w:type="dxa"/>
            <w:shd w:val="clear" w:color="auto" w:fill="auto"/>
          </w:tcPr>
          <w:p w14:paraId="001CE9B8"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0.731 </w:t>
            </w:r>
          </w:p>
          <w:p w14:paraId="703EF00A"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(0.731; 0.755)</w:t>
            </w:r>
          </w:p>
        </w:tc>
      </w:tr>
      <w:tr w:rsidR="00C96475" w:rsidRPr="002A37BB" w14:paraId="3CD01B18" w14:textId="77777777" w:rsidTr="00320ED4">
        <w:trPr>
          <w:trHeight w:val="230"/>
        </w:trPr>
        <w:tc>
          <w:tcPr>
            <w:cnfStyle w:val="001000000000" w:firstRow="0" w:lastRow="0" w:firstColumn="1" w:lastColumn="0" w:oddVBand="0" w:evenVBand="0" w:oddHBand="0" w:evenHBand="0" w:firstRowFirstColumn="0" w:firstRowLastColumn="0" w:lastRowFirstColumn="0" w:lastRowLastColumn="0"/>
            <w:tcW w:w="1560" w:type="dxa"/>
          </w:tcPr>
          <w:p w14:paraId="3A78F7D5"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Modified 3-factor Model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{"citationItems":[{"id":"ITEM-1","itemData":{"abstract":"Several revisions of International Prognostic Index (IPI) have been proposed for patients with diffuse large B-cell lymphoma (DLBCL) after the introduction of rituximab. Expanding evidence suggests that baseline absolute lymphocyte count (ALC) is also an independent factor for outcome prediction. We investigated the optimal prognostic model for these patients in the rituximab era. The study enrolled 274 consecutive patients with DLBCL receiving first-line cyclophosphamide, doxorubicin, vincristine, and prednisone based chemotherapy with rituximab between 2003 and 2009. Five factors within IPI and ALC were entered for Cox regression analysis. Overall survival (OS) and progression-free survival were calculated for different risk groups of models. Efficacy of models was compared by the value of Akaike information criterion (AIC). Revised IPI (R-IPI) and ALC/R-IPI, but not IPI, were informative to discriminate between different risk groups. In multivariate analysis for individual factors of the prognostic models, performance status &gt;1 [odds ratio (OR) 3.59], Ann Arbor stage III or IV (OR 2.24), and ALC &lt;1 × 10⁹/L (OR, 2.75) remained significant. Another modified score based on the three factors divided patients into four risk groups and the 3-year OS rate was 93, 77, 39, and 13 %, respectively. By comparing AIC values in the Cox proportional hazards model, the modified three-factor model was the superior prognostic model followed by established ALC/R-IPI, R-IPI, and standard IPI. In conclusion, the addition of the novel factor, ALC, interacts with other established factors in outcome prediction for DLBCL. Development of a new score is needed for a better risk stratification in the rituximab era and would be helpful in the design of future clinical trials. The proposed three-factor model should be validated in large-scale studies.","author":[{"dropping-particle":"","family":"Huang","given":"Yu-Chung","non-dropping-particle":"","parse-names":false,"suffix":""},{"dropping-particle":"","family":"Liu","given":"Chun-Yu","non-dropping-particle":"","parse-names":false,"suffix":""},{"dropping-particle":"","family":"Lu","given":"Hsueh-Ju","non-dropping-particle":"","parse-names":false,"suffix":""},{"dropping-particle":"","family":"Liu","given":"Han-Tsung","non-dropping-particle":"","parse-names":false,"suffix":""},{"dropping-particle":"","family":"Hung","given":"Man-Hsin","non-dropping-particle":"","parse-names":false,"suffix":""},{"dropping-particle":"","family":"Hong","given":"Ying-Chung","non-dropping-particle":"","parse-names":false,"suffix":""},{"dropping-particle":"","family":"Hsiao","given":"Liang-Tsai","non-dropping-particle":"","parse-names":false,"suffix":""},{"dropping-particle":"","family":"Gau","given":"Jyh-Pyng","non-dropping-particle":"","parse-names":false,"suffix":""},{"dropping-particle":"","family":"Liu","given":"Jin-Hwang","non-dropping-particle":"","parse-names":false,"suffix":""},{"dropping-particle":"","family":"Hsu","given":"Hui-Chi","non-dropping-particle":"","parse-names":false,"suffix":""},{"dropping-particle":"","family":"Chiou","given":"Tzeon-Jye","non-dropping-particle":"","parse-names":false,"suffix":""},{"dropping-particle":"","family":"Chen","given":"Po-Min","non-dropping-particle":"","parse-names":false,"suffix":""},{"dropping-particle":"","family":"Tzeng","given":"Cheng-Hwai","non-dropping-particle":"","parse-names":false,"suffix":""},{"dropping-particle":"","family":"Yu","given":"Yuan-Bin","non-dropping-particle":"","parse-names":false,"suffix":""}],"container-title":"Annals of Hematology","id":"ITEM-1","issue":"11","issued":{"date-parts":[["2013","11","18"]]},"page":"1513-1520","title":"Comparison of prognostic models for patients with diffuse large B-cell lymphoma in the rituximab era","type":"article-journal","volume":"92"},"uris":["http://www.mendeley.com/documents/?uuid=830dc01d-6af9-3a67-bf95-58992d0391fa"]}],"mendeley":{"formattedCitation":"&lt;sup&gt;29&lt;/sup&gt;","plainTextFormattedCitation":"29","previouslyFormattedCitation":"(Huang et al., 2013)"},"properties":{"noteIndex":0},"schema":"https://github.com/citation-style-language/schema/raw/master/csl-citation.json"}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29</w:t>
            </w:r>
            <w:r w:rsidRPr="002A37BB">
              <w:rPr>
                <w:rFonts w:ascii="Times New Roman" w:hAnsi="Times New Roman" w:cs="Times New Roman"/>
                <w:lang w:val="en-GB"/>
              </w:rPr>
              <w:fldChar w:fldCharType="end"/>
            </w:r>
          </w:p>
        </w:tc>
        <w:tc>
          <w:tcPr>
            <w:tcW w:w="1365" w:type="dxa"/>
          </w:tcPr>
          <w:p w14:paraId="4DC8680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2493 (48.6)</w:t>
            </w:r>
          </w:p>
        </w:tc>
        <w:tc>
          <w:tcPr>
            <w:tcW w:w="1734" w:type="dxa"/>
          </w:tcPr>
          <w:p w14:paraId="1C4B3FCA"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346 (25.8)</w:t>
            </w:r>
          </w:p>
          <w:p w14:paraId="0DDAF62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542 (42.8)</w:t>
            </w:r>
          </w:p>
          <w:p w14:paraId="24224B3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832 (58.3)</w:t>
            </w:r>
          </w:p>
          <w:p w14:paraId="52ABC83B"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lastRenderedPageBreak/>
              <w:t>773 (70.9)</w:t>
            </w:r>
          </w:p>
        </w:tc>
        <w:tc>
          <w:tcPr>
            <w:tcW w:w="1785" w:type="dxa"/>
          </w:tcPr>
          <w:p w14:paraId="232D5E12"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lastRenderedPageBreak/>
              <w:t>996 (74.2)</w:t>
            </w:r>
          </w:p>
          <w:p w14:paraId="1E7E9BD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725 (57.2)</w:t>
            </w:r>
          </w:p>
          <w:p w14:paraId="7A2CCBD5"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594 (41.7)</w:t>
            </w:r>
          </w:p>
          <w:p w14:paraId="2394B6F2"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lastRenderedPageBreak/>
              <w:t>318 (29.1)</w:t>
            </w:r>
          </w:p>
        </w:tc>
        <w:tc>
          <w:tcPr>
            <w:tcW w:w="1511" w:type="dxa"/>
          </w:tcPr>
          <w:p w14:paraId="1B3B3277"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lastRenderedPageBreak/>
              <w:t xml:space="preserve">0.517 </w:t>
            </w:r>
          </w:p>
          <w:p w14:paraId="490BBCD2"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(0.501; 0.533)</w:t>
            </w:r>
          </w:p>
        </w:tc>
        <w:tc>
          <w:tcPr>
            <w:tcW w:w="1275" w:type="dxa"/>
          </w:tcPr>
          <w:p w14:paraId="6257A9F7"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2962 (57.8)</w:t>
            </w:r>
          </w:p>
        </w:tc>
        <w:tc>
          <w:tcPr>
            <w:tcW w:w="1843" w:type="dxa"/>
          </w:tcPr>
          <w:p w14:paraId="5820553A"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73 (17.6)</w:t>
            </w:r>
          </w:p>
          <w:p w14:paraId="6B726C82"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1104 (59.0)</w:t>
            </w:r>
          </w:p>
          <w:p w14:paraId="1FB99A4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1312 (61.6)</w:t>
            </w:r>
          </w:p>
          <w:p w14:paraId="2E609B17"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lastRenderedPageBreak/>
              <w:t>473 (66.3)</w:t>
            </w:r>
          </w:p>
        </w:tc>
        <w:tc>
          <w:tcPr>
            <w:tcW w:w="1843" w:type="dxa"/>
          </w:tcPr>
          <w:p w14:paraId="4B2AA084"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lastRenderedPageBreak/>
              <w:t>341 (82.4)</w:t>
            </w:r>
          </w:p>
          <w:p w14:paraId="3D5CB5A7"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766 (41.0)</w:t>
            </w:r>
          </w:p>
          <w:p w14:paraId="28B1AF5F"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817 (38.4)</w:t>
            </w:r>
          </w:p>
          <w:p w14:paraId="43A191F9"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lastRenderedPageBreak/>
              <w:t>240 (33.7)</w:t>
            </w:r>
          </w:p>
        </w:tc>
        <w:tc>
          <w:tcPr>
            <w:tcW w:w="1559" w:type="dxa"/>
          </w:tcPr>
          <w:p w14:paraId="2869DBB8" w14:textId="77777777" w:rsidR="00C96475"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lastRenderedPageBreak/>
              <w:t xml:space="preserve">0.375 </w:t>
            </w:r>
          </w:p>
          <w:p w14:paraId="001EE8A8" w14:textId="77777777" w:rsidR="00C96475" w:rsidRPr="002A37BB" w:rsidRDefault="00C96475" w:rsidP="00320E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(0.358; 0.391)</w:t>
            </w:r>
          </w:p>
        </w:tc>
      </w:tr>
      <w:tr w:rsidR="00C96475" w:rsidRPr="002A37BB" w14:paraId="6DA1C1E5" w14:textId="77777777" w:rsidTr="00320ED4">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60" w:type="dxa"/>
          </w:tcPr>
          <w:p w14:paraId="16AC4C0D" w14:textId="77777777" w:rsidR="00C96475" w:rsidRPr="002A37BB" w:rsidRDefault="00C96475" w:rsidP="00320ED4">
            <w:pPr>
              <w:rPr>
                <w:rFonts w:ascii="Times New Roman" w:hAnsi="Times New Roman" w:cs="Times New Roman"/>
                <w:lang w:val="en-GB"/>
              </w:rPr>
            </w:pPr>
            <w:r w:rsidRPr="002A37BB">
              <w:rPr>
                <w:rFonts w:ascii="Times New Roman" w:hAnsi="Times New Roman" w:cs="Times New Roman"/>
                <w:lang w:val="en-GB"/>
              </w:rPr>
              <w:t xml:space="preserve">KPI </w:t>
            </w:r>
            <w:r w:rsidRPr="002A37BB">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uthor":[{"dropping-particle":"","family":"Kobayashi","given":"T","non-dropping-particle":"","parse-names":false,"suffix":""},{"dropping-particle":"","family":"Kuroda","given":"J","non-dropping-particle":"","parse-names":false,"suffix":""},{"dropping-particle":"","family":"Yokota","given":"I","non-dropping-particle":"","parse-names":false,"suffix":""},{"dropping-particle":"","family":"Tanba","given":"K","non-dropping-particle":"","parse-names":false,"suffix":""},{"dropping-particle":"","family":"Fujino","given":"T","non-dropping-particle":"","parse-names":false,"suffix":""},{"dropping-particle":"","family":"Kuwahara","given":"S","non-dropping-particle":"","parse-names":false,"suffix":""},{"dropping-particle":"","family":"Isa","given":"R","non-dropping-particle":"","parse-names":false,"suffix":""},{"dropping-particle":"","family":"Yamaguchi","given":"J","non-dropping-particle":"","parse-names":false,"suffix":""},{"dropping-particle":"","family":"Kawata","given":"E","non-dropping-particle":"","parse-names":false,"suffix":""},{"dropping-particle":"","family":"Akaogi","given":"T","non-dropping-particle":"","parse-names":false,"suffix":""},{"dropping-particle":"","family":"Uchiyama","given":"H","non-dropping-particle":"","parse-names":false,"suffix":""},{"dropping-particle":"","family":"Kaneko","given":"H","non-dropping-particle":"","parse-names":false,"suffix":""},{"dropping-particle":"","family":"Uoshima","given":"N","non-dropping-particle":"","parse-names":false,"suffix":""},{"dropping-particle":"","family":"Kobayashi","given":"Y","non-dropping-particle":"","parse-names":false,"suffix":""},{"dropping-particle":"","family":"Teramukai","given":"S","non-dropping-particle":"","parse-names":false,"suffix":""},{"dropping-particle":"","family":"Taniwaki","given":"M","non-dropping-particle":"","parse-names":false,"suffix":""}],"container-title":"Blood Cancer Journal","id":"ITEM-1","issue":"1","issued":{"date-parts":[["2016","1","15"]]},"page":"e383-e383","title":"The Kyoto Prognostic Index for patients with diffuse large B-cell lymphoma in the rituximab era","type":"article-journal","volume":"6"},"uris":["http://www.mendeley.com/documents/?uuid=d8d89570-ddb0-3806-b324-fd818750792f"]}],"mendeley":{"formattedCitation":"&lt;sup&gt;31&lt;/sup&gt;","plainTextFormattedCitation":"31","previouslyFormattedCitation":"(Kobayashi et al., 2016)"},"properties":{"noteIndex":0},"schema":"https://github.com/citation-style-language/schema/raw/master/csl-citation.json"}</w:instrText>
            </w:r>
            <w:r w:rsidRPr="002A37BB">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31</w:t>
            </w:r>
            <w:r w:rsidRPr="002A37BB">
              <w:rPr>
                <w:rFonts w:ascii="Times New Roman" w:hAnsi="Times New Roman" w:cs="Times New Roman"/>
                <w:lang w:val="en-GB"/>
              </w:rPr>
              <w:fldChar w:fldCharType="end"/>
            </w:r>
          </w:p>
        </w:tc>
        <w:tc>
          <w:tcPr>
            <w:tcW w:w="1365" w:type="dxa"/>
          </w:tcPr>
          <w:p w14:paraId="6AEE58E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2729 (53.2)</w:t>
            </w:r>
          </w:p>
        </w:tc>
        <w:tc>
          <w:tcPr>
            <w:tcW w:w="1734" w:type="dxa"/>
          </w:tcPr>
          <w:p w14:paraId="54D56903"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424 (31.6)</w:t>
            </w:r>
          </w:p>
          <w:p w14:paraId="1A2A82D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383 (30.2)</w:t>
            </w:r>
          </w:p>
          <w:p w14:paraId="6BEB2BE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1196 (83.9)</w:t>
            </w:r>
          </w:p>
          <w:p w14:paraId="3800320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726 (66.5)</w:t>
            </w:r>
          </w:p>
        </w:tc>
        <w:tc>
          <w:tcPr>
            <w:tcW w:w="1785" w:type="dxa"/>
          </w:tcPr>
          <w:p w14:paraId="7A8C3325"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918 (68.4)</w:t>
            </w:r>
          </w:p>
          <w:p w14:paraId="6F931543"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884 (69.8)</w:t>
            </w:r>
          </w:p>
          <w:p w14:paraId="78A3B13C"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230 (16.1)</w:t>
            </w:r>
          </w:p>
          <w:p w14:paraId="3AD33B6A"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365 (33.5)</w:t>
            </w:r>
          </w:p>
        </w:tc>
        <w:tc>
          <w:tcPr>
            <w:tcW w:w="1511" w:type="dxa"/>
          </w:tcPr>
          <w:p w14:paraId="549B2BA5"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0.473 </w:t>
            </w:r>
          </w:p>
          <w:p w14:paraId="5FE6467C"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(0.458; 0.489)</w:t>
            </w:r>
          </w:p>
        </w:tc>
        <w:tc>
          <w:tcPr>
            <w:tcW w:w="1275" w:type="dxa"/>
          </w:tcPr>
          <w:p w14:paraId="202AF251"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3078 (60.0)</w:t>
            </w:r>
          </w:p>
        </w:tc>
        <w:tc>
          <w:tcPr>
            <w:tcW w:w="1843" w:type="dxa"/>
          </w:tcPr>
          <w:p w14:paraId="2A9EDD2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102 (24.6)</w:t>
            </w:r>
          </w:p>
          <w:p w14:paraId="2B96DED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865 (46.3)</w:t>
            </w:r>
          </w:p>
          <w:p w14:paraId="55EF7E0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1722 (80.9)</w:t>
            </w:r>
          </w:p>
          <w:p w14:paraId="5FC2948E"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389 (54.6)</w:t>
            </w:r>
          </w:p>
        </w:tc>
        <w:tc>
          <w:tcPr>
            <w:tcW w:w="1843" w:type="dxa"/>
          </w:tcPr>
          <w:p w14:paraId="46C9E666"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312 (75.4)</w:t>
            </w:r>
          </w:p>
          <w:p w14:paraId="4A98B697"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1005 (53.7)</w:t>
            </w:r>
          </w:p>
          <w:p w14:paraId="5FA18908"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407 (19.1)</w:t>
            </w:r>
          </w:p>
          <w:p w14:paraId="5312F15D"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2A37BB">
              <w:rPr>
                <w:rFonts w:ascii="Times New Roman" w:hAnsi="Times New Roman" w:cs="Times New Roman"/>
                <w:color w:val="000000" w:themeColor="text1"/>
                <w:lang w:val="en-GB"/>
              </w:rPr>
              <w:t>324 (45.4)</w:t>
            </w:r>
          </w:p>
        </w:tc>
        <w:tc>
          <w:tcPr>
            <w:tcW w:w="1559" w:type="dxa"/>
          </w:tcPr>
          <w:p w14:paraId="18C2677C" w14:textId="77777777" w:rsidR="00C96475"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0.355 </w:t>
            </w:r>
          </w:p>
          <w:p w14:paraId="7508CCB2" w14:textId="77777777" w:rsidR="00C96475" w:rsidRPr="002A37BB" w:rsidRDefault="00C96475" w:rsidP="00320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37BB">
              <w:rPr>
                <w:rFonts w:ascii="Times New Roman" w:hAnsi="Times New Roman" w:cs="Times New Roman"/>
                <w:lang w:val="en-GB"/>
              </w:rPr>
              <w:t xml:space="preserve">(0.339; 0.371) </w:t>
            </w:r>
          </w:p>
        </w:tc>
      </w:tr>
    </w:tbl>
    <w:p w14:paraId="71986A7F" w14:textId="1C1A9FE7" w:rsidR="00C96475" w:rsidRPr="00320ED4" w:rsidRDefault="00C96475" w:rsidP="00C96475">
      <w:pPr>
        <w:tabs>
          <w:tab w:val="left" w:pos="1230"/>
        </w:tabs>
        <w:spacing w:line="240" w:lineRule="auto"/>
        <w:rPr>
          <w:rFonts w:ascii="Times New Roman" w:hAnsi="Times New Roman" w:cs="Times New Roman"/>
          <w:vertAlign w:val="superscript"/>
          <w:lang w:val="en-GB"/>
        </w:rPr>
      </w:pPr>
      <w:proofErr w:type="spellStart"/>
      <w:r w:rsidRPr="00320ED4">
        <w:rPr>
          <w:rFonts w:ascii="Times New Roman" w:hAnsi="Times New Roman" w:cs="Times New Roman"/>
          <w:vertAlign w:val="superscript"/>
          <w:lang w:val="en-GB"/>
        </w:rPr>
        <w:t>aaDLBCL</w:t>
      </w:r>
      <w:proofErr w:type="spellEnd"/>
      <w:r w:rsidRPr="00320ED4">
        <w:rPr>
          <w:rFonts w:ascii="Times New Roman" w:hAnsi="Times New Roman" w:cs="Times New Roman"/>
          <w:vertAlign w:val="superscript"/>
          <w:lang w:val="en-GB"/>
        </w:rPr>
        <w:t xml:space="preserve">-PI – age-adjusted DLBCL-PI; </w:t>
      </w:r>
      <w:proofErr w:type="spellStart"/>
      <w:r w:rsidRPr="00320ED4">
        <w:rPr>
          <w:rFonts w:ascii="Times New Roman" w:hAnsi="Times New Roman" w:cs="Times New Roman"/>
          <w:vertAlign w:val="superscript"/>
          <w:lang w:val="en-GB"/>
        </w:rPr>
        <w:t>aaIPI</w:t>
      </w:r>
      <w:proofErr w:type="spellEnd"/>
      <w:r w:rsidRPr="00320ED4">
        <w:rPr>
          <w:rFonts w:ascii="Times New Roman" w:hAnsi="Times New Roman" w:cs="Times New Roman"/>
          <w:vertAlign w:val="superscript"/>
          <w:lang w:val="en-GB"/>
        </w:rPr>
        <w:t xml:space="preserve"> – age-adjusted IPI; DLBCL – Diffuse large B-cell lymphoma; DLBCL-PI – DLBCL Prognostic Index; HP - </w:t>
      </w:r>
      <w:proofErr w:type="spellStart"/>
      <w:r w:rsidRPr="00320ED4">
        <w:rPr>
          <w:rFonts w:ascii="Times New Roman" w:hAnsi="Times New Roman" w:cs="Times New Roman"/>
          <w:kern w:val="0"/>
          <w:vertAlign w:val="superscript"/>
          <w:lang w:val="en-GB"/>
        </w:rPr>
        <w:t>hemoglobin</w:t>
      </w:r>
      <w:proofErr w:type="spellEnd"/>
      <w:r w:rsidRPr="00320ED4">
        <w:rPr>
          <w:rFonts w:ascii="Times New Roman" w:hAnsi="Times New Roman" w:cs="Times New Roman"/>
          <w:kern w:val="0"/>
          <w:vertAlign w:val="superscript"/>
          <w:lang w:val="en-GB"/>
        </w:rPr>
        <w:t xml:space="preserve">-platelet; IPI – International Prognostic Index; </w:t>
      </w:r>
      <w:r w:rsidRPr="00320ED4">
        <w:rPr>
          <w:rFonts w:ascii="Times New Roman" w:hAnsi="Times New Roman" w:cs="Times New Roman"/>
          <w:color w:val="212121"/>
          <w:shd w:val="clear" w:color="auto" w:fill="FFFFFF"/>
          <w:vertAlign w:val="superscript"/>
          <w:lang w:val="en-GB"/>
        </w:rPr>
        <w:t xml:space="preserve">KPI – Kyoto Prognostic Index; </w:t>
      </w:r>
      <w:r w:rsidRPr="00320ED4">
        <w:rPr>
          <w:rFonts w:ascii="Times New Roman" w:hAnsi="Times New Roman" w:cs="Times New Roman"/>
          <w:vertAlign w:val="superscript"/>
          <w:lang w:val="en-GB"/>
        </w:rPr>
        <w:t xml:space="preserve">N – number; NCCN-IPI – National Comprehensive Cancer Network-IPI; </w:t>
      </w:r>
      <w:r w:rsidRPr="00320ED4">
        <w:rPr>
          <w:rFonts w:ascii="Times New Roman" w:hAnsi="Times New Roman" w:cs="Times New Roman"/>
          <w:kern w:val="0"/>
          <w:vertAlign w:val="superscript"/>
          <w:lang w:val="en-GB"/>
        </w:rPr>
        <w:t xml:space="preserve">PA – </w:t>
      </w:r>
      <w:r w:rsidRPr="00320ED4">
        <w:rPr>
          <w:rFonts w:ascii="Times New Roman" w:hAnsi="Times New Roman" w:cs="Times New Roman"/>
          <w:color w:val="131413"/>
          <w:kern w:val="0"/>
          <w:vertAlign w:val="superscript"/>
          <w:lang w:val="en-GB"/>
        </w:rPr>
        <w:t xml:space="preserve">platelet-albumin; </w:t>
      </w:r>
      <w:r w:rsidRPr="00320ED4">
        <w:rPr>
          <w:rFonts w:ascii="Times New Roman" w:hAnsi="Times New Roman" w:cs="Times New Roman"/>
          <w:vertAlign w:val="superscript"/>
          <w:lang w:val="en-GB"/>
        </w:rPr>
        <w:t>R-IPI – Revised International Prognostic Index</w:t>
      </w:r>
    </w:p>
    <w:p w14:paraId="7F3A7129" w14:textId="77777777" w:rsidR="00C96475" w:rsidRPr="002F7E13" w:rsidRDefault="00C96475" w:rsidP="00C96475">
      <w:pPr>
        <w:spacing w:line="240" w:lineRule="auto"/>
        <w:rPr>
          <w:rFonts w:ascii="Times New Roman" w:hAnsi="Times New Roman" w:cs="Times New Roman"/>
          <w:vertAlign w:val="superscript"/>
          <w:lang w:val="en-GB"/>
        </w:rPr>
      </w:pPr>
      <w:r w:rsidRPr="002A37BB">
        <w:rPr>
          <w:rFonts w:ascii="Times New Roman" w:hAnsi="Times New Roman" w:cs="Times New Roman"/>
          <w:vertAlign w:val="superscript"/>
          <w:lang w:val="en-GB"/>
        </w:rPr>
        <w:t>Cohen κ: &lt;0.00 poor; 0-0.2 slight; 0.21-0.40 fair; 0.41-0.60 moderate; 0.61-0.80 substantial; 0.81-1.00 almost perfect agreement</w:t>
      </w:r>
    </w:p>
    <w:p w14:paraId="206E4ADE" w14:textId="77777777" w:rsidR="00C96475" w:rsidRPr="002F7E13" w:rsidRDefault="00C96475" w:rsidP="00C96475">
      <w:pPr>
        <w:spacing w:line="240" w:lineRule="auto"/>
        <w:rPr>
          <w:rFonts w:ascii="Times New Roman" w:hAnsi="Times New Roman" w:cs="Times New Roman"/>
          <w:lang w:val="en-GB"/>
        </w:rPr>
      </w:pPr>
    </w:p>
    <w:sectPr w:rsidR="00C96475" w:rsidRPr="002F7E13" w:rsidSect="00C964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umin Pro">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D24D5"/>
    <w:multiLevelType w:val="multilevel"/>
    <w:tmpl w:val="8D2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1F2EDA"/>
    <w:multiLevelType w:val="hybridMultilevel"/>
    <w:tmpl w:val="4B14D6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448C76B1"/>
    <w:multiLevelType w:val="hybridMultilevel"/>
    <w:tmpl w:val="E532512E"/>
    <w:lvl w:ilvl="0" w:tplc="1B88B9E4">
      <w:start w:val="1545"/>
      <w:numFmt w:val="bullet"/>
      <w:lvlText w:val=""/>
      <w:lvlJc w:val="left"/>
      <w:pPr>
        <w:ind w:left="720" w:hanging="360"/>
      </w:pPr>
      <w:rPr>
        <w:rFonts w:ascii="Symbol" w:eastAsiaTheme="minorHAnsi" w:hAnsi="Symbol" w:cs="Times New Roman" w:hint="default"/>
        <w:b w:val="0"/>
        <w:color w:val="131413"/>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707637FD"/>
    <w:multiLevelType w:val="hybridMultilevel"/>
    <w:tmpl w:val="4294B348"/>
    <w:lvl w:ilvl="0" w:tplc="087CCFEC">
      <w:start w:val="1"/>
      <w:numFmt w:val="bullet"/>
      <w:lvlText w:val=""/>
      <w:lvlJc w:val="left"/>
      <w:pPr>
        <w:ind w:left="720" w:hanging="360"/>
      </w:pPr>
      <w:rPr>
        <w:rFonts w:ascii="Wingdings" w:eastAsiaTheme="minorHAns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732F20AA"/>
    <w:multiLevelType w:val="hybridMultilevel"/>
    <w:tmpl w:val="35209ECA"/>
    <w:lvl w:ilvl="0" w:tplc="4A88B29A">
      <w:start w:val="18"/>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473448708">
    <w:abstractNumId w:val="0"/>
  </w:num>
  <w:num w:numId="2" w16cid:durableId="1771579800">
    <w:abstractNumId w:val="1"/>
  </w:num>
  <w:num w:numId="3" w16cid:durableId="1987471341">
    <w:abstractNumId w:val="4"/>
  </w:num>
  <w:num w:numId="4" w16cid:durableId="883712989">
    <w:abstractNumId w:val="3"/>
  </w:num>
  <w:num w:numId="5" w16cid:durableId="1334334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sTAwNTG1MDA2szBT0lEKTi0uzszPAykwrAUAGUqFCSwAAAA="/>
  </w:docVars>
  <w:rsids>
    <w:rsidRoot w:val="00C96475"/>
    <w:rsid w:val="000F7DB0"/>
    <w:rsid w:val="00320ED4"/>
    <w:rsid w:val="004659CB"/>
    <w:rsid w:val="004C2D57"/>
    <w:rsid w:val="005948C7"/>
    <w:rsid w:val="00C9647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FBD3"/>
  <w15:chartTrackingRefBased/>
  <w15:docId w15:val="{AD27624F-CFCC-41AD-AB9E-0363B7FA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475"/>
    <w:rPr>
      <w:lang w:val="da-DK"/>
    </w:rPr>
  </w:style>
  <w:style w:type="paragraph" w:styleId="Heading1">
    <w:name w:val="heading 1"/>
    <w:basedOn w:val="Normal"/>
    <w:next w:val="Normal"/>
    <w:link w:val="Heading1Char"/>
    <w:uiPriority w:val="9"/>
    <w:qFormat/>
    <w:rsid w:val="00C964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9647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475"/>
    <w:rPr>
      <w:rFonts w:asciiTheme="majorHAnsi" w:eastAsiaTheme="majorEastAsia" w:hAnsiTheme="majorHAnsi" w:cstheme="majorBidi"/>
      <w:color w:val="2F5496" w:themeColor="accent1" w:themeShade="BF"/>
      <w:sz w:val="32"/>
      <w:szCs w:val="32"/>
      <w:lang w:val="da-DK"/>
    </w:rPr>
  </w:style>
  <w:style w:type="character" w:customStyle="1" w:styleId="Heading3Char">
    <w:name w:val="Heading 3 Char"/>
    <w:basedOn w:val="DefaultParagraphFont"/>
    <w:link w:val="Heading3"/>
    <w:uiPriority w:val="9"/>
    <w:rsid w:val="00C96475"/>
    <w:rPr>
      <w:rFonts w:ascii="Times New Roman" w:eastAsia="Times New Roman" w:hAnsi="Times New Roman" w:cs="Times New Roman"/>
      <w:b/>
      <w:bCs/>
      <w:kern w:val="0"/>
      <w:sz w:val="27"/>
      <w:szCs w:val="27"/>
      <w:lang w:val="da-DK"/>
      <w14:ligatures w14:val="none"/>
    </w:rPr>
  </w:style>
  <w:style w:type="paragraph" w:customStyle="1" w:styleId="p">
    <w:name w:val="p"/>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96475"/>
    <w:rPr>
      <w:color w:val="0000FF"/>
      <w:u w:val="single"/>
    </w:rPr>
  </w:style>
  <w:style w:type="character" w:styleId="Emphasis">
    <w:name w:val="Emphasis"/>
    <w:basedOn w:val="DefaultParagraphFont"/>
    <w:uiPriority w:val="20"/>
    <w:qFormat/>
    <w:rsid w:val="00C96475"/>
    <w:rPr>
      <w:i/>
      <w:iCs/>
    </w:rPr>
  </w:style>
  <w:style w:type="paragraph" w:styleId="NormalWeb">
    <w:name w:val="Normal (Web)"/>
    <w:basedOn w:val="Normal"/>
    <w:uiPriority w:val="99"/>
    <w:unhideWhenUsed/>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96475"/>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6475"/>
    <w:rPr>
      <w:sz w:val="16"/>
      <w:szCs w:val="16"/>
    </w:rPr>
  </w:style>
  <w:style w:type="paragraph" w:styleId="CommentText">
    <w:name w:val="annotation text"/>
    <w:basedOn w:val="Normal"/>
    <w:link w:val="CommentTextChar"/>
    <w:uiPriority w:val="99"/>
    <w:unhideWhenUsed/>
    <w:rsid w:val="00C96475"/>
    <w:pPr>
      <w:spacing w:line="240" w:lineRule="auto"/>
    </w:pPr>
    <w:rPr>
      <w:sz w:val="20"/>
      <w:szCs w:val="20"/>
    </w:rPr>
  </w:style>
  <w:style w:type="character" w:customStyle="1" w:styleId="CommentTextChar">
    <w:name w:val="Comment Text Char"/>
    <w:basedOn w:val="DefaultParagraphFont"/>
    <w:link w:val="CommentText"/>
    <w:uiPriority w:val="99"/>
    <w:rsid w:val="00C96475"/>
    <w:rPr>
      <w:sz w:val="20"/>
      <w:szCs w:val="20"/>
      <w:lang w:val="da-DK"/>
    </w:rPr>
  </w:style>
  <w:style w:type="paragraph" w:styleId="CommentSubject">
    <w:name w:val="annotation subject"/>
    <w:basedOn w:val="CommentText"/>
    <w:next w:val="CommentText"/>
    <w:link w:val="CommentSubjectChar"/>
    <w:uiPriority w:val="99"/>
    <w:semiHidden/>
    <w:unhideWhenUsed/>
    <w:rsid w:val="00C96475"/>
    <w:rPr>
      <w:b/>
      <w:bCs/>
    </w:rPr>
  </w:style>
  <w:style w:type="character" w:customStyle="1" w:styleId="CommentSubjectChar">
    <w:name w:val="Comment Subject Char"/>
    <w:basedOn w:val="CommentTextChar"/>
    <w:link w:val="CommentSubject"/>
    <w:uiPriority w:val="99"/>
    <w:semiHidden/>
    <w:rsid w:val="00C96475"/>
    <w:rPr>
      <w:b/>
      <w:bCs/>
      <w:sz w:val="20"/>
      <w:szCs w:val="20"/>
      <w:lang w:val="da-DK"/>
    </w:rPr>
  </w:style>
  <w:style w:type="paragraph" w:styleId="BalloonText">
    <w:name w:val="Balloon Text"/>
    <w:basedOn w:val="Normal"/>
    <w:link w:val="BalloonTextChar"/>
    <w:uiPriority w:val="99"/>
    <w:semiHidden/>
    <w:unhideWhenUsed/>
    <w:rsid w:val="00C96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75"/>
    <w:rPr>
      <w:rFonts w:ascii="Segoe UI" w:hAnsi="Segoe UI" w:cs="Segoe UI"/>
      <w:sz w:val="18"/>
      <w:szCs w:val="18"/>
      <w:lang w:val="da-DK"/>
    </w:rPr>
  </w:style>
  <w:style w:type="paragraph" w:styleId="Header">
    <w:name w:val="header"/>
    <w:basedOn w:val="Normal"/>
    <w:link w:val="HeaderChar"/>
    <w:uiPriority w:val="99"/>
    <w:unhideWhenUsed/>
    <w:rsid w:val="00C9647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96475"/>
    <w:rPr>
      <w:lang w:val="da-DK"/>
    </w:rPr>
  </w:style>
  <w:style w:type="paragraph" w:styleId="Footer">
    <w:name w:val="footer"/>
    <w:basedOn w:val="Normal"/>
    <w:link w:val="FooterChar"/>
    <w:uiPriority w:val="99"/>
    <w:unhideWhenUsed/>
    <w:rsid w:val="00C9647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96475"/>
    <w:rPr>
      <w:lang w:val="da-DK"/>
    </w:rPr>
  </w:style>
  <w:style w:type="paragraph" w:styleId="Revision">
    <w:name w:val="Revision"/>
    <w:hidden/>
    <w:uiPriority w:val="99"/>
    <w:semiHidden/>
    <w:rsid w:val="00C96475"/>
    <w:pPr>
      <w:spacing w:after="0" w:line="240" w:lineRule="auto"/>
    </w:pPr>
    <w:rPr>
      <w:lang w:val="da-DK"/>
    </w:rPr>
  </w:style>
  <w:style w:type="character" w:customStyle="1" w:styleId="UnresolvedMention1">
    <w:name w:val="Unresolved Mention1"/>
    <w:basedOn w:val="DefaultParagraphFont"/>
    <w:uiPriority w:val="99"/>
    <w:semiHidden/>
    <w:unhideWhenUsed/>
    <w:rsid w:val="00C96475"/>
    <w:rPr>
      <w:color w:val="605E5C"/>
      <w:shd w:val="clear" w:color="auto" w:fill="E1DFDD"/>
    </w:rPr>
  </w:style>
  <w:style w:type="paragraph" w:customStyle="1" w:styleId="pf0">
    <w:name w:val="pf0"/>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C96475"/>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C96475"/>
    <w:rPr>
      <w:color w:val="605E5C"/>
      <w:shd w:val="clear" w:color="auto" w:fill="E1DFDD"/>
    </w:rPr>
  </w:style>
  <w:style w:type="paragraph" w:styleId="ListParagraph">
    <w:name w:val="List Paragraph"/>
    <w:basedOn w:val="Normal"/>
    <w:uiPriority w:val="34"/>
    <w:qFormat/>
    <w:rsid w:val="00C96475"/>
    <w:pPr>
      <w:ind w:left="720"/>
      <w:contextualSpacing/>
    </w:pPr>
  </w:style>
  <w:style w:type="paragraph" w:customStyle="1" w:styleId="Default">
    <w:name w:val="Default"/>
    <w:rsid w:val="00C96475"/>
    <w:pPr>
      <w:autoSpaceDE w:val="0"/>
      <w:autoSpaceDN w:val="0"/>
      <w:adjustRightInd w:val="0"/>
      <w:spacing w:after="0" w:line="240" w:lineRule="auto"/>
    </w:pPr>
    <w:rPr>
      <w:rFonts w:ascii="Acumin Pro" w:hAnsi="Acumin Pro" w:cs="Acumin Pro"/>
      <w:color w:val="000000"/>
      <w:kern w:val="0"/>
      <w:sz w:val="24"/>
      <w:szCs w:val="24"/>
      <w:lang w:val="da-DK"/>
    </w:rPr>
  </w:style>
  <w:style w:type="table" w:styleId="PlainTable2">
    <w:name w:val="Plain Table 2"/>
    <w:basedOn w:val="TableNormal"/>
    <w:uiPriority w:val="42"/>
    <w:rsid w:val="00C96475"/>
    <w:pPr>
      <w:spacing w:after="0" w:line="240" w:lineRule="auto"/>
    </w:pPr>
    <w:rPr>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C96475"/>
    <w:rPr>
      <w:b/>
      <w:bCs/>
    </w:rPr>
  </w:style>
  <w:style w:type="character" w:styleId="LineNumber">
    <w:name w:val="line number"/>
    <w:basedOn w:val="DefaultParagraphFont"/>
    <w:uiPriority w:val="99"/>
    <w:semiHidden/>
    <w:unhideWhenUsed/>
    <w:rsid w:val="00C96475"/>
  </w:style>
  <w:style w:type="paragraph" w:styleId="HTMLPreformatted">
    <w:name w:val="HTML Preformatted"/>
    <w:basedOn w:val="Normal"/>
    <w:link w:val="HTMLPreformattedChar"/>
    <w:uiPriority w:val="99"/>
    <w:unhideWhenUsed/>
    <w:rsid w:val="00C96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96475"/>
    <w:rPr>
      <w:rFonts w:ascii="Courier New" w:eastAsia="Times New Roman" w:hAnsi="Courier New" w:cs="Courier New"/>
      <w:kern w:val="0"/>
      <w:sz w:val="20"/>
      <w:szCs w:val="20"/>
      <w:lang w:val="da-DK"/>
      <w14:ligatures w14:val="none"/>
    </w:rPr>
  </w:style>
  <w:style w:type="character" w:customStyle="1" w:styleId="gnd-iwgdh3b">
    <w:name w:val="gnd-iwgdh3b"/>
    <w:basedOn w:val="DefaultParagraphFont"/>
    <w:rsid w:val="00C96475"/>
  </w:style>
  <w:style w:type="table" w:styleId="ListTable6Colorful">
    <w:name w:val="List Table 6 Colorful"/>
    <w:basedOn w:val="TableNormal"/>
    <w:uiPriority w:val="51"/>
    <w:rsid w:val="00C96475"/>
    <w:pPr>
      <w:spacing w:after="0" w:line="240" w:lineRule="auto"/>
    </w:pPr>
    <w:rPr>
      <w:color w:val="000000" w:themeColor="text1"/>
      <w:lang w:val="da-DK"/>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C96475"/>
    <w:pPr>
      <w:spacing w:after="0" w:line="240" w:lineRule="auto"/>
    </w:pPr>
    <w:rPr>
      <w:lang w:val="da-D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nd-iwgdo3b">
    <w:name w:val="gnd-iwgdo3b"/>
    <w:basedOn w:val="DefaultParagraphFont"/>
    <w:rsid w:val="00C96475"/>
  </w:style>
  <w:style w:type="character" w:customStyle="1" w:styleId="gnd-iwgdn2b">
    <w:name w:val="gnd-iwgdn2b"/>
    <w:basedOn w:val="DefaultParagraphFont"/>
    <w:rsid w:val="00C96475"/>
  </w:style>
  <w:style w:type="character" w:styleId="PlaceholderText">
    <w:name w:val="Placeholder Text"/>
    <w:basedOn w:val="DefaultParagraphFont"/>
    <w:uiPriority w:val="99"/>
    <w:semiHidden/>
    <w:rsid w:val="00C964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4600</Words>
  <Characters>26225</Characters>
  <Application>Microsoft Office Word</Application>
  <DocSecurity>0</DocSecurity>
  <Lines>218</Lines>
  <Paragraphs>61</Paragraphs>
  <ScaleCrop>false</ScaleCrop>
  <Company/>
  <LinksUpToDate>false</LinksUpToDate>
  <CharactersWithSpaces>30764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Jelicic</dc:creator>
  <cp:keywords/>
  <dc:description/>
  <cp:lastModifiedBy>Jelena Jelicic</cp:lastModifiedBy>
  <cp:revision>4</cp:revision>
  <dcterms:created xsi:type="dcterms:W3CDTF">2023-08-22T19:17:00Z</dcterms:created>
  <dcterms:modified xsi:type="dcterms:W3CDTF">2023-08-23T07:11:00Z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fc572a6e-dd0b-461e-a98b-3e05877dc68c</vt:lpwstr>
  </property>
</Properties>
</file>