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3AECEF" w14:textId="2B3720DB" w:rsidR="00C96475" w:rsidRPr="009604E4" w:rsidRDefault="00C96475" w:rsidP="00C96475">
      <w:pPr>
        <w:spacing w:after="0" w:line="240" w:lineRule="auto"/>
        <w:jc w:val="both"/>
        <w:rPr>
          <w:rFonts w:ascii="Times New Roman" w:hAnsi="Times New Roman" w:cs="Times New Roman"/>
          <w:lang w:val="en-GB"/>
        </w:rPr>
      </w:pPr>
      <w:r w:rsidRPr="009604E4">
        <w:rPr>
          <w:rFonts w:ascii="Times New Roman" w:hAnsi="Times New Roman" w:cs="Times New Roman"/>
          <w:b/>
          <w:bCs/>
          <w:lang w:val="en-GB"/>
        </w:rPr>
        <w:t>Suppl. Table 2</w:t>
      </w:r>
      <w:r w:rsidRPr="009604E4">
        <w:rPr>
          <w:rFonts w:ascii="Times New Roman" w:hAnsi="Times New Roman" w:cs="Times New Roman"/>
          <w:lang w:val="en-GB"/>
        </w:rPr>
        <w:t>. Agreement between the risk groups of R-IPI and models with three-risk groups evaluated using weighted Cohen κ</w:t>
      </w:r>
    </w:p>
    <w:p w14:paraId="69A05C79" w14:textId="77777777" w:rsidR="00C96475" w:rsidRPr="009604E4" w:rsidRDefault="00C96475" w:rsidP="00C96475">
      <w:pPr>
        <w:spacing w:after="0" w:line="240" w:lineRule="auto"/>
        <w:jc w:val="both"/>
        <w:rPr>
          <w:rFonts w:ascii="Times New Roman" w:hAnsi="Times New Roman" w:cs="Times New Roman"/>
          <w:lang w:val="en-GB"/>
        </w:rPr>
      </w:pPr>
    </w:p>
    <w:tbl>
      <w:tblPr>
        <w:tblStyle w:val="PlainTable2"/>
        <w:tblpPr w:leftFromText="180" w:rightFromText="180" w:vertAnchor="text" w:tblpY="1"/>
        <w:tblW w:w="13361" w:type="dxa"/>
        <w:tblLook w:val="04A0" w:firstRow="1" w:lastRow="0" w:firstColumn="1" w:lastColumn="0" w:noHBand="0" w:noVBand="1"/>
      </w:tblPr>
      <w:tblGrid>
        <w:gridCol w:w="2321"/>
        <w:gridCol w:w="2024"/>
        <w:gridCol w:w="2738"/>
        <w:gridCol w:w="3546"/>
        <w:gridCol w:w="2732"/>
      </w:tblGrid>
      <w:tr w:rsidR="00C96475" w:rsidRPr="009604E4" w14:paraId="3278F1A0" w14:textId="77777777" w:rsidTr="009769B2">
        <w:trPr>
          <w:cnfStyle w:val="100000000000" w:firstRow="1" w:lastRow="0" w:firstColumn="0" w:lastColumn="0" w:oddVBand="0" w:evenVBand="0" w:oddHBand="0" w:evenHBand="0" w:firstRowFirstColumn="0" w:firstRowLastColumn="0" w:lastRowFirstColumn="0" w:lastRowLastColumn="0"/>
          <w:trHeight w:val="544"/>
        </w:trPr>
        <w:tc>
          <w:tcPr>
            <w:cnfStyle w:val="001000000000" w:firstRow="0" w:lastRow="0" w:firstColumn="1" w:lastColumn="0" w:oddVBand="0" w:evenVBand="0" w:oddHBand="0" w:evenHBand="0" w:firstRowFirstColumn="0" w:firstRowLastColumn="0" w:lastRowFirstColumn="0" w:lastRowLastColumn="0"/>
            <w:tcW w:w="2321" w:type="dxa"/>
          </w:tcPr>
          <w:p w14:paraId="48086B05" w14:textId="77777777" w:rsidR="00C96475" w:rsidRPr="009604E4" w:rsidRDefault="00C96475" w:rsidP="009769B2">
            <w:pPr>
              <w:rPr>
                <w:rFonts w:ascii="Times New Roman" w:hAnsi="Times New Roman" w:cs="Times New Roman"/>
                <w:lang w:val="en-GB"/>
              </w:rPr>
            </w:pPr>
          </w:p>
        </w:tc>
        <w:tc>
          <w:tcPr>
            <w:tcW w:w="2024" w:type="dxa"/>
          </w:tcPr>
          <w:p w14:paraId="05FE6939" w14:textId="77777777" w:rsidR="00C96475" w:rsidRPr="009604E4" w:rsidRDefault="00C9647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N of misclassified patients (%)</w:t>
            </w:r>
          </w:p>
        </w:tc>
        <w:tc>
          <w:tcPr>
            <w:tcW w:w="2738" w:type="dxa"/>
          </w:tcPr>
          <w:p w14:paraId="0C177159" w14:textId="77777777" w:rsidR="00C96475" w:rsidRPr="009604E4" w:rsidRDefault="00C9647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N of misclassified patients</w:t>
            </w:r>
          </w:p>
          <w:p w14:paraId="7A641B4D" w14:textId="77777777" w:rsidR="00C96475" w:rsidRPr="009604E4" w:rsidRDefault="00C9647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within R-IPI risk groups (%)</w:t>
            </w:r>
          </w:p>
        </w:tc>
        <w:tc>
          <w:tcPr>
            <w:tcW w:w="3546" w:type="dxa"/>
          </w:tcPr>
          <w:p w14:paraId="6D784D1C" w14:textId="77777777" w:rsidR="00C96475" w:rsidRPr="009604E4" w:rsidRDefault="00C9647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N of equally classified patients within R-IPI (%)</w:t>
            </w:r>
          </w:p>
        </w:tc>
        <w:tc>
          <w:tcPr>
            <w:tcW w:w="2732" w:type="dxa"/>
          </w:tcPr>
          <w:p w14:paraId="3B3319FE" w14:textId="77777777" w:rsidR="00C96475" w:rsidRPr="009604E4" w:rsidRDefault="00C96475" w:rsidP="009769B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weighted κ</w:t>
            </w:r>
          </w:p>
        </w:tc>
      </w:tr>
      <w:tr w:rsidR="00C96475" w:rsidRPr="009604E4" w14:paraId="411177A0" w14:textId="77777777" w:rsidTr="009769B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321" w:type="dxa"/>
          </w:tcPr>
          <w:p w14:paraId="64DA647C" w14:textId="77777777" w:rsidR="00C96475" w:rsidRPr="009604E4" w:rsidRDefault="00C96475" w:rsidP="009769B2">
            <w:pPr>
              <w:rPr>
                <w:rFonts w:ascii="Times New Roman" w:hAnsi="Times New Roman" w:cs="Times New Roman"/>
                <w:b w:val="0"/>
                <w:bCs w:val="0"/>
                <w:lang w:val="en-GB"/>
              </w:rPr>
            </w:pPr>
            <w:r w:rsidRPr="009604E4">
              <w:rPr>
                <w:rFonts w:ascii="Times New Roman" w:hAnsi="Times New Roman" w:cs="Times New Roman"/>
                <w:lang w:val="en-GB"/>
              </w:rPr>
              <w:t xml:space="preserve">R-IPI </w:t>
            </w:r>
            <w:r w:rsidRPr="009604E4">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{"citationItems":[{"id":"ITEM-1","itemData":{"abstract":"Diffuse large B-cell lymphoma (DLBCL) is a heterogeneous entity, with patients exhibiting a wide range of outcomes. The addition of rituximab to CHOP chemotherapy (R-CHOP)has led to a marked improvement in survival and has called into question the significance of previously recognized prognostic markers. Since randomized controlled trials of R-CHOP in DLBCL have included select subgroups of patients, the utility of the International Prognostic Index (IPI) has not been reassessed. We performed a retrospective analysis of patients with DLBCL treated with R-CHOP in the province of British Columbia to assess the value of the IPI in the era of immunochemotherapy. The IPI remains predictive, but it identifies only 2 risk groups. Redistribution of the IPI factors into a revised IPI (R-IPI) provides a more clinically useful prediction of outcome. The R-IPI identifies 3 distinct prognostic groups with a very good (4-year progression-free survival [PFS] 94%, overall survival [OS] 94%), good (4-year PFS 80%, OS 79%), and poor (4-year PFS 53%, OS 55%) outcome, respectively (P &lt; .001). The IPI (or R-IPI) no longer identifies a risk group with less than a 50% chance of survival. In the era of R-CHOP treatment, the R-IPI is a clinically useful prognostic index that may help guide treatment planning and interpretation of clinical trials.","author":[{"dropping-particle":"","family":"Sehn","given":"Laurie H","non-dropping-particle":"","parse-names":false,"suffix":""},{"dropping-particle":"","family":"Berry","given":"Brian","non-dropping-particle":"","parse-names":false,"suffix":""},{"dropping-particle":"","family":"Chhanabhai","given":"Mukesh","non-dropping-particle":"","parse-names":false,"suffix":""},{"dropping-particle":"","family":"Fitzgerald","given":"Catherine","non-dropping-particle":"","parse-names":false,"suffix":""},{"dropping-particle":"","family":"Gill","given":"Karamjit","non-dropping-particle":"","parse-names":false,"suffix":""},{"dropping-particle":"","family":"Hoskins","given":"Paul","non-dropping-particle":"","parse-names":false,"suffix":""},{"dropping-particle":"","family":"Klasa","given":"Richard","non-dropping-particle":"","parse-names":false,"suffix":""},{"dropping-particle":"","family":"Savage","given":"Kerry J","non-dropping-particle":"","parse-names":false,"suffix":""},{"dropping-particle":"","family":"Shenkier","given":"Tamara","non-dropping-particle":"","parse-names":false,"suffix":""},{"dropping-particle":"","family":"Sutherland","given":"Judy","non-dropping-particle":"","parse-names":false,"suffix":""},{"dropping-particle":"","family":"Gascoyne","given":"Randy D","non-dropping-particle":"","parse-names":false,"suffix":""},{"dropping-particle":"","family":"Connors","given":"Joseph M","non-dropping-particle":"","parse-names":false,"suffix":""}],"container-title":"Blood","id":"ITEM-1","issue":"5","issued":{"date-parts":[["2007","3","1"]]},"page":"1857-61","title":"The revised International Prognostic Index (R-IPI) is a better predictor of outcome than the standard IPI for patients with diffuse large B-cell lymphoma treated with R-CHOP.","type":"article-journal","volume":"109"},"uris":["http://www.mendeley.com/documents/?uuid=d8e87030-952e-4547-afcf-8faa5d3095a2"]}],"mendeley":{"formattedCitation":"&lt;sup&gt;7&lt;/sup&gt;","plainTextFormattedCitation":"7","previouslyFormattedCitation":"(Sehn et al., 2007)"},"properties":{"noteIndex":0},"schema":"https://github.com/citation-style-language/schema/raw/master/csl-citation.json"}</w:instrText>
            </w:r>
            <w:r w:rsidRPr="009604E4">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7</w:t>
            </w:r>
            <w:r w:rsidRPr="009604E4">
              <w:rPr>
                <w:rFonts w:ascii="Times New Roman" w:hAnsi="Times New Roman" w:cs="Times New Roman"/>
                <w:lang w:val="en-GB"/>
              </w:rPr>
              <w:fldChar w:fldCharType="end"/>
            </w:r>
          </w:p>
          <w:p w14:paraId="294DCF53" w14:textId="77777777" w:rsidR="00C96475" w:rsidRPr="001E0365" w:rsidRDefault="00C96475" w:rsidP="009769B2">
            <w:pPr>
              <w:rPr>
                <w:rFonts w:ascii="Times New Roman" w:hAnsi="Times New Roman" w:cs="Times New Roman"/>
                <w:lang w:val="en-GB"/>
              </w:rPr>
            </w:pPr>
            <w:r w:rsidRPr="001E0365">
              <w:rPr>
                <w:rFonts w:ascii="Times New Roman" w:hAnsi="Times New Roman" w:cs="Times New Roman"/>
                <w:lang w:val="en-GB"/>
              </w:rPr>
              <w:t>(N=5126)</w:t>
            </w:r>
          </w:p>
        </w:tc>
        <w:tc>
          <w:tcPr>
            <w:tcW w:w="2024" w:type="dxa"/>
          </w:tcPr>
          <w:p w14:paraId="29177AAC"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p>
        </w:tc>
        <w:tc>
          <w:tcPr>
            <w:tcW w:w="2738" w:type="dxa"/>
          </w:tcPr>
          <w:p w14:paraId="04C9D1F5"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w:t>
            </w:r>
          </w:p>
        </w:tc>
        <w:tc>
          <w:tcPr>
            <w:tcW w:w="3546" w:type="dxa"/>
          </w:tcPr>
          <w:p w14:paraId="4D8863B1"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w:t>
            </w:r>
          </w:p>
        </w:tc>
        <w:tc>
          <w:tcPr>
            <w:tcW w:w="2732" w:type="dxa"/>
          </w:tcPr>
          <w:p w14:paraId="04656647"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w:t>
            </w:r>
          </w:p>
        </w:tc>
      </w:tr>
      <w:tr w:rsidR="00C96475" w:rsidRPr="009604E4" w14:paraId="080281A5" w14:textId="77777777" w:rsidTr="009769B2">
        <w:trPr>
          <w:trHeight w:val="275"/>
        </w:trPr>
        <w:tc>
          <w:tcPr>
            <w:cnfStyle w:val="001000000000" w:firstRow="0" w:lastRow="0" w:firstColumn="1" w:lastColumn="0" w:oddVBand="0" w:evenVBand="0" w:oddHBand="0" w:evenHBand="0" w:firstRowFirstColumn="0" w:firstRowLastColumn="0" w:lastRowFirstColumn="0" w:lastRowLastColumn="0"/>
            <w:tcW w:w="2321" w:type="dxa"/>
          </w:tcPr>
          <w:p w14:paraId="56271A0D" w14:textId="77777777" w:rsidR="00C96475" w:rsidRPr="009604E4" w:rsidRDefault="00C96475" w:rsidP="009769B2">
            <w:pPr>
              <w:rPr>
                <w:rFonts w:ascii="Times New Roman" w:hAnsi="Times New Roman" w:cs="Times New Roman"/>
                <w:b w:val="0"/>
                <w:bCs w:val="0"/>
                <w:lang w:val="en-GB"/>
              </w:rPr>
            </w:pPr>
            <w:r w:rsidRPr="009604E4">
              <w:rPr>
                <w:rFonts w:ascii="Times New Roman" w:hAnsi="Times New Roman" w:cs="Times New Roman"/>
                <w:lang w:val="en-GB"/>
              </w:rPr>
              <w:t xml:space="preserve">Matsumoto Model </w:t>
            </w:r>
            <w:r w:rsidRPr="009604E4">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{"citationItems":[{"id":"ITEM-1","itemData":{"abstract":"Objective Useful prognostic biomarkers for diffuse large B-cell lymphoma (DLBCL) patients have been reported. To determine the prognostic value of hemoglobin (Hb) level in DLBCL patients, we performed a retrospective study. Materials and Methods We evaluated disease outcome, progression-free survival (PFS), overall survival as the endpoint, and clinical and laboratory factors affecting the outcome of 185 DLBCL patients who had received rituximab, cyclophosphamide, doxorubicin, vincristine, and prednisolone therapy during 2004-2014. Results The study group included 121 men and 64 women with a median age of 66 years minimum-maximum: 21-83 years. In univariate analysis, factors independently associated with worse PFS were Eastern Cooperative Oncology Group performance status ≥2, Ann Arbor stage III or IV, anemia with Hb levels of &lt;10 g/dL, and serum albumin of &lt;3.5 g/dL. In multivariate analysis, anemia with Hb levels of &lt;10 g/dL and Ann Arbor stage III or IV were found to be international index-independent prognostic factors (hazard ratio: 2.4; p=0.04). Conclusion Anemia is an independent prognostic marker of poor outcome in DLBCL patients. Hb can be an easily available prognostic marker for risk stratification in these patients. Amaç Diffüz büyük B hücreli lenfoma (DBBHL) hastaları için yararlı prognostik belirteçler bildirilmiştir. DBBHL hastalarında hemoglobin (Hb) düzeyleri ile prognoz ilişkisini araştırmak amacıyla retrospektif bir çalışma yaptık. Gereç ve Yöntemler 2004-2014 yılları arasında rituksimab, siklofosfamid, doksorubisin, vinkristin ve prednizolon tedavisi almış olan 185 DBBHL hastasının klinik ve laboratuvar bulguları değerlendirildi ve bunların hastalık sonuçlarına, ilerlemesiz sağkalım (PFS) ve toplam sağkalıma (TS) etkileri araştırıldı. Bulgular Araştırma grubunda 121 erkek ve 64 kadın vardı, ortanca yaş 66 yıldı (minimum-maksimum: 21-83 yıl). Tek değişkenli analizde Eastern Cooperative Oncology Group performans durumunun ≥2 olması, Ann Arbor evre III veya IV olması ve Hb değerinin &lt;10 g/dL ile anemi olması PFS ve TS’yi etkileyen bağımsız değişkenler olarak bulundu. Çok değişkenli analizde ise Hb değerinin &lt;10 g/dL ile anemi ve Ann Arbor evre III veya IV olması uluslararası indeks-bağımsız prognostik faktörler olarak bulundu (Hazard ratio: 2,4; p=0,04). Sonuç Anemi, DLBCL hastalarında kötü sonuçların bağımsız prognostik bir göstergesidir. Hb, bu hastalarda risk sınıflandırması için kolayca bulunabilen bir prognostik belirteç olabilir.","author":[{"dropping-particle":"","family":"Matsumoto","given":"Kenji","non-dropping-particle":"","parse-names":false,"suffix":""},{"dropping-particle":"","family":"Fujisawa","given":"Shin","non-dropping-particle":"","parse-names":false,"suffix":""},{"dropping-particle":"","family":"Ando","given":"Taiki","non-dropping-particle":"","parse-names":false,"suffix":""},{"dropping-particle":"","family":"Koyama","given":"Megumi","non-dropping-particle":"","parse-names":false,"suffix":""},{"dropping-particle":"","family":"Koyama","given":"Satoshi","non-dropping-particle":"","parse-names":false,"suffix":""},{"dropping-particle":"","family":"Ishii","given":"Yoshimi","non-dropping-particle":"","parse-names":false,"suffix":""},{"dropping-particle":"","family":"Numata","given":"Ayumi","non-dropping-particle":"","parse-names":false,"suffix":""},{"dropping-particle":"","family":"Yamamoto","given":"Wataru","non-dropping-particle":"","parse-names":false,"suffix":""},{"dropping-particle":"","family":"Motohashi","given":"Kenji","non-dropping-particle":"","parse-names":false,"suffix":""},{"dropping-particle":"","family":"Hagihara","given":"Maki","non-dropping-particle":"","parse-names":false,"suffix":""},{"dropping-particle":"","family":"Nakajima","given":"Hideaki","non-dropping-particle":"","parse-names":false,"suffix":""}],"container-title":"Turkish journal of haematology : official journal of Turkish Society of Haematology","id":"ITEM-1","issue":"3","issued":{"date-parts":[["2018","3","3"]]},"page":"181-184","title":"Anemia Associated with Worse Outcome in Diffuse Large B-Cell Lymphoma Patients: A Single-Center Retrospective Study","type":"article-journal","volume":"35"},"uris":["http://www.mendeley.com/documents/?uuid=1b98be03-db96-3d56-8adc-32c55818be9a"]}],"mendeley":{"formattedCitation":"&lt;sup&gt;33&lt;/sup&gt;","plainTextFormattedCitation":"33","previouslyFormattedCitation":"(Matsumoto et al., 2018)"},"properties":{"noteIndex":0},"schema":"https://github.com/citation-style-language/schema/raw/master/csl-citation.json"}</w:instrText>
            </w:r>
            <w:r w:rsidRPr="009604E4">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33</w:t>
            </w:r>
            <w:r w:rsidRPr="009604E4">
              <w:rPr>
                <w:rFonts w:ascii="Times New Roman" w:hAnsi="Times New Roman" w:cs="Times New Roman"/>
                <w:lang w:val="en-GB"/>
              </w:rPr>
              <w:fldChar w:fldCharType="end"/>
            </w:r>
          </w:p>
        </w:tc>
        <w:tc>
          <w:tcPr>
            <w:tcW w:w="2024" w:type="dxa"/>
          </w:tcPr>
          <w:p w14:paraId="351F5843"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3338 (65.1)</w:t>
            </w:r>
          </w:p>
        </w:tc>
        <w:tc>
          <w:tcPr>
            <w:tcW w:w="2738" w:type="dxa"/>
          </w:tcPr>
          <w:p w14:paraId="0E89DFA1"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5 (1.5)</w:t>
            </w:r>
          </w:p>
          <w:p w14:paraId="5A54DC6F"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1276 (56.0)</w:t>
            </w:r>
          </w:p>
          <w:p w14:paraId="049969F7"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2057 (81.7)</w:t>
            </w:r>
          </w:p>
        </w:tc>
        <w:tc>
          <w:tcPr>
            <w:tcW w:w="3546" w:type="dxa"/>
          </w:tcPr>
          <w:p w14:paraId="0C82E1D4"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325 (98.5)</w:t>
            </w:r>
          </w:p>
          <w:p w14:paraId="141E453B"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1003 (44.0)</w:t>
            </w:r>
          </w:p>
          <w:p w14:paraId="68529949"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460 (18.3)</w:t>
            </w:r>
          </w:p>
        </w:tc>
        <w:tc>
          <w:tcPr>
            <w:tcW w:w="2732" w:type="dxa"/>
          </w:tcPr>
          <w:p w14:paraId="43CF6FD8"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0.198 (0.183; 0.212)</w:t>
            </w:r>
          </w:p>
        </w:tc>
      </w:tr>
      <w:tr w:rsidR="00C96475" w:rsidRPr="009604E4" w14:paraId="7EF29171" w14:textId="77777777" w:rsidTr="009769B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321" w:type="dxa"/>
          </w:tcPr>
          <w:p w14:paraId="6334580D" w14:textId="77777777" w:rsidR="00C96475" w:rsidRPr="009604E4" w:rsidRDefault="00C96475" w:rsidP="009769B2">
            <w:pPr>
              <w:rPr>
                <w:rFonts w:ascii="Times New Roman" w:hAnsi="Times New Roman" w:cs="Times New Roman"/>
                <w:lang w:val="en-GB"/>
              </w:rPr>
            </w:pPr>
            <w:r w:rsidRPr="009604E4">
              <w:rPr>
                <w:rFonts w:ascii="Times New Roman" w:hAnsi="Times New Roman" w:cs="Times New Roman"/>
                <w:lang w:val="en-GB"/>
              </w:rPr>
              <w:t xml:space="preserve">ALC/R-IPI </w:t>
            </w:r>
            <w:r w:rsidRPr="009604E4">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prognostic value of absolute lymphocytic count (ALC), has been a recent matter of debate in non-Hodgkin-lymphoma (NHL). We assessed prospectively the value of ALC at diagnosis and also after the completion of immuno-chemotherapy in 101 diffuse-large-B-cell-lymphoma (DLBCL). Analysis of prognostic factors with respect to overall survival (OS), event free survival (EFS) and progression free survival (PFS) was done by two-tailed log-rank test. The ALC cut-off value was calculated as &lt;0.84 x 10(9)/L at diagnosis: this was a strong negative prognostic factor for OS (p = 0.0004), EFS (p &lt; 0.00001) and PFS (p &lt; 0.00001) and in multivariate analysis was independent from the revised-international-prognostic-index (R-IPI). ALC after chemo-immunotherapy was not of prognostic value. As R-IPI and ALC &lt; 0.84 x 10(9)/L, were the factors better discriminating poor prognosis, a new trichotomous score (ALC/R-IPI) was built up: (1) low risk: R-IPI = very good or good and ALC &lt; 0.84 x 10(9)/L; (2) intermediate risk: patients with at least one risk factor (R-IPI = poor or ALC &lt; 0.84 x 10(9)/L). (3) high risk: patients with both risk factors. This new prognostic score was highly significant in univariate analysis for OS (p = 0.0002), EFS (p &lt; 0.00001) and PFS (p &lt; 0.00001). In multivariate analysis ALC/R-IPI was the most predictive factor for OS (OR = 2.954; p = 0.002) and EFS (OR = 2.381; p &lt; 0.00001) and the only predictive factor for PFS (OR = 4.018; p &lt; 0.00001). Our data, show that ALC at diagnosis has a strong prognostic relevance and is independent from the R-IPI. The new score including both values proved the most powerful predictor at multivariate analysis.","author":[{"dropping-particle":"","family":"Cox","given":"Maria Christina","non-dropping-particle":"","parse-names":false,"suffix":""},{"dropping-particle":"","family":"Nofroni","given":"Italo","non-dropping-particle":"","parse-names":false,"suffix":""},{"dropping-particle":"","family":"Ruco","given":"Luigi","non-dropping-particle":"","parse-names":false,"suffix":""},{"dropping-particle":"","family":"Amodeo","given":"Rachele","non-dropping-particle":"","parse-names":false,"suffix":""},{"dropping-particle":"","family":"Ferrari","given":"Antonella","non-dropping-particle":"","parse-names":false,"suffix":""},{"dropping-particle":"","family":"Verde","given":"Giacinto","non-dropping-particle":"La","parse-names":false,"suffix":""},{"dropping-particle":"","family":"Cardelli","given":"Patrizia","non-dropping-particle":"","parse-names":false,"suffix":""},{"dropping-particle":"","family":"Montefusco","given":"Enrico","non-dropping-particle":"","parse-names":false,"suffix":""},{"dropping-particle":"","family":"Conte","given":"Esmeralda","non-dropping-particle":"","parse-names":false,"suffix":""},{"dropping-particle":"","family":"Monarca","given":"Bruno","non-dropping-particle":"","parse-names":false,"suffix":""},{"dropping-particle":"","family":"Aloe-Spiriti","given":"Maria Antonietta","non-dropping-particle":"","parse-names":false,"suffix":""}],"container-title":"Leukemia &amp; Lymphoma","id":"ITEM-1","issue":"9","issued":{"date-parts":[["2008","1"]]},"page":"1745-1751","title":"Low absolute lymphocyte count is a poor prognostic factor in diffuse-large-B-cell-lymphoma","type":"article-journal","volume":"49"},"uris":["http://www.mendeley.com/documents/?uuid=20b7436e-d019-3342-83ee-fc7da461c597"]}],"mendeley":{"formattedCitation":"&lt;sup&gt;28&lt;/sup&gt;","plainTextFormattedCitation":"28","previouslyFormattedCitation":"(Cox et al., 2008)"},"properties":{"noteIndex":0},"schema":"https://github.com/citation-style-language/schema/raw/master/csl-citation.json"}</w:instrText>
            </w:r>
            <w:r w:rsidRPr="009604E4">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28</w:t>
            </w:r>
            <w:r w:rsidRPr="009604E4">
              <w:rPr>
                <w:rFonts w:ascii="Times New Roman" w:hAnsi="Times New Roman" w:cs="Times New Roman"/>
                <w:lang w:val="en-GB"/>
              </w:rPr>
              <w:fldChar w:fldCharType="end"/>
            </w:r>
          </w:p>
        </w:tc>
        <w:tc>
          <w:tcPr>
            <w:tcW w:w="2024" w:type="dxa"/>
          </w:tcPr>
          <w:p w14:paraId="6A22E501"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3628 (70.8)</w:t>
            </w:r>
          </w:p>
        </w:tc>
        <w:tc>
          <w:tcPr>
            <w:tcW w:w="2738" w:type="dxa"/>
          </w:tcPr>
          <w:p w14:paraId="57B841FC"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11 (3.3)</w:t>
            </w:r>
          </w:p>
          <w:p w14:paraId="52C84C98"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1908 (83.7)</w:t>
            </w:r>
          </w:p>
          <w:p w14:paraId="692F3A35"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1709 (67.9)</w:t>
            </w:r>
          </w:p>
        </w:tc>
        <w:tc>
          <w:tcPr>
            <w:tcW w:w="3546" w:type="dxa"/>
          </w:tcPr>
          <w:p w14:paraId="53D8FF09"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319 (96.7)</w:t>
            </w:r>
          </w:p>
          <w:p w14:paraId="46BCD8CE"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371 (16.3)</w:t>
            </w:r>
          </w:p>
          <w:p w14:paraId="55D63D30"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808 (32.1)</w:t>
            </w:r>
          </w:p>
        </w:tc>
        <w:tc>
          <w:tcPr>
            <w:tcW w:w="2732" w:type="dxa"/>
          </w:tcPr>
          <w:p w14:paraId="16F638ED"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9604E4">
              <w:rPr>
                <w:rFonts w:ascii="Times New Roman" w:hAnsi="Times New Roman" w:cs="Times New Roman"/>
              </w:rPr>
              <w:t>0.2</w:t>
            </w:r>
            <w:r w:rsidRPr="009604E4">
              <w:rPr>
                <w:rFonts w:ascii="Times New Roman" w:hAnsi="Times New Roman" w:cs="Times New Roman"/>
                <w:lang w:val="en-GB"/>
              </w:rPr>
              <w:t>44</w:t>
            </w:r>
            <w:r w:rsidRPr="009604E4">
              <w:rPr>
                <w:rFonts w:ascii="Times New Roman" w:hAnsi="Times New Roman" w:cs="Times New Roman"/>
              </w:rPr>
              <w:t xml:space="preserve"> (0.2</w:t>
            </w:r>
            <w:r w:rsidRPr="009604E4">
              <w:rPr>
                <w:rFonts w:ascii="Times New Roman" w:hAnsi="Times New Roman" w:cs="Times New Roman"/>
                <w:lang w:val="en-GB"/>
              </w:rPr>
              <w:t xml:space="preserve">32; </w:t>
            </w:r>
            <w:r w:rsidRPr="009604E4">
              <w:rPr>
                <w:rFonts w:ascii="Times New Roman" w:hAnsi="Times New Roman" w:cs="Times New Roman"/>
              </w:rPr>
              <w:t>0.25</w:t>
            </w:r>
            <w:r w:rsidRPr="009604E4">
              <w:rPr>
                <w:rFonts w:ascii="Times New Roman" w:hAnsi="Times New Roman" w:cs="Times New Roman"/>
                <w:lang w:val="en-GB"/>
              </w:rPr>
              <w:t>7</w:t>
            </w:r>
            <w:r w:rsidRPr="009604E4">
              <w:rPr>
                <w:rFonts w:ascii="Times New Roman" w:hAnsi="Times New Roman" w:cs="Times New Roman"/>
              </w:rPr>
              <w:t>)</w:t>
            </w:r>
          </w:p>
        </w:tc>
      </w:tr>
      <w:tr w:rsidR="00C96475" w:rsidRPr="009604E4" w14:paraId="499E21DD" w14:textId="77777777" w:rsidTr="009769B2">
        <w:trPr>
          <w:trHeight w:val="275"/>
        </w:trPr>
        <w:tc>
          <w:tcPr>
            <w:cnfStyle w:val="001000000000" w:firstRow="0" w:lastRow="0" w:firstColumn="1" w:lastColumn="0" w:oddVBand="0" w:evenVBand="0" w:oddHBand="0" w:evenHBand="0" w:firstRowFirstColumn="0" w:firstRowLastColumn="0" w:lastRowFirstColumn="0" w:lastRowLastColumn="0"/>
            <w:tcW w:w="2321" w:type="dxa"/>
          </w:tcPr>
          <w:p w14:paraId="3AC2A8D7" w14:textId="77777777" w:rsidR="00C96475" w:rsidRPr="009604E4" w:rsidRDefault="00C96475" w:rsidP="009769B2">
            <w:pPr>
              <w:rPr>
                <w:rFonts w:ascii="Times New Roman" w:hAnsi="Times New Roman" w:cs="Times New Roman"/>
                <w:lang w:val="en-GB"/>
              </w:rPr>
            </w:pPr>
            <w:r w:rsidRPr="009604E4">
              <w:rPr>
                <w:rFonts w:ascii="Times New Roman" w:hAnsi="Times New Roman" w:cs="Times New Roman"/>
                <w:lang w:val="en-GB"/>
              </w:rPr>
              <w:t xml:space="preserve">PA score </w:t>
            </w:r>
            <w:r w:rsidRPr="009604E4">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{"citationItems":[{"id":"ITEM-1","itemData":{"abstract":"Few studies have examined the prognostic impact of blood markers [other than the five factors in the enhanced International Prognostic Index (NCCN-IPI)] in elderly patients with diffuse large B cell lymphoma (DLBCL). We retrospectively analyzed 391 DLBCL patients receiving rituximab plus anthracycline-containing chemotherapy to examine the prognostic impact of simple blood markers. The NCCN-IPI was more accurate for discriminating prognoses than the original IPI. Multivariate analysis identified platelet count (&lt;100,000/μl) and albumin (&lt;3.5 g/dl) levels as significantly associated with lower overall survival (OS), independently of the NCCN-IPI. These parameters stratified patients into three risk groups: platelet-albumin (PA) score low (platelet count ≥100,000/μl, albumin ≥3.5 g/dl, n = 243); intermediate (platelet count &lt;100,000/μl, albumin ≥3.5 g/dl or platelet count ≥100,000/μl, albumin &lt;3.5 g/dl, n = 125); and high (platelet count &lt;100,000/μl, albumin &lt;3.5 g/dl, n = 23). The 5-year OS rates were 81.5, 48.6, and 20.2 %, respectively (p &lt; 0.001). Notably, most patients with a low platelet count (n = 30) were stratified into the high-risk subgroup, suggesting that platelet count was prognostic for high-risk patients with a dismal outcome. In elderly patients (n = 291), the prognostic value of the NCCN-IPI might be diminished because the low-risk category was excluded; however, the PA score was predictive of survival: the 5-year OS rates for PA score low (n = 171), intermediate (n = 101), and high (n = 19) groups were 77.6, 47.9, and 19.0 %, respectively (p &lt; 0.001). Platelet count and albumin levels are useful prognostic factors, and their combined use can predict survival, even in elderly patients.","author":[{"dropping-particle":"","family":"Ochi","given":"Yotaro","non-dropping-particle":"","parse-names":false,"suffix":""},{"dropping-particle":"","family":"Kazuma","given":"Yasuhiro","non-dropping-particle":"","parse-names":false,"suffix":""},{"dropping-particle":"","family":"Hiramoto","given":"Nobuhiro","non-dropping-particle":"","parse-names":false,"suffix":""},{"dropping-particle":"","family":"Ono","given":"Yuichiro","non-dropping-particle":"","parse-names":false,"suffix":""},{"dropping-particle":"","family":"Yoshioka","given":"Satoshi","non-dropping-particle":"","parse-names":false,"suffix":""},{"dropping-particle":"","family":"Yonetani","given":"Noboru","non-dropping-particle":"","parse-names":false,"suffix":""},{"dropping-particle":"","family":"Matsushita","given":"Akiko","non-dropping-particle":"","parse-names":false,"suffix":""},{"dropping-particle":"","family":"Imai","given":"Yukihiro","non-dropping-particle":"","parse-names":false,"suffix":""},{"dropping-particle":"","family":"Hashimoto","given":"Hisako","non-dropping-particle":"","parse-names":false,"suffix":""},{"dropping-particle":"","family":"Ishikawa","given":"Takayuki","non-dropping-particle":"","parse-names":false,"suffix":""}],"container-title":"Annals of Hematology","id":"ITEM-1","issue":"1","issued":{"date-parts":[["2017","1","19"]]},"page":"1-8","title":"Utility of a simple prognostic stratification based on platelet counts and serum albumin levels in elderly patients with diffuse large B cell lymphoma","type":"article-journal","volume":"96"},"uris":["http://www.mendeley.com/documents/?uuid=813e10f4-2850-3b27-92ea-d38e08b681da"]}],"mendeley":{"formattedCitation":"&lt;sup&gt;32&lt;/sup&gt;","plainTextFormattedCitation":"32","previouslyFormattedCitation":"(Ochi et al., 2017)"},"properties":{"noteIndex":0},"schema":"https://github.com/citation-style-language/schema/raw/master/csl-citation.json"}</w:instrText>
            </w:r>
            <w:r w:rsidRPr="009604E4">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32</w:t>
            </w:r>
            <w:r w:rsidRPr="009604E4">
              <w:rPr>
                <w:rFonts w:ascii="Times New Roman" w:hAnsi="Times New Roman" w:cs="Times New Roman"/>
                <w:lang w:val="en-GB"/>
              </w:rPr>
              <w:fldChar w:fldCharType="end"/>
            </w:r>
          </w:p>
        </w:tc>
        <w:tc>
          <w:tcPr>
            <w:tcW w:w="2024" w:type="dxa"/>
          </w:tcPr>
          <w:p w14:paraId="58D425A2"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4304 (84.0)</w:t>
            </w:r>
          </w:p>
        </w:tc>
        <w:tc>
          <w:tcPr>
            <w:tcW w:w="2738" w:type="dxa"/>
          </w:tcPr>
          <w:p w14:paraId="5DB49669"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10 (3.0)</w:t>
            </w:r>
          </w:p>
          <w:p w14:paraId="73FB1CD2"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1867 (81.9)</w:t>
            </w:r>
          </w:p>
          <w:p w14:paraId="038DACF6"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2427 (96.4)</w:t>
            </w:r>
          </w:p>
        </w:tc>
        <w:tc>
          <w:tcPr>
            <w:tcW w:w="3546" w:type="dxa"/>
          </w:tcPr>
          <w:p w14:paraId="6D3118D4"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320 (97.0)</w:t>
            </w:r>
          </w:p>
          <w:p w14:paraId="0F927774"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412 (18.1)</w:t>
            </w:r>
          </w:p>
          <w:p w14:paraId="00FD4921"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90 (3.6)</w:t>
            </w:r>
          </w:p>
        </w:tc>
        <w:tc>
          <w:tcPr>
            <w:tcW w:w="2732" w:type="dxa"/>
          </w:tcPr>
          <w:p w14:paraId="0FEB1C02" w14:textId="77777777" w:rsidR="00C96475" w:rsidRPr="009604E4" w:rsidRDefault="00C96475" w:rsidP="009769B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0.044 (0.038; 0.049)</w:t>
            </w:r>
          </w:p>
        </w:tc>
      </w:tr>
      <w:tr w:rsidR="00C96475" w:rsidRPr="00FA525E" w14:paraId="2ADC358D" w14:textId="77777777" w:rsidTr="009769B2">
        <w:trPr>
          <w:cnfStyle w:val="000000100000" w:firstRow="0" w:lastRow="0" w:firstColumn="0" w:lastColumn="0" w:oddVBand="0" w:evenVBand="0" w:oddHBand="1" w:evenHBand="0" w:firstRowFirstColumn="0" w:firstRowLastColumn="0" w:lastRowFirstColumn="0" w:lastRowLastColumn="0"/>
          <w:trHeight w:val="275"/>
        </w:trPr>
        <w:tc>
          <w:tcPr>
            <w:cnfStyle w:val="001000000000" w:firstRow="0" w:lastRow="0" w:firstColumn="1" w:lastColumn="0" w:oddVBand="0" w:evenVBand="0" w:oddHBand="0" w:evenHBand="0" w:firstRowFirstColumn="0" w:firstRowLastColumn="0" w:lastRowFirstColumn="0" w:lastRowLastColumn="0"/>
            <w:tcW w:w="2321" w:type="dxa"/>
          </w:tcPr>
          <w:p w14:paraId="5285F5E9" w14:textId="77777777" w:rsidR="00C96475" w:rsidRPr="009604E4" w:rsidRDefault="00C96475" w:rsidP="009769B2">
            <w:pPr>
              <w:rPr>
                <w:rFonts w:ascii="Times New Roman" w:hAnsi="Times New Roman" w:cs="Times New Roman"/>
                <w:lang w:val="en-GB"/>
              </w:rPr>
            </w:pPr>
            <w:r w:rsidRPr="009604E4">
              <w:rPr>
                <w:rFonts w:ascii="Times New Roman" w:hAnsi="Times New Roman" w:cs="Times New Roman"/>
                <w:lang w:val="en-GB"/>
              </w:rPr>
              <w:t xml:space="preserve">HP index </w:t>
            </w:r>
            <w:r w:rsidRPr="009604E4">
              <w:rPr>
                <w:rFonts w:ascii="Times New Roman" w:hAnsi="Times New Roman" w:cs="Times New Roman"/>
                <w:lang w:val="en-GB"/>
              </w:rPr>
              <w:fldChar w:fldCharType="begin" w:fldLock="1"/>
            </w:r>
            <w:r>
              <w:rPr>
                <w:rFonts w:ascii="Times New Roman" w:hAnsi="Times New Roman" w:cs="Times New Roman"/>
                <w:lang w:val="en-GB"/>
              </w:rPr>
              <w:instrText>ADDIN CSL_CITATION {"citationItems":[{"id":"ITEM-1","itemData":{"abstract":"The international prognostic index (IPI) is a broadly utilized clinical tool to aid in predicting the prognosis of patients with aggressive non-Hodgkin's lymphomas (NHL). However, since this score was developed before the development of rituximab, and the introduction of combined rituximab plus CHOP (cyclophosphamide, doxorubicin, vincristine, prednisone) (R-CHOP) therapy for NHL has dramatically improved clinical outcomes, the IPI may be inadequate to assess prognosis in the R-CHOP era. In the present study, we assessed the utility of hemoglobin (Hb) level and platelet count to predict prognosis in diffuse large B-cell lymphoma, not otherwise specified (DLBCL, NOS), the largest category of aggressive NHL. A total of 89 patients newly diagnosed with nodal DLBCL, NOS and treated with R-CHOP therapy were included. The blood count results at diagnosis were statistically analyzed. Available biopsy specimens were immunostained for interleukin (IL)-6. Hb levels lower than 120 g/L (p = 0.0133) and platelet counts lower than 135 × 109/L (p = 0.0233) were associated with worse overall survival (OS). Based on those levels as cutoff values, a hemoglobin-platelet (HP) index was calculated by assigning 1 point for an Hb level or a platelet count lower than the cutoff. The patients were divided into three groups based on the HP index: high, with a score of 2 (n = 8); intermediate, with a score of 1 (n = 39); and low, with a score of 0 (n = 42). A higher HP index was associated with worse OS (p = 0.0055). Patients with IL-6-positive tumors had significantly lower Hb levels than those with IL-6-negative tumors (p = 0.0264), suggesting that abnormal production of IL-6 by lymphoma cells is associated with anemia. On the other hand, there was no association between the platelet counts and the IL-6 expression in the lymphoma cells. In a multivariate analysis, the HP index predicted OS rate independently of the IPI. Since the HP index is based on inexpensive and broadly available laboratory values, we believe that this index will have great utility in clinical practice, and the addition of this index to IPI could more precisely predict prognosis.","author":[{"dropping-particle":"","family":"Nakayama","given":"Shoko","non-dropping-particle":"","parse-names":false,"suffix":""},{"dropping-particle":"","family":"Matsuda","given":"Mitsuhiro","non-dropping-particle":"","parse-names":false,"suffix":""},{"dropping-particle":"","family":"Adachi","given":"Tatsuya","non-dropping-particle":"","parse-names":false,"suffix":""},{"dropping-particle":"","family":"Sueda","given":"Sanae","non-dropping-particle":"","parse-names":false,"suffix":""},{"dropping-particle":"","family":"Ohashi","given":"Yuka","non-dropping-particle":"","parse-names":false,"suffix":""},{"dropping-particle":"","family":"Awaji","given":"Sumie","non-dropping-particle":"","parse-names":false,"suffix":""},{"dropping-particle":"","family":"Hashimoto","given":"Shigeo","non-dropping-particle":"","parse-names":false,"suffix":""},{"dropping-particle":"","family":"Matsumura","given":"Itaru","non-dropping-particle":"","parse-names":false,"suffix":""}],"container-title":"Platelets","id":"ITEM-1","issue":"5","issued":{"date-parts":[["2019","7","4"]]},"page":"637-645","title":"Novel prognostic index based on hemoglobin level and platelet count for diffuse large B-cell lymphoma, not otherwise specified in the R-CHOP era.","type":"article-journal","volume":"30"},"uris":["http://www.mendeley.com/documents/?uuid=84e9c6a8-fc4e-3041-b0e8-cb1b83bdcc5c"]}],"mendeley":{"formattedCitation":"&lt;sup&gt;34&lt;/sup&gt;","plainTextFormattedCitation":"34","previouslyFormattedCitation":"(Nakayama et al., 2019)"},"properties":{"noteIndex":0},"schema":"https://github.com/citation-style-language/schema/raw/master/csl-citation.json"}</w:instrText>
            </w:r>
            <w:r w:rsidRPr="009604E4">
              <w:rPr>
                <w:rFonts w:ascii="Times New Roman" w:hAnsi="Times New Roman" w:cs="Times New Roman"/>
                <w:lang w:val="en-GB"/>
              </w:rPr>
              <w:fldChar w:fldCharType="separate"/>
            </w:r>
            <w:r w:rsidRPr="00281F82">
              <w:rPr>
                <w:rFonts w:ascii="Times New Roman" w:hAnsi="Times New Roman" w:cs="Times New Roman"/>
                <w:b w:val="0"/>
                <w:noProof/>
                <w:vertAlign w:val="superscript"/>
                <w:lang w:val="en-GB"/>
              </w:rPr>
              <w:t>34</w:t>
            </w:r>
            <w:r w:rsidRPr="009604E4">
              <w:rPr>
                <w:rFonts w:ascii="Times New Roman" w:hAnsi="Times New Roman" w:cs="Times New Roman"/>
                <w:lang w:val="en-GB"/>
              </w:rPr>
              <w:fldChar w:fldCharType="end"/>
            </w:r>
          </w:p>
        </w:tc>
        <w:tc>
          <w:tcPr>
            <w:tcW w:w="2024" w:type="dxa"/>
          </w:tcPr>
          <w:p w14:paraId="7837CCE6"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4083 (76.6)</w:t>
            </w:r>
          </w:p>
        </w:tc>
        <w:tc>
          <w:tcPr>
            <w:tcW w:w="2738" w:type="dxa"/>
          </w:tcPr>
          <w:p w14:paraId="0FBC8AEB"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30 (9.1)</w:t>
            </w:r>
          </w:p>
          <w:p w14:paraId="4F2A1A7C"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1696 (74.4)</w:t>
            </w:r>
          </w:p>
          <w:p w14:paraId="1D46DAF8"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2357 (93.6)</w:t>
            </w:r>
          </w:p>
        </w:tc>
        <w:tc>
          <w:tcPr>
            <w:tcW w:w="3546" w:type="dxa"/>
          </w:tcPr>
          <w:p w14:paraId="424B205B"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300 (90.9)</w:t>
            </w:r>
          </w:p>
          <w:p w14:paraId="572508BE"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583 (25.6)</w:t>
            </w:r>
          </w:p>
          <w:p w14:paraId="42CD3804" w14:textId="77777777" w:rsidR="00C96475" w:rsidRPr="009604E4"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lang w:val="en-GB"/>
              </w:rPr>
            </w:pPr>
            <w:r w:rsidRPr="009604E4">
              <w:rPr>
                <w:rFonts w:ascii="Times New Roman" w:hAnsi="Times New Roman" w:cs="Times New Roman"/>
                <w:color w:val="000000" w:themeColor="text1"/>
                <w:lang w:val="en-GB"/>
              </w:rPr>
              <w:t>160 (6.4)</w:t>
            </w:r>
          </w:p>
        </w:tc>
        <w:tc>
          <w:tcPr>
            <w:tcW w:w="2732" w:type="dxa"/>
          </w:tcPr>
          <w:p w14:paraId="55EAC6DF" w14:textId="77777777" w:rsidR="00C96475" w:rsidRPr="004A0D1D" w:rsidRDefault="00C96475" w:rsidP="009769B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en-GB"/>
              </w:rPr>
            </w:pPr>
            <w:r w:rsidRPr="009604E4">
              <w:rPr>
                <w:rFonts w:ascii="Times New Roman" w:hAnsi="Times New Roman" w:cs="Times New Roman"/>
                <w:lang w:val="en-GB"/>
              </w:rPr>
              <w:t>0.057 (0.049; 0.065)</w:t>
            </w:r>
          </w:p>
        </w:tc>
      </w:tr>
    </w:tbl>
    <w:p w14:paraId="5CFF2236" w14:textId="77777777" w:rsidR="00C96475" w:rsidRPr="002F7E13" w:rsidRDefault="00C96475" w:rsidP="00C96475">
      <w:pPr>
        <w:spacing w:line="240" w:lineRule="auto"/>
        <w:rPr>
          <w:rFonts w:ascii="Times New Roman" w:hAnsi="Times New Roman" w:cs="Times New Roman"/>
          <w:lang w:val="en-GB"/>
        </w:rPr>
      </w:pPr>
    </w:p>
    <w:p w14:paraId="42D0501A" w14:textId="77777777" w:rsidR="00C96475" w:rsidRPr="002F7E13" w:rsidRDefault="00C96475" w:rsidP="00C96475">
      <w:pPr>
        <w:spacing w:line="240" w:lineRule="auto"/>
        <w:rPr>
          <w:rFonts w:ascii="Times New Roman" w:hAnsi="Times New Roman" w:cs="Times New Roman"/>
          <w:lang w:val="en-GB"/>
        </w:rPr>
      </w:pPr>
    </w:p>
    <w:p w14:paraId="4C9DD128" w14:textId="77777777" w:rsidR="00C96475" w:rsidRPr="002F7E13" w:rsidRDefault="00C96475" w:rsidP="00C96475">
      <w:pPr>
        <w:spacing w:line="240" w:lineRule="auto"/>
        <w:rPr>
          <w:rFonts w:ascii="Times New Roman" w:hAnsi="Times New Roman" w:cs="Times New Roman"/>
          <w:lang w:val="en-GB"/>
        </w:rPr>
      </w:pPr>
    </w:p>
    <w:p w14:paraId="5D6DD1F5" w14:textId="77777777" w:rsidR="00C96475" w:rsidRPr="002F7E13" w:rsidRDefault="00C96475" w:rsidP="00C96475">
      <w:pPr>
        <w:spacing w:line="240" w:lineRule="auto"/>
        <w:rPr>
          <w:rFonts w:ascii="Times New Roman" w:hAnsi="Times New Roman" w:cs="Times New Roman"/>
          <w:lang w:val="en-GB"/>
        </w:rPr>
      </w:pPr>
    </w:p>
    <w:p w14:paraId="591C8975" w14:textId="77777777" w:rsidR="00C96475" w:rsidRPr="002F7E13" w:rsidRDefault="00C96475" w:rsidP="00C96475">
      <w:pPr>
        <w:spacing w:line="240" w:lineRule="auto"/>
        <w:rPr>
          <w:rFonts w:ascii="Times New Roman" w:hAnsi="Times New Roman" w:cs="Times New Roman"/>
          <w:lang w:val="en-GB"/>
        </w:rPr>
      </w:pPr>
    </w:p>
    <w:p w14:paraId="36D22519" w14:textId="77777777" w:rsidR="00C96475" w:rsidRPr="002F7E13" w:rsidRDefault="00C96475" w:rsidP="00C96475">
      <w:pPr>
        <w:spacing w:line="240" w:lineRule="auto"/>
        <w:rPr>
          <w:rFonts w:ascii="Times New Roman" w:hAnsi="Times New Roman" w:cs="Times New Roman"/>
          <w:lang w:val="en-GB"/>
        </w:rPr>
      </w:pPr>
    </w:p>
    <w:p w14:paraId="36E5F085" w14:textId="77777777" w:rsidR="00C96475" w:rsidRPr="002F7E13" w:rsidRDefault="00C96475" w:rsidP="00C96475">
      <w:pPr>
        <w:spacing w:line="240" w:lineRule="auto"/>
        <w:rPr>
          <w:rFonts w:ascii="Times New Roman" w:hAnsi="Times New Roman" w:cs="Times New Roman"/>
          <w:lang w:val="en-GB"/>
        </w:rPr>
      </w:pPr>
    </w:p>
    <w:p w14:paraId="2E490040" w14:textId="77777777" w:rsidR="00C96475" w:rsidRPr="002F7E13" w:rsidRDefault="00C96475" w:rsidP="00C96475">
      <w:pPr>
        <w:spacing w:line="240" w:lineRule="auto"/>
        <w:rPr>
          <w:rFonts w:ascii="Times New Roman" w:hAnsi="Times New Roman" w:cs="Times New Roman"/>
          <w:lang w:val="en-GB"/>
        </w:rPr>
      </w:pPr>
    </w:p>
    <w:p w14:paraId="419B5A3C" w14:textId="77777777" w:rsidR="00C96475" w:rsidRPr="002F7E13" w:rsidRDefault="00C96475" w:rsidP="00C96475">
      <w:pPr>
        <w:spacing w:line="240" w:lineRule="auto"/>
        <w:rPr>
          <w:rFonts w:ascii="Times New Roman" w:hAnsi="Times New Roman" w:cs="Times New Roman"/>
          <w:lang w:val="en-GB"/>
        </w:rPr>
      </w:pPr>
    </w:p>
    <w:p w14:paraId="7FE19878" w14:textId="77777777" w:rsidR="00C96475" w:rsidRPr="002F7E13" w:rsidRDefault="00C96475" w:rsidP="00C96475">
      <w:pPr>
        <w:spacing w:line="240" w:lineRule="auto"/>
        <w:rPr>
          <w:rFonts w:ascii="Times New Roman" w:hAnsi="Times New Roman" w:cs="Times New Roman"/>
          <w:lang w:val="en-GB"/>
        </w:rPr>
      </w:pPr>
    </w:p>
    <w:p w14:paraId="0CA32A49" w14:textId="77777777" w:rsidR="00C96475" w:rsidRPr="002F7E13" w:rsidRDefault="00C96475" w:rsidP="00C96475">
      <w:pPr>
        <w:spacing w:after="0" w:line="240" w:lineRule="auto"/>
        <w:rPr>
          <w:rFonts w:ascii="Times New Roman" w:hAnsi="Times New Roman" w:cs="Times New Roman"/>
          <w:lang w:val="en-GB"/>
        </w:rPr>
      </w:pPr>
    </w:p>
    <w:p w14:paraId="6A99DB34" w14:textId="17AC9E85" w:rsidR="00C96475" w:rsidRPr="00377BB8" w:rsidRDefault="00C96475" w:rsidP="00C96475">
      <w:pPr>
        <w:tabs>
          <w:tab w:val="left" w:pos="1230"/>
        </w:tabs>
        <w:spacing w:after="0" w:line="240" w:lineRule="auto"/>
        <w:rPr>
          <w:rFonts w:ascii="Times New Roman" w:hAnsi="Times New Roman" w:cs="Times New Roman"/>
          <w:vertAlign w:val="superscript"/>
          <w:lang w:val="en-GB"/>
        </w:rPr>
      </w:pPr>
      <w:r w:rsidRPr="00377BB8">
        <w:rPr>
          <w:rFonts w:ascii="Times New Roman" w:hAnsi="Times New Roman" w:cs="Times New Roman"/>
          <w:vertAlign w:val="superscript"/>
          <w:lang w:val="en-GB"/>
        </w:rPr>
        <w:t xml:space="preserve">ALC – absolute lymphocyte count; N – number; HP - </w:t>
      </w:r>
      <w:r w:rsidRPr="002F7E13">
        <w:rPr>
          <w:rFonts w:ascii="Times New Roman" w:hAnsi="Times New Roman" w:cs="Times New Roman"/>
          <w:kern w:val="0"/>
          <w:vertAlign w:val="superscript"/>
          <w:lang w:val="en-GB"/>
        </w:rPr>
        <w:t>hemoglobin-platelet</w:t>
      </w:r>
      <w:r w:rsidRPr="00377BB8">
        <w:rPr>
          <w:rFonts w:ascii="Times New Roman" w:hAnsi="Times New Roman" w:cs="Times New Roman"/>
          <w:kern w:val="0"/>
          <w:vertAlign w:val="superscript"/>
          <w:lang w:val="en-GB"/>
        </w:rPr>
        <w:t xml:space="preserve">; PA – </w:t>
      </w:r>
      <w:r w:rsidRPr="002F7E13">
        <w:rPr>
          <w:rFonts w:ascii="Times New Roman" w:hAnsi="Times New Roman" w:cs="Times New Roman"/>
          <w:color w:val="131413"/>
          <w:kern w:val="0"/>
          <w:vertAlign w:val="superscript"/>
          <w:lang w:val="en-GB"/>
        </w:rPr>
        <w:t>platelet</w:t>
      </w:r>
      <w:r w:rsidRPr="00377BB8">
        <w:rPr>
          <w:rFonts w:ascii="Times New Roman" w:hAnsi="Times New Roman" w:cs="Times New Roman"/>
          <w:color w:val="131413"/>
          <w:kern w:val="0"/>
          <w:vertAlign w:val="superscript"/>
          <w:lang w:val="en-GB"/>
        </w:rPr>
        <w:t>-</w:t>
      </w:r>
      <w:r w:rsidRPr="002F7E13">
        <w:rPr>
          <w:rFonts w:ascii="Times New Roman" w:hAnsi="Times New Roman" w:cs="Times New Roman"/>
          <w:color w:val="131413"/>
          <w:kern w:val="0"/>
          <w:vertAlign w:val="superscript"/>
          <w:lang w:val="en-GB"/>
        </w:rPr>
        <w:t>albumin</w:t>
      </w:r>
      <w:r w:rsidRPr="00377BB8">
        <w:rPr>
          <w:rFonts w:ascii="Times New Roman" w:hAnsi="Times New Roman" w:cs="Times New Roman"/>
          <w:color w:val="131413"/>
          <w:kern w:val="0"/>
          <w:vertAlign w:val="superscript"/>
          <w:lang w:val="en-GB"/>
        </w:rPr>
        <w:t xml:space="preserve">; </w:t>
      </w:r>
      <w:r w:rsidRPr="00377BB8">
        <w:rPr>
          <w:rFonts w:ascii="Times New Roman" w:hAnsi="Times New Roman" w:cs="Times New Roman"/>
          <w:vertAlign w:val="superscript"/>
          <w:lang w:val="en-GB"/>
        </w:rPr>
        <w:t>R-IPI – Revised International Prognostic Index</w:t>
      </w:r>
    </w:p>
    <w:p w14:paraId="2B7B4BEF" w14:textId="77777777" w:rsidR="00C96475" w:rsidRPr="002F7E13" w:rsidRDefault="00C96475" w:rsidP="00C96475">
      <w:pPr>
        <w:spacing w:after="0" w:line="240" w:lineRule="auto"/>
        <w:rPr>
          <w:rFonts w:ascii="Times New Roman" w:hAnsi="Times New Roman" w:cs="Times New Roman"/>
          <w:vertAlign w:val="superscript"/>
          <w:lang w:val="en-GB"/>
        </w:rPr>
      </w:pPr>
      <w:r w:rsidRPr="00377BB8">
        <w:rPr>
          <w:rFonts w:ascii="Times New Roman" w:hAnsi="Times New Roman" w:cs="Times New Roman"/>
          <w:vertAlign w:val="superscript"/>
          <w:lang w:val="en-GB"/>
        </w:rPr>
        <w:t>Cohen κ: &lt;0.00 poor; 0-0.2 slight; 0.21-0.40 fair; 0.41-0.60 moderate; 0.61-0.80 substantial; 0.81-1.00 almost perfect agreement</w:t>
      </w:r>
    </w:p>
    <w:p w14:paraId="341CD4D6" w14:textId="77777777" w:rsidR="00C96475" w:rsidRDefault="00C96475" w:rsidP="00C96475">
      <w:pPr>
        <w:spacing w:line="240" w:lineRule="auto"/>
        <w:rPr>
          <w:rFonts w:ascii="Times New Roman" w:hAnsi="Times New Roman" w:cs="Times New Roman"/>
          <w:b/>
          <w:bCs/>
          <w:lang w:val="en-GB"/>
        </w:rPr>
      </w:pPr>
    </w:p>
    <w:p w14:paraId="511DD462" w14:textId="149CF592" w:rsidR="00C96475" w:rsidRDefault="00C96475" w:rsidP="00C96475">
      <w:pPr>
        <w:spacing w:line="240" w:lineRule="auto"/>
        <w:rPr>
          <w:rFonts w:ascii="Times New Roman" w:hAnsi="Times New Roman" w:cs="Times New Roman"/>
          <w:b/>
          <w:bCs/>
          <w:lang w:val="en-GB"/>
        </w:rPr>
      </w:pPr>
    </w:p>
    <w:sectPr w:rsidR="00C96475" w:rsidSect="00C96475">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cumin Pro">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4D24D5"/>
    <w:multiLevelType w:val="multilevel"/>
    <w:tmpl w:val="8D2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31F2EDA"/>
    <w:multiLevelType w:val="hybridMultilevel"/>
    <w:tmpl w:val="4B14D6B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448C76B1"/>
    <w:multiLevelType w:val="hybridMultilevel"/>
    <w:tmpl w:val="E532512E"/>
    <w:lvl w:ilvl="0" w:tplc="1B88B9E4">
      <w:start w:val="1545"/>
      <w:numFmt w:val="bullet"/>
      <w:lvlText w:val=""/>
      <w:lvlJc w:val="left"/>
      <w:pPr>
        <w:ind w:left="720" w:hanging="360"/>
      </w:pPr>
      <w:rPr>
        <w:rFonts w:ascii="Symbol" w:eastAsiaTheme="minorHAnsi" w:hAnsi="Symbol" w:cs="Times New Roman" w:hint="default"/>
        <w:b w:val="0"/>
        <w:color w:val="131413"/>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 w15:restartNumberingAfterBreak="0">
    <w:nsid w:val="707637FD"/>
    <w:multiLevelType w:val="hybridMultilevel"/>
    <w:tmpl w:val="4294B348"/>
    <w:lvl w:ilvl="0" w:tplc="087CCFEC">
      <w:start w:val="1"/>
      <w:numFmt w:val="bullet"/>
      <w:lvlText w:val=""/>
      <w:lvlJc w:val="left"/>
      <w:pPr>
        <w:ind w:left="720" w:hanging="360"/>
      </w:pPr>
      <w:rPr>
        <w:rFonts w:ascii="Wingdings" w:eastAsiaTheme="minorHAnsi" w:hAnsi="Wingdings"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732F20AA"/>
    <w:multiLevelType w:val="hybridMultilevel"/>
    <w:tmpl w:val="35209ECA"/>
    <w:lvl w:ilvl="0" w:tplc="4A88B29A">
      <w:start w:val="18"/>
      <w:numFmt w:val="bullet"/>
      <w:lvlText w:val=""/>
      <w:lvlJc w:val="left"/>
      <w:pPr>
        <w:ind w:left="720" w:hanging="360"/>
      </w:pPr>
      <w:rPr>
        <w:rFonts w:ascii="Symbol" w:eastAsiaTheme="minorHAnsi" w:hAnsi="Symbol"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473448708">
    <w:abstractNumId w:val="0"/>
  </w:num>
  <w:num w:numId="2" w16cid:durableId="1771579800">
    <w:abstractNumId w:val="1"/>
  </w:num>
  <w:num w:numId="3" w16cid:durableId="1987471341">
    <w:abstractNumId w:val="4"/>
  </w:num>
  <w:num w:numId="4" w16cid:durableId="883712989">
    <w:abstractNumId w:val="3"/>
  </w:num>
  <w:num w:numId="5" w16cid:durableId="13343345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cysTA0sjQyNDI3N7dQ0lEKTi0uzszPAykwrAUADDukCCwAAAA="/>
  </w:docVars>
  <w:rsids>
    <w:rsidRoot w:val="00C96475"/>
    <w:rsid w:val="000F7DB0"/>
    <w:rsid w:val="005948C7"/>
    <w:rsid w:val="0092591D"/>
    <w:rsid w:val="00C96475"/>
    <w:rsid w:val="00FA525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1FBD3"/>
  <w15:chartTrackingRefBased/>
  <w15:docId w15:val="{AD27624F-CFCC-41AD-AB9E-0363B7FA4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475"/>
    <w:rPr>
      <w:lang w:val="da-DK"/>
    </w:rPr>
  </w:style>
  <w:style w:type="paragraph" w:styleId="Heading1">
    <w:name w:val="heading 1"/>
    <w:basedOn w:val="Normal"/>
    <w:next w:val="Normal"/>
    <w:link w:val="Heading1Char"/>
    <w:uiPriority w:val="9"/>
    <w:qFormat/>
    <w:rsid w:val="00C9647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96475"/>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6475"/>
    <w:rPr>
      <w:rFonts w:asciiTheme="majorHAnsi" w:eastAsiaTheme="majorEastAsia" w:hAnsiTheme="majorHAnsi" w:cstheme="majorBidi"/>
      <w:color w:val="2F5496" w:themeColor="accent1" w:themeShade="BF"/>
      <w:sz w:val="32"/>
      <w:szCs w:val="32"/>
      <w:lang w:val="da-DK"/>
    </w:rPr>
  </w:style>
  <w:style w:type="character" w:customStyle="1" w:styleId="Heading3Char">
    <w:name w:val="Heading 3 Char"/>
    <w:basedOn w:val="DefaultParagraphFont"/>
    <w:link w:val="Heading3"/>
    <w:uiPriority w:val="9"/>
    <w:rsid w:val="00C96475"/>
    <w:rPr>
      <w:rFonts w:ascii="Times New Roman" w:eastAsia="Times New Roman" w:hAnsi="Times New Roman" w:cs="Times New Roman"/>
      <w:b/>
      <w:bCs/>
      <w:kern w:val="0"/>
      <w:sz w:val="27"/>
      <w:szCs w:val="27"/>
      <w:lang w:val="da-DK"/>
      <w14:ligatures w14:val="none"/>
    </w:rPr>
  </w:style>
  <w:style w:type="paragraph" w:customStyle="1" w:styleId="p">
    <w:name w:val="p"/>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C96475"/>
    <w:rPr>
      <w:color w:val="0000FF"/>
      <w:u w:val="single"/>
    </w:rPr>
  </w:style>
  <w:style w:type="character" w:styleId="Emphasis">
    <w:name w:val="Emphasis"/>
    <w:basedOn w:val="DefaultParagraphFont"/>
    <w:uiPriority w:val="20"/>
    <w:qFormat/>
    <w:rsid w:val="00C96475"/>
    <w:rPr>
      <w:i/>
      <w:iCs/>
    </w:rPr>
  </w:style>
  <w:style w:type="paragraph" w:styleId="NormalWeb">
    <w:name w:val="Normal (Web)"/>
    <w:basedOn w:val="Normal"/>
    <w:uiPriority w:val="99"/>
    <w:unhideWhenUsed/>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C96475"/>
    <w:pPr>
      <w:spacing w:after="0" w:line="240" w:lineRule="auto"/>
    </w:pPr>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6475"/>
    <w:rPr>
      <w:sz w:val="16"/>
      <w:szCs w:val="16"/>
    </w:rPr>
  </w:style>
  <w:style w:type="paragraph" w:styleId="CommentText">
    <w:name w:val="annotation text"/>
    <w:basedOn w:val="Normal"/>
    <w:link w:val="CommentTextChar"/>
    <w:uiPriority w:val="99"/>
    <w:unhideWhenUsed/>
    <w:rsid w:val="00C96475"/>
    <w:pPr>
      <w:spacing w:line="240" w:lineRule="auto"/>
    </w:pPr>
    <w:rPr>
      <w:sz w:val="20"/>
      <w:szCs w:val="20"/>
    </w:rPr>
  </w:style>
  <w:style w:type="character" w:customStyle="1" w:styleId="CommentTextChar">
    <w:name w:val="Comment Text Char"/>
    <w:basedOn w:val="DefaultParagraphFont"/>
    <w:link w:val="CommentText"/>
    <w:uiPriority w:val="99"/>
    <w:rsid w:val="00C96475"/>
    <w:rPr>
      <w:sz w:val="20"/>
      <w:szCs w:val="20"/>
      <w:lang w:val="da-DK"/>
    </w:rPr>
  </w:style>
  <w:style w:type="paragraph" w:styleId="CommentSubject">
    <w:name w:val="annotation subject"/>
    <w:basedOn w:val="CommentText"/>
    <w:next w:val="CommentText"/>
    <w:link w:val="CommentSubjectChar"/>
    <w:uiPriority w:val="99"/>
    <w:semiHidden/>
    <w:unhideWhenUsed/>
    <w:rsid w:val="00C96475"/>
    <w:rPr>
      <w:b/>
      <w:bCs/>
    </w:rPr>
  </w:style>
  <w:style w:type="character" w:customStyle="1" w:styleId="CommentSubjectChar">
    <w:name w:val="Comment Subject Char"/>
    <w:basedOn w:val="CommentTextChar"/>
    <w:link w:val="CommentSubject"/>
    <w:uiPriority w:val="99"/>
    <w:semiHidden/>
    <w:rsid w:val="00C96475"/>
    <w:rPr>
      <w:b/>
      <w:bCs/>
      <w:sz w:val="20"/>
      <w:szCs w:val="20"/>
      <w:lang w:val="da-DK"/>
    </w:rPr>
  </w:style>
  <w:style w:type="paragraph" w:styleId="BalloonText">
    <w:name w:val="Balloon Text"/>
    <w:basedOn w:val="Normal"/>
    <w:link w:val="BalloonTextChar"/>
    <w:uiPriority w:val="99"/>
    <w:semiHidden/>
    <w:unhideWhenUsed/>
    <w:rsid w:val="00C964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6475"/>
    <w:rPr>
      <w:rFonts w:ascii="Segoe UI" w:hAnsi="Segoe UI" w:cs="Segoe UI"/>
      <w:sz w:val="18"/>
      <w:szCs w:val="18"/>
      <w:lang w:val="da-DK"/>
    </w:rPr>
  </w:style>
  <w:style w:type="paragraph" w:styleId="Header">
    <w:name w:val="header"/>
    <w:basedOn w:val="Normal"/>
    <w:link w:val="HeaderChar"/>
    <w:uiPriority w:val="99"/>
    <w:unhideWhenUsed/>
    <w:rsid w:val="00C96475"/>
    <w:pPr>
      <w:tabs>
        <w:tab w:val="center" w:pos="4819"/>
        <w:tab w:val="right" w:pos="9638"/>
      </w:tabs>
      <w:spacing w:after="0" w:line="240" w:lineRule="auto"/>
    </w:pPr>
  </w:style>
  <w:style w:type="character" w:customStyle="1" w:styleId="HeaderChar">
    <w:name w:val="Header Char"/>
    <w:basedOn w:val="DefaultParagraphFont"/>
    <w:link w:val="Header"/>
    <w:uiPriority w:val="99"/>
    <w:rsid w:val="00C96475"/>
    <w:rPr>
      <w:lang w:val="da-DK"/>
    </w:rPr>
  </w:style>
  <w:style w:type="paragraph" w:styleId="Footer">
    <w:name w:val="footer"/>
    <w:basedOn w:val="Normal"/>
    <w:link w:val="FooterChar"/>
    <w:uiPriority w:val="99"/>
    <w:unhideWhenUsed/>
    <w:rsid w:val="00C96475"/>
    <w:pPr>
      <w:tabs>
        <w:tab w:val="center" w:pos="4819"/>
        <w:tab w:val="right" w:pos="9638"/>
      </w:tabs>
      <w:spacing w:after="0" w:line="240" w:lineRule="auto"/>
    </w:pPr>
  </w:style>
  <w:style w:type="character" w:customStyle="1" w:styleId="FooterChar">
    <w:name w:val="Footer Char"/>
    <w:basedOn w:val="DefaultParagraphFont"/>
    <w:link w:val="Footer"/>
    <w:uiPriority w:val="99"/>
    <w:rsid w:val="00C96475"/>
    <w:rPr>
      <w:lang w:val="da-DK"/>
    </w:rPr>
  </w:style>
  <w:style w:type="paragraph" w:styleId="Revision">
    <w:name w:val="Revision"/>
    <w:hidden/>
    <w:uiPriority w:val="99"/>
    <w:semiHidden/>
    <w:rsid w:val="00C96475"/>
    <w:pPr>
      <w:spacing w:after="0" w:line="240" w:lineRule="auto"/>
    </w:pPr>
    <w:rPr>
      <w:lang w:val="da-DK"/>
    </w:rPr>
  </w:style>
  <w:style w:type="character" w:customStyle="1" w:styleId="UnresolvedMention1">
    <w:name w:val="Unresolved Mention1"/>
    <w:basedOn w:val="DefaultParagraphFont"/>
    <w:uiPriority w:val="99"/>
    <w:semiHidden/>
    <w:unhideWhenUsed/>
    <w:rsid w:val="00C96475"/>
    <w:rPr>
      <w:color w:val="605E5C"/>
      <w:shd w:val="clear" w:color="auto" w:fill="E1DFDD"/>
    </w:rPr>
  </w:style>
  <w:style w:type="paragraph" w:customStyle="1" w:styleId="pf0">
    <w:name w:val="pf0"/>
    <w:basedOn w:val="Normal"/>
    <w:rsid w:val="00C964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C96475"/>
    <w:rPr>
      <w:rFonts w:ascii="Segoe UI" w:hAnsi="Segoe UI" w:cs="Segoe UI" w:hint="default"/>
      <w:sz w:val="18"/>
      <w:szCs w:val="18"/>
    </w:rPr>
  </w:style>
  <w:style w:type="character" w:customStyle="1" w:styleId="UnresolvedMention2">
    <w:name w:val="Unresolved Mention2"/>
    <w:basedOn w:val="DefaultParagraphFont"/>
    <w:uiPriority w:val="99"/>
    <w:semiHidden/>
    <w:unhideWhenUsed/>
    <w:rsid w:val="00C96475"/>
    <w:rPr>
      <w:color w:val="605E5C"/>
      <w:shd w:val="clear" w:color="auto" w:fill="E1DFDD"/>
    </w:rPr>
  </w:style>
  <w:style w:type="paragraph" w:styleId="ListParagraph">
    <w:name w:val="List Paragraph"/>
    <w:basedOn w:val="Normal"/>
    <w:uiPriority w:val="34"/>
    <w:qFormat/>
    <w:rsid w:val="00C96475"/>
    <w:pPr>
      <w:ind w:left="720"/>
      <w:contextualSpacing/>
    </w:pPr>
  </w:style>
  <w:style w:type="paragraph" w:customStyle="1" w:styleId="Default">
    <w:name w:val="Default"/>
    <w:rsid w:val="00C96475"/>
    <w:pPr>
      <w:autoSpaceDE w:val="0"/>
      <w:autoSpaceDN w:val="0"/>
      <w:adjustRightInd w:val="0"/>
      <w:spacing w:after="0" w:line="240" w:lineRule="auto"/>
    </w:pPr>
    <w:rPr>
      <w:rFonts w:ascii="Acumin Pro" w:hAnsi="Acumin Pro" w:cs="Acumin Pro"/>
      <w:color w:val="000000"/>
      <w:kern w:val="0"/>
      <w:sz w:val="24"/>
      <w:szCs w:val="24"/>
      <w:lang w:val="da-DK"/>
    </w:rPr>
  </w:style>
  <w:style w:type="table" w:styleId="PlainTable2">
    <w:name w:val="Plain Table 2"/>
    <w:basedOn w:val="TableNormal"/>
    <w:uiPriority w:val="42"/>
    <w:rsid w:val="00C96475"/>
    <w:pPr>
      <w:spacing w:after="0" w:line="240" w:lineRule="auto"/>
    </w:pPr>
    <w:rPr>
      <w:lang w:val="da-DK"/>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Strong">
    <w:name w:val="Strong"/>
    <w:basedOn w:val="DefaultParagraphFont"/>
    <w:uiPriority w:val="22"/>
    <w:qFormat/>
    <w:rsid w:val="00C96475"/>
    <w:rPr>
      <w:b/>
      <w:bCs/>
    </w:rPr>
  </w:style>
  <w:style w:type="character" w:styleId="LineNumber">
    <w:name w:val="line number"/>
    <w:basedOn w:val="DefaultParagraphFont"/>
    <w:uiPriority w:val="99"/>
    <w:semiHidden/>
    <w:unhideWhenUsed/>
    <w:rsid w:val="00C96475"/>
  </w:style>
  <w:style w:type="paragraph" w:styleId="HTMLPreformatted">
    <w:name w:val="HTML Preformatted"/>
    <w:basedOn w:val="Normal"/>
    <w:link w:val="HTMLPreformattedChar"/>
    <w:uiPriority w:val="99"/>
    <w:unhideWhenUsed/>
    <w:rsid w:val="00C964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C96475"/>
    <w:rPr>
      <w:rFonts w:ascii="Courier New" w:eastAsia="Times New Roman" w:hAnsi="Courier New" w:cs="Courier New"/>
      <w:kern w:val="0"/>
      <w:sz w:val="20"/>
      <w:szCs w:val="20"/>
      <w:lang w:val="da-DK"/>
      <w14:ligatures w14:val="none"/>
    </w:rPr>
  </w:style>
  <w:style w:type="character" w:customStyle="1" w:styleId="gnd-iwgdh3b">
    <w:name w:val="gnd-iwgdh3b"/>
    <w:basedOn w:val="DefaultParagraphFont"/>
    <w:rsid w:val="00C96475"/>
  </w:style>
  <w:style w:type="table" w:styleId="ListTable6Colorful">
    <w:name w:val="List Table 6 Colorful"/>
    <w:basedOn w:val="TableNormal"/>
    <w:uiPriority w:val="51"/>
    <w:rsid w:val="00C96475"/>
    <w:pPr>
      <w:spacing w:after="0" w:line="240" w:lineRule="auto"/>
    </w:pPr>
    <w:rPr>
      <w:color w:val="000000" w:themeColor="text1"/>
      <w:lang w:val="da-DK"/>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C96475"/>
    <w:pPr>
      <w:spacing w:after="0" w:line="240" w:lineRule="auto"/>
    </w:pPr>
    <w:rPr>
      <w:lang w:val="da-DK"/>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nd-iwgdo3b">
    <w:name w:val="gnd-iwgdo3b"/>
    <w:basedOn w:val="DefaultParagraphFont"/>
    <w:rsid w:val="00C96475"/>
  </w:style>
  <w:style w:type="character" w:customStyle="1" w:styleId="gnd-iwgdn2b">
    <w:name w:val="gnd-iwgdn2b"/>
    <w:basedOn w:val="DefaultParagraphFont"/>
    <w:rsid w:val="00C96475"/>
  </w:style>
  <w:style w:type="character" w:styleId="PlaceholderText">
    <w:name w:val="Placeholder Text"/>
    <w:basedOn w:val="DefaultParagraphFont"/>
    <w:uiPriority w:val="99"/>
    <w:semiHidden/>
    <w:rsid w:val="00C9647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3060</Words>
  <Characters>17443</Characters>
  <Application>Microsoft Office Word</Application>
  <DocSecurity>0</DocSecurity>
  <Lines>145</Lines>
  <Paragraphs>40</Paragraphs>
  <ScaleCrop>false</ScaleCrop>
  <Company/>
  <LinksUpToDate>false</LinksUpToDate>
  <CharactersWithSpaces>20463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Jelicic</dc:creator>
  <cp:keywords/>
  <dc:description/>
  <cp:lastModifiedBy>Jelena Jelicic</cp:lastModifiedBy>
  <cp:revision>3</cp:revision>
  <dcterms:created xsi:type="dcterms:W3CDTF">2023-08-22T19:17:00Z</dcterms:created>
  <dcterms:modified xsi:type="dcterms:W3CDTF">2023-08-23T07:09:00Z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fc572a6e-dd0b-461e-a98b-3e05877dc68c</vt:lpwstr>
  </property>
</Properties>
</file>