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E53D" w14:textId="77777777" w:rsidR="00854395" w:rsidRPr="00593813" w:rsidRDefault="00854395" w:rsidP="00854395">
      <w:pPr>
        <w:spacing w:line="240" w:lineRule="auto"/>
        <w:rPr>
          <w:rFonts w:ascii="Times New Roman" w:hAnsi="Times New Roman" w:cs="Times New Roman"/>
          <w:lang w:val="en-GB"/>
        </w:rPr>
      </w:pPr>
      <w:r w:rsidRPr="00593813">
        <w:rPr>
          <w:rFonts w:ascii="Times New Roman" w:hAnsi="Times New Roman" w:cs="Times New Roman"/>
          <w:b/>
          <w:bCs/>
          <w:lang w:val="en-GB"/>
        </w:rPr>
        <w:t xml:space="preserve">Suppl. Table </w:t>
      </w:r>
      <w:r>
        <w:rPr>
          <w:rFonts w:ascii="Times New Roman" w:hAnsi="Times New Roman" w:cs="Times New Roman"/>
          <w:b/>
          <w:bCs/>
          <w:lang w:val="en-GB"/>
        </w:rPr>
        <w:t>4</w:t>
      </w:r>
      <w:r>
        <w:rPr>
          <w:rFonts w:ascii="Times New Roman" w:hAnsi="Times New Roman" w:cs="Times New Roman"/>
          <w:lang w:val="en-GB"/>
        </w:rPr>
        <w:t>.</w:t>
      </w:r>
      <w:r w:rsidRPr="00593813">
        <w:rPr>
          <w:rFonts w:ascii="Times New Roman" w:hAnsi="Times New Roman" w:cs="Times New Roman"/>
          <w:lang w:val="en-GB"/>
        </w:rPr>
        <w:t xml:space="preserve"> Summary of hazard ratios, model fit/quality measures, and discrimination measures concerning progression-free survival</w:t>
      </w:r>
    </w:p>
    <w:tbl>
      <w:tblPr>
        <w:tblStyle w:val="PlainTable2"/>
        <w:tblpPr w:leftFromText="180" w:rightFromText="180" w:vertAnchor="text" w:tblpY="1"/>
        <w:tblW w:w="14848" w:type="dxa"/>
        <w:tblLook w:val="04A0" w:firstRow="1" w:lastRow="0" w:firstColumn="1" w:lastColumn="0" w:noHBand="0" w:noVBand="1"/>
      </w:tblPr>
      <w:tblGrid>
        <w:gridCol w:w="1402"/>
        <w:gridCol w:w="3081"/>
        <w:gridCol w:w="1497"/>
        <w:gridCol w:w="1298"/>
        <w:gridCol w:w="1180"/>
        <w:gridCol w:w="1181"/>
        <w:gridCol w:w="2410"/>
        <w:gridCol w:w="2799"/>
      </w:tblGrid>
      <w:tr w:rsidR="00854395" w:rsidRPr="0056549D" w14:paraId="31F1B3BB" w14:textId="77777777" w:rsidTr="009769B2">
        <w:trPr>
          <w:cnfStyle w:val="100000000000" w:firstRow="1" w:lastRow="0" w:firstColumn="0" w:lastColumn="0" w:oddVBand="0" w:evenVBand="0" w:oddHBand="0"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402" w:type="dxa"/>
          </w:tcPr>
          <w:p w14:paraId="20D73226"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Models</w:t>
            </w:r>
          </w:p>
        </w:tc>
        <w:tc>
          <w:tcPr>
            <w:tcW w:w="3081" w:type="dxa"/>
          </w:tcPr>
          <w:p w14:paraId="7AAB9F3D"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HR (95% CI)</w:t>
            </w:r>
          </w:p>
        </w:tc>
        <w:tc>
          <w:tcPr>
            <w:tcW w:w="1497" w:type="dxa"/>
          </w:tcPr>
          <w:p w14:paraId="2508D349"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AIC</w:t>
            </w:r>
          </w:p>
        </w:tc>
        <w:tc>
          <w:tcPr>
            <w:tcW w:w="1298" w:type="dxa"/>
          </w:tcPr>
          <w:p w14:paraId="5E9E4F31"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BIC</w:t>
            </w:r>
          </w:p>
        </w:tc>
        <w:tc>
          <w:tcPr>
            <w:tcW w:w="1180" w:type="dxa"/>
          </w:tcPr>
          <w:p w14:paraId="7A50E310"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CPE</w:t>
            </w:r>
          </w:p>
        </w:tc>
        <w:tc>
          <w:tcPr>
            <w:tcW w:w="1181" w:type="dxa"/>
          </w:tcPr>
          <w:p w14:paraId="0C23DBF8"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AUC</w:t>
            </w:r>
          </w:p>
        </w:tc>
        <w:tc>
          <w:tcPr>
            <w:tcW w:w="2410" w:type="dxa"/>
          </w:tcPr>
          <w:p w14:paraId="56BA7602"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 xml:space="preserve">c-index </w:t>
            </w:r>
          </w:p>
        </w:tc>
        <w:tc>
          <w:tcPr>
            <w:tcW w:w="2799" w:type="dxa"/>
          </w:tcPr>
          <w:p w14:paraId="4A4E1E6A" w14:textId="77777777" w:rsidR="00854395" w:rsidRPr="0056549D" w:rsidRDefault="0085439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854395" w:rsidRPr="0056549D" w14:paraId="59EBB51C" w14:textId="77777777" w:rsidTr="009769B2">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402" w:type="dxa"/>
          </w:tcPr>
          <w:p w14:paraId="2088E401"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IPI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{"citationItems":[{"id":"ITEM-1","itemData":{"abstract":"BACKGROUND: Although many patients with intermediate-grade or high-grade (aggressive) non-Hodgkin's lymphoma are cured by combination chemotherapy, the remainder are not cured and ultimately die of their disease. The Ann Arbor classification, used to determine the stage of this disease, does not consistently distinguish between patients with different long-term prognoses. This project was undertaken to develop a model for predicting outcome in patients with aggressive non-Hodgkin's lymphoma on the basis of the patients' clinical characteristics before treatment. METHODS: Adults with aggressive non-Hodgkin's lymphoma from 16 institutions and cooperative groups in the United States, Europe, and Canada who were treated between 1982 and 1987 with combination-chemotherapy regimens containing doxorubicin were evaluated for clinical features predictive of overall survival and relapse-free survival. Features that remained independently significant in step-down regression analyses of survival were incorporated into models that identified groups of patients of all ages and groups of patients no more than 60 years old with different risks of death. RESULTS: In 2031 patients of all ages, our model, based on age, tumor stage, serum lactate dehydrogenase concentration, performance status, and number of extranodal disease sites, identified four risk groups with predicted five-year survival rates of 73 percent, 51 percent, 43 percent, and 26 percent. In 1274 patients 60 or younger, an age-adjusted model based on tumor stage, lactate dehydrogenase level, and performance status identified four risk groups with predicted five-year survival rates of 83 percent, 69 percent, 46 percent, and 32 percent. In both models, the increased risk of death was due to both a lower rate of complete responses and a higher rate of relapse from complete response. These two indexes, called the international index and the age-adjusted international index, were significantly more accurate than the Ann Arbor classification in predicting long-term survival. CONCLUSIONS: The international index and the age-adjusted international index should be used in the design of future therapeutic trials in patients with aggressive non-Hodgkin's lymphoma and in the selection of appropriate therapeutic approaches for individual patients.","author":[{"dropping-particle":"","family":"Shipp et al.","given":"","non-dropping-particle":"","parse-names":false,"suffix":""}],"container-title":"The New England journal of medicine","id":"ITEM-1","issue":"14","issued":{"date-parts":[["1993","9","30"]]},"page":"987-94","title":"A predictive model for aggressive non-Hodgkin's lymphoma. The International Non-Hodgkin's Lymphoma Prognostic Factors Project.","type":"article-journal","volume":"329"},"uris":["http://www.mendeley.com/documents/?uuid=4589339a-1e84-433b-b7aa-41b91592e92e"]}],"mendeley":{"formattedCitation":"&lt;sup&gt;3&lt;/sup&gt;","plainTextFormattedCitation":"3","previouslyFormattedCitation":"(Shipp et al., 1993)"},"properties":{"noteIndex":0},"schema":"https://github.com/citation-style-language/schema/raw/master/csl-citation.json"}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w:t>
            </w:r>
            <w:r w:rsidRPr="0056549D">
              <w:rPr>
                <w:rFonts w:ascii="Times New Roman" w:hAnsi="Times New Roman" w:cs="Times New Roman"/>
                <w:lang w:val="en-GB"/>
              </w:rPr>
              <w:fldChar w:fldCharType="end"/>
            </w:r>
          </w:p>
        </w:tc>
        <w:tc>
          <w:tcPr>
            <w:tcW w:w="3081" w:type="dxa"/>
          </w:tcPr>
          <w:p w14:paraId="3E9FB063"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0F3E9E62"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1.897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1.648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2.183</w:t>
            </w:r>
            <w:r w:rsidRPr="0056549D">
              <w:rPr>
                <w:rFonts w:ascii="Times New Roman" w:eastAsia="Times New Roman" w:hAnsi="Times New Roman" w:cs="Times New Roman"/>
                <w:color w:val="000000"/>
                <w:kern w:val="0"/>
                <w:bdr w:val="none" w:sz="0" w:space="0" w:color="auto" w:frame="1"/>
                <w:lang w:val="en-GB"/>
                <w14:ligatures w14:val="none"/>
              </w:rPr>
              <w:t>)</w:t>
            </w:r>
          </w:p>
          <w:p w14:paraId="704ED5F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2.694</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2.358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3.077</w:t>
            </w:r>
            <w:r w:rsidRPr="0056549D">
              <w:rPr>
                <w:rFonts w:ascii="Times New Roman" w:eastAsia="Times New Roman" w:hAnsi="Times New Roman" w:cs="Times New Roman"/>
                <w:color w:val="000000"/>
                <w:kern w:val="0"/>
                <w:bdr w:val="none" w:sz="0" w:space="0" w:color="auto" w:frame="1"/>
                <w:lang w:val="en-GB"/>
                <w14:ligatures w14:val="none"/>
              </w:rPr>
              <w:t>)</w:t>
            </w:r>
          </w:p>
          <w:p w14:paraId="1B733FB2"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4.727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4.138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5.400)</w:t>
            </w:r>
          </w:p>
        </w:tc>
        <w:tc>
          <w:tcPr>
            <w:tcW w:w="1497" w:type="dxa"/>
          </w:tcPr>
          <w:p w14:paraId="2F5F56EC"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3438</w:t>
            </w:r>
            <w:r w:rsidRPr="0056549D">
              <w:rPr>
                <w:rFonts w:ascii="Times New Roman" w:eastAsia="Times New Roman" w:hAnsi="Times New Roman" w:cs="Times New Roman"/>
                <w:color w:val="000000"/>
                <w:kern w:val="0"/>
                <w:bdr w:val="none" w:sz="0" w:space="0" w:color="auto" w:frame="1"/>
                <w:lang w:val="en-GB"/>
                <w14:ligatures w14:val="none"/>
              </w:rPr>
              <w:t>7</w:t>
            </w:r>
          </w:p>
          <w:p w14:paraId="77966B9B"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p>
          <w:p w14:paraId="60AB0B46"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8" w:type="dxa"/>
          </w:tcPr>
          <w:p w14:paraId="1CDC60E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34404</w:t>
            </w:r>
          </w:p>
        </w:tc>
        <w:tc>
          <w:tcPr>
            <w:tcW w:w="1180" w:type="dxa"/>
          </w:tcPr>
          <w:p w14:paraId="4D7E946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0.640</w:t>
            </w:r>
          </w:p>
          <w:p w14:paraId="0C0EF68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p>
          <w:p w14:paraId="35144FB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6743F66D"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0.62</w:t>
            </w:r>
            <w:r w:rsidRPr="0056549D">
              <w:rPr>
                <w:rFonts w:ascii="Times New Roman" w:eastAsia="Times New Roman" w:hAnsi="Times New Roman" w:cs="Times New Roman"/>
                <w:color w:val="000000"/>
                <w:kern w:val="0"/>
                <w:bdr w:val="none" w:sz="0" w:space="0" w:color="auto" w:frame="1"/>
                <w:lang w:val="en-GB"/>
                <w14:ligatures w14:val="none"/>
              </w:rPr>
              <w:t>6</w:t>
            </w:r>
          </w:p>
          <w:p w14:paraId="35519B99"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tcPr>
          <w:p w14:paraId="16CB1AEB"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0.666 (0.657; 0.676)</w:t>
            </w:r>
          </w:p>
        </w:tc>
        <w:tc>
          <w:tcPr>
            <w:tcW w:w="2799" w:type="dxa"/>
          </w:tcPr>
          <w:p w14:paraId="08D47726"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-0.017 (-0.024; -0.010)</w:t>
            </w:r>
          </w:p>
        </w:tc>
      </w:tr>
      <w:tr w:rsidR="00854395" w:rsidRPr="0056549D" w14:paraId="31D78102" w14:textId="77777777" w:rsidTr="009769B2">
        <w:trPr>
          <w:trHeight w:val="248"/>
        </w:trPr>
        <w:tc>
          <w:tcPr>
            <w:cnfStyle w:val="001000000000" w:firstRow="0" w:lastRow="0" w:firstColumn="1" w:lastColumn="0" w:oddVBand="0" w:evenVBand="0" w:oddHBand="0" w:evenHBand="0" w:firstRowFirstColumn="0" w:firstRowLastColumn="0" w:lastRowFirstColumn="0" w:lastRowLastColumn="0"/>
            <w:tcW w:w="1402" w:type="dxa"/>
          </w:tcPr>
          <w:p w14:paraId="428FD7E0" w14:textId="77777777" w:rsidR="00854395" w:rsidRPr="0056549D" w:rsidRDefault="00854395" w:rsidP="009769B2">
            <w:pPr>
              <w:rPr>
                <w:rFonts w:ascii="Times New Roman" w:hAnsi="Times New Roman" w:cs="Times New Roman"/>
                <w:lang w:val="en-GB"/>
              </w:rPr>
            </w:pPr>
            <w:proofErr w:type="spellStart"/>
            <w:r w:rsidRPr="0056549D">
              <w:rPr>
                <w:rFonts w:ascii="Times New Roman" w:hAnsi="Times New Roman" w:cs="Times New Roman"/>
                <w:lang w:val="en-GB"/>
              </w:rPr>
              <w:t>aaIPI</w:t>
            </w:r>
            <w:proofErr w:type="spellEnd"/>
            <w:r w:rsidRPr="0056549D">
              <w:rPr>
                <w:rFonts w:ascii="Times New Roman" w:hAnsi="Times New Roman" w:cs="Times New Roman"/>
                <w:lang w:val="en-GB"/>
              </w:rPr>
              <w:t xml:space="preserve">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{"citationItems":[{"id":"ITEM-1","itemData":{"abstract":"BACKGROUND: Although many patients with intermediate-grade or high-grade (aggressive) non-Hodgkin's lymphoma are cured by combination chemotherapy, the remainder are not cured and ultimately die of their disease. The Ann Arbor classification, used to determine the stage of this disease, does not consistently distinguish between patients with different long-term prognoses. This project was undertaken to develop a model for predicting outcome in patients with aggressive non-Hodgkin's lymphoma on the basis of the patients' clinical characteristics before treatment. METHODS: Adults with aggressive non-Hodgkin's lymphoma from 16 institutions and cooperative groups in the United States, Europe, and Canada who were treated between 1982 and 1987 with combination-chemotherapy regimens containing doxorubicin were evaluated for clinical features predictive of overall survival and relapse-free survival. Features that remained independently significant in step-down regression analyses of survival were incorporated into models that identified groups of patients of all ages and groups of patients no more than 60 years old with different risks of death. RESULTS: In 2031 patients of all ages, our model, based on age, tumor stage, serum lactate dehydrogenase concentration, performance status, and number of extranodal disease sites, identified four risk groups with predicted five-year survival rates of 73 percent, 51 percent, 43 percent, and 26 percent. In 1274 patients 60 or younger, an age-adjusted model based on tumor stage, lactate dehydrogenase level, and performance status identified four risk groups with predicted five-year survival rates of 83 percent, 69 percent, 46 percent, and 32 percent. In both models, the increased risk of death was due to both a lower rate of complete responses and a higher rate of relapse from complete response. These two indexes, called the international index and the age-adjusted international index, were significantly more accurate than the Ann Arbor classification in predicting long-term survival. CONCLUSIONS: The international index and the age-adjusted international index should be used in the design of future therapeutic trials in patients with aggressive non-Hodgkin's lymphoma and in the selection of appropriate therapeutic approaches for individual patients.","author":[{"dropping-particle":"","family":"Shipp et al.","given":"","non-dropping-particle":"","parse-names":false,"suffix":""}],"container-title":"The New England journal of medicine","id":"ITEM-1","issue":"14","issued":{"date-parts":[["1993","9","30"]]},"page":"987-94","title":"A predictive model for aggressive non-Hodgkin's lymphoma. The International Non-Hodgkin's Lymphoma Prognostic Factors Project.","type":"article-journal","volume":"329"},"uris":["http://www.mendeley.com/documents/?uuid=4589339a-1e84-433b-b7aa-41b91592e92e"]}],"mendeley":{"formattedCitation":"&lt;sup&gt;3&lt;/sup&gt;","plainTextFormattedCitation":"3","previouslyFormattedCitation":"(Shipp et al., 1993)"},"properties":{"noteIndex":0},"schema":"https://github.com/citation-style-language/schema/raw/master/csl-citation.json"}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w:t>
            </w:r>
            <w:r w:rsidRPr="0056549D">
              <w:rPr>
                <w:rFonts w:ascii="Times New Roman" w:hAnsi="Times New Roman" w:cs="Times New Roman"/>
                <w:lang w:val="en-GB"/>
              </w:rPr>
              <w:fldChar w:fldCharType="end"/>
            </w:r>
          </w:p>
        </w:tc>
        <w:tc>
          <w:tcPr>
            <w:tcW w:w="3081" w:type="dxa"/>
          </w:tcPr>
          <w:p w14:paraId="23598B03"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3D36B56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1.467</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1.272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1.691</w:t>
            </w:r>
            <w:r w:rsidRPr="0056549D">
              <w:rPr>
                <w:rFonts w:ascii="Times New Roman" w:eastAsia="Times New Roman" w:hAnsi="Times New Roman" w:cs="Times New Roman"/>
                <w:color w:val="000000"/>
                <w:kern w:val="0"/>
                <w:bdr w:val="none" w:sz="0" w:space="0" w:color="auto" w:frame="1"/>
                <w:lang w:val="en-GB"/>
                <w14:ligatures w14:val="none"/>
              </w:rPr>
              <w:t>)</w:t>
            </w:r>
          </w:p>
          <w:p w14:paraId="76D9020F"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1.963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1.723; 2.237</w:t>
            </w:r>
            <w:r w:rsidRPr="0056549D">
              <w:rPr>
                <w:rFonts w:ascii="Times New Roman" w:eastAsia="Times New Roman" w:hAnsi="Times New Roman" w:cs="Times New Roman"/>
                <w:color w:val="000000"/>
                <w:kern w:val="0"/>
                <w:bdr w:val="none" w:sz="0" w:space="0" w:color="auto" w:frame="1"/>
                <w:lang w:val="en-GB"/>
                <w14:ligatures w14:val="none"/>
              </w:rPr>
              <w:t>)</w:t>
            </w:r>
          </w:p>
          <w:p w14:paraId="7E30DFA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2.627</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2.282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3.024</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3400DA3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347</w:t>
            </w:r>
            <w:r w:rsidRPr="0056549D">
              <w:rPr>
                <w:rFonts w:ascii="Times New Roman" w:eastAsia="Times New Roman" w:hAnsi="Times New Roman" w:cs="Times New Roman"/>
                <w:color w:val="000000"/>
                <w:kern w:val="0"/>
                <w:bdr w:val="none" w:sz="0" w:space="0" w:color="auto" w:frame="1"/>
                <w:lang w:val="en-GB"/>
                <w14:ligatures w14:val="none"/>
              </w:rPr>
              <w:t>80</w:t>
            </w:r>
          </w:p>
          <w:p w14:paraId="1FC05403"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8" w:type="dxa"/>
          </w:tcPr>
          <w:p w14:paraId="3063BD6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3479</w:t>
            </w:r>
            <w:r w:rsidRPr="0056549D">
              <w:rPr>
                <w:rFonts w:ascii="Times New Roman" w:eastAsia="Times New Roman" w:hAnsi="Times New Roman" w:cs="Times New Roman"/>
                <w:color w:val="000000"/>
                <w:kern w:val="0"/>
                <w:bdr w:val="none" w:sz="0" w:space="0" w:color="auto" w:frame="1"/>
                <w:lang w:val="en-GB"/>
                <w14:ligatures w14:val="none"/>
              </w:rPr>
              <w:t>7</w:t>
            </w:r>
          </w:p>
          <w:p w14:paraId="7D64CDE2"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0" w:type="dxa"/>
          </w:tcPr>
          <w:p w14:paraId="1F3B584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0.586</w:t>
            </w:r>
          </w:p>
          <w:p w14:paraId="42B67B5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6DA60FB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16B4F2C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0.577</w:t>
            </w:r>
          </w:p>
          <w:p w14:paraId="36D1E740"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2DA155DF"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0.612 (0.</w:t>
            </w:r>
            <w:r>
              <w:rPr>
                <w:rFonts w:ascii="Times New Roman" w:hAnsi="Times New Roman" w:cs="Times New Roman"/>
                <w:lang w:val="en-GB"/>
              </w:rPr>
              <w:t>598</w:t>
            </w:r>
            <w:r w:rsidRPr="00A52968">
              <w:rPr>
                <w:rFonts w:ascii="Times New Roman" w:hAnsi="Times New Roman" w:cs="Times New Roman"/>
                <w:lang w:val="en-GB"/>
              </w:rPr>
              <w:t>; 0.62</w:t>
            </w:r>
            <w:r>
              <w:rPr>
                <w:rFonts w:ascii="Times New Roman" w:hAnsi="Times New Roman" w:cs="Times New Roman"/>
                <w:lang w:val="en-GB"/>
              </w:rPr>
              <w:t>6</w:t>
            </w:r>
            <w:r w:rsidRPr="00A52968">
              <w:rPr>
                <w:rFonts w:ascii="Times New Roman" w:hAnsi="Times New Roman" w:cs="Times New Roman"/>
                <w:lang w:val="en-GB"/>
              </w:rPr>
              <w:t>)</w:t>
            </w:r>
          </w:p>
        </w:tc>
        <w:tc>
          <w:tcPr>
            <w:tcW w:w="2799" w:type="dxa"/>
          </w:tcPr>
          <w:p w14:paraId="21681AC3"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-0.072 (-0.08</w:t>
            </w:r>
            <w:r>
              <w:rPr>
                <w:rFonts w:ascii="Times New Roman" w:hAnsi="Times New Roman" w:cs="Times New Roman"/>
                <w:lang w:val="en-GB"/>
              </w:rPr>
              <w:t>1</w:t>
            </w:r>
            <w:r w:rsidRPr="00A52968">
              <w:rPr>
                <w:rFonts w:ascii="Times New Roman" w:hAnsi="Times New Roman" w:cs="Times New Roman"/>
                <w:lang w:val="en-GB"/>
              </w:rPr>
              <w:t>; -0.06</w:t>
            </w:r>
            <w:r>
              <w:rPr>
                <w:rFonts w:ascii="Times New Roman" w:hAnsi="Times New Roman" w:cs="Times New Roman"/>
                <w:lang w:val="en-GB"/>
              </w:rPr>
              <w:t>2</w:t>
            </w:r>
            <w:r w:rsidRPr="00A52968">
              <w:rPr>
                <w:rFonts w:ascii="Times New Roman" w:hAnsi="Times New Roman" w:cs="Times New Roman"/>
                <w:lang w:val="en-GB"/>
              </w:rPr>
              <w:t>)</w:t>
            </w:r>
          </w:p>
        </w:tc>
      </w:tr>
      <w:tr w:rsidR="00854395" w:rsidRPr="0056549D" w14:paraId="21A98229" w14:textId="77777777" w:rsidTr="009769B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02" w:type="dxa"/>
          </w:tcPr>
          <w:p w14:paraId="337CFF39"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NCCN-IPI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has been the basis for determining prognosis in patients with aggressive non-Hodgkin lymphoma (NHL) for the past 20 years. Using raw clinical data from the National Comprehensive Cancer Network (NCCN) database collected during the rituximab era, we built an enhanced IPI with the goal of improving risk stratification. Clinical features from 1650 adults with de novo diffuse large B-cell lymphoma (DLBCL) diagnosed from 2000-2010 at 7 NCCN cancer centers were assessed for their prognostic significance, with statistical efforts to further refine the categorization of age and normalized LDH. Five predictors (age, lactate dehydrogenase (LDH), sites of involvement, Ann Arbor stage, ECOG performance status) were identified and a maximum of 8 points assigned. Four risk groups were formed: low (0-1), low-intermediate (2-3), high-intermediate (4-5), and high (6-8). Compared with the IPI, the NCCN-IPI better discriminated low- and high-risk subgroups (5-year overall survival [OS]: 96% vs 33%) than the IPI (5 year OS: 90% vs 54%), respectively. When validated using an independent cohort from the British Columbia Cancer Agency (n = 1138), it also demonstrated enhanced discrimination for both low- and high-risk patients. The NCCN-IPI is easy to apply and more powerful than the IPI for predicting survival in the rituximab era.","author":[{"dropping-particle":"","family":"Zhou","given":"Zheng","non-dropping-particle":"","parse-names":false,"suffix":""},{"dropping-particle":"","family":"Sehn","given":"Laurie H","non-dropping-particle":"","parse-names":false,"suffix":""},{"dropping-particle":"","family":"Rademaker","given":"Alfred W","non-dropping-particle":"","parse-names":false,"suffix":""},{"dropping-particle":"","family":"Gordon","given":"Leo I","non-dropping-particle":"","parse-names":false,"suffix":""},{"dropping-particle":"","family":"Lacasce","given":"Ann S","non-dropping-particle":"","parse-names":false,"suffix":""},{"dropping-particle":"","family":"Crosby-Thompson","given":"Allison","non-dropping-particle":"","parse-names":false,"suffix":""},{"dropping-particle":"","family":"Vanderplas","given":"Ann","non-dropping-particle":"","parse-names":false,"suffix":""},{"dropping-particle":"","family":"Zelenetz","given":"Andrew D","non-dropping-particle":"","parse-names":false,"suffix":""},{"dropping-particle":"","family":"Abel","given":"Gregory A","non-dropping-particle":"","parse-names":false,"suffix":""},{"dropping-particle":"","family":"Rodriguez","given":"Maria A","non-dropping-particle":"","parse-names":false,"suffix":""},{"dropping-particle":"","family":"Nademanee","given":"Auayporn","non-dropping-particle":"","parse-names":false,"suffix":""},{"dropping-particle":"","family":"Kaminski","given":"Mark S","non-dropping-particle":"","parse-names":false,"suffix":""},{"dropping-particle":"","family":"Czuczman","given":"Myron S","non-dropping-particle":"","parse-names":false,"suffix":""},{"dropping-particle":"","family":"Millenson","given":"Michael","non-dropping-particle":"","parse-names":false,"suffix":""},{"dropping-particle":"","family":"Niland","given":"Joyce","non-dropping-particle":"","parse-names":false,"suffix":""},{"dropping-particle":"","family":"Gascoyne","given":"Randy D","non-dropping-particle":"","parse-names":false,"suffix":""},{"dropping-particle":"","family":"Connors","given":"Joseph M","non-dropping-particle":"","parse-names":false,"suffix":""},{"dropping-particle":"","family":"Friedberg","given":"Jonathan W","non-dropping-particle":"","parse-names":false,"suffix":""},{"dropping-particle":"","family":"Winter","given":"Jane N","non-dropping-particle":"","parse-names":false,"suffix":""}],"container-title":"Blood","id":"ITEM-1","issue":"6","issued":{"date-parts":[["2014","2","6"]]},"page":"837-42","title":"An enhanced International Prognostic Index (NCCN-IPI) for patients with diffuse large B-cell lymphoma treated in the rituximab era.","type":"article-journal","volume":"123"},"uris":["http://www.mendeley.com/documents/?uuid=108d7336-c5ee-4479-8f9f-9f518fa1dc20"]}],"mendeley":{"formattedCitation":"&lt;sup&gt;8&lt;/sup&gt;","plainTextFormattedCitation":"8","previouslyFormattedCitation":"(Zhou et al., 2014)"},"properties":{"noteIndex":0},"schema":"https://github.com/citation-style-language/schema/raw/master/csl-citation.json"}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8</w:t>
            </w:r>
            <w:r w:rsidRPr="0056549D">
              <w:rPr>
                <w:rFonts w:ascii="Times New Roman" w:hAnsi="Times New Roman" w:cs="Times New Roman"/>
                <w:lang w:val="en-GB"/>
              </w:rPr>
              <w:fldChar w:fldCharType="end"/>
            </w:r>
          </w:p>
        </w:tc>
        <w:tc>
          <w:tcPr>
            <w:tcW w:w="3081" w:type="dxa"/>
          </w:tcPr>
          <w:p w14:paraId="5D57EAD9"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10D9691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6.322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4.235</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9.437</w:t>
            </w:r>
            <w:r w:rsidRPr="0056549D">
              <w:rPr>
                <w:rFonts w:ascii="Times New Roman" w:eastAsia="Times New Roman" w:hAnsi="Times New Roman" w:cs="Times New Roman"/>
                <w:color w:val="000000"/>
                <w:kern w:val="0"/>
                <w:bdr w:val="none" w:sz="0" w:space="0" w:color="auto" w:frame="1"/>
                <w:lang w:val="en-GB"/>
                <w14:ligatures w14:val="none"/>
              </w:rPr>
              <w:t>)</w:t>
            </w:r>
          </w:p>
          <w:p w14:paraId="7FA069AB"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13.483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9.066</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20.053</w:t>
            </w:r>
            <w:r w:rsidRPr="0056549D">
              <w:rPr>
                <w:rFonts w:ascii="Times New Roman" w:eastAsia="Times New Roman" w:hAnsi="Times New Roman" w:cs="Times New Roman"/>
                <w:color w:val="000000"/>
                <w:kern w:val="0"/>
                <w:bdr w:val="none" w:sz="0" w:space="0" w:color="auto" w:frame="1"/>
                <w:lang w:val="en-GB"/>
                <w14:ligatures w14:val="none"/>
              </w:rPr>
              <w:t>)</w:t>
            </w:r>
          </w:p>
          <w:p w14:paraId="4802C3AD"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28.116</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18.802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42.044</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2D1995BF"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3406</w:t>
            </w:r>
            <w:r w:rsidRPr="0056549D">
              <w:rPr>
                <w:rFonts w:ascii="Times New Roman" w:eastAsia="Times New Roman" w:hAnsi="Times New Roman" w:cs="Times New Roman"/>
                <w:color w:val="000000"/>
                <w:kern w:val="0"/>
                <w:bdr w:val="none" w:sz="0" w:space="0" w:color="auto" w:frame="1"/>
                <w:lang w:val="en-GB"/>
                <w14:ligatures w14:val="none"/>
              </w:rPr>
              <w:t>3</w:t>
            </w:r>
          </w:p>
          <w:p w14:paraId="49928851"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rPr>
            </w:pPr>
          </w:p>
        </w:tc>
        <w:tc>
          <w:tcPr>
            <w:tcW w:w="1298" w:type="dxa"/>
          </w:tcPr>
          <w:p w14:paraId="158473A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340</w:t>
            </w:r>
            <w:r w:rsidRPr="0056549D">
              <w:rPr>
                <w:rFonts w:ascii="Times New Roman" w:eastAsia="Times New Roman" w:hAnsi="Times New Roman" w:cs="Times New Roman"/>
                <w:color w:val="000000"/>
                <w:kern w:val="0"/>
                <w:bdr w:val="none" w:sz="0" w:space="0" w:color="auto" w:frame="1"/>
                <w:lang w:val="en-GB"/>
                <w14:ligatures w14:val="none"/>
              </w:rPr>
              <w:t>80</w:t>
            </w:r>
          </w:p>
          <w:p w14:paraId="15559A8C"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rPr>
            </w:pPr>
          </w:p>
        </w:tc>
        <w:tc>
          <w:tcPr>
            <w:tcW w:w="1180" w:type="dxa"/>
          </w:tcPr>
          <w:p w14:paraId="1016AE4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0.668</w:t>
            </w:r>
          </w:p>
          <w:p w14:paraId="51287CDC"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194ADE1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0.64</w:t>
            </w:r>
            <w:r w:rsidRPr="0056549D">
              <w:rPr>
                <w:rFonts w:ascii="Times New Roman" w:eastAsia="Times New Roman" w:hAnsi="Times New Roman" w:cs="Times New Roman"/>
                <w:color w:val="000000"/>
                <w:kern w:val="0"/>
                <w:bdr w:val="none" w:sz="0" w:space="0" w:color="auto" w:frame="1"/>
                <w:lang w:val="en-GB"/>
                <w14:ligatures w14:val="none"/>
              </w:rPr>
              <w:t>6</w:t>
            </w:r>
          </w:p>
          <w:p w14:paraId="6835D2FE"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rPr>
            </w:pPr>
          </w:p>
        </w:tc>
        <w:tc>
          <w:tcPr>
            <w:tcW w:w="2410" w:type="dxa"/>
          </w:tcPr>
          <w:p w14:paraId="73EC498A"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14:ligatures w14:val="none"/>
              </w:rPr>
            </w:pPr>
            <w:r w:rsidRPr="00DF6AC2">
              <w:rPr>
                <w:rFonts w:ascii="Times New Roman" w:eastAsia="Times New Roman" w:hAnsi="Times New Roman" w:cs="Times New Roman"/>
                <w:kern w:val="0"/>
                <w:bdr w:val="none" w:sz="0" w:space="0" w:color="auto" w:frame="1"/>
                <w14:ligatures w14:val="none"/>
              </w:rPr>
              <w:t>0.68</w:t>
            </w:r>
            <w:r w:rsidRPr="00DF6AC2">
              <w:rPr>
                <w:rFonts w:ascii="Times New Roman" w:eastAsia="Times New Roman" w:hAnsi="Times New Roman" w:cs="Times New Roman"/>
                <w:kern w:val="0"/>
                <w:bdr w:val="none" w:sz="0" w:space="0" w:color="auto" w:frame="1"/>
                <w:lang w:val="en-GB"/>
                <w14:ligatures w14:val="none"/>
              </w:rPr>
              <w:t>3</w:t>
            </w:r>
            <w:r w:rsidRPr="00DF6AC2">
              <w:rPr>
                <w:rFonts w:ascii="Times New Roman" w:eastAsia="Times New Roman" w:hAnsi="Times New Roman" w:cs="Times New Roman"/>
                <w:kern w:val="0"/>
                <w:bdr w:val="none" w:sz="0" w:space="0" w:color="auto" w:frame="1"/>
                <w14:ligatures w14:val="none"/>
              </w:rPr>
              <w:t xml:space="preserve"> </w:t>
            </w:r>
            <w:r w:rsidRPr="00DF6AC2">
              <w:rPr>
                <w:rFonts w:ascii="Times New Roman" w:eastAsia="Times New Roman" w:hAnsi="Times New Roman" w:cs="Times New Roman"/>
                <w:kern w:val="0"/>
                <w:bdr w:val="none" w:sz="0" w:space="0" w:color="auto" w:frame="1"/>
                <w:lang w:val="en-GB"/>
                <w14:ligatures w14:val="none"/>
              </w:rPr>
              <w:t>(0</w:t>
            </w:r>
            <w:r w:rsidRPr="00DF6AC2">
              <w:rPr>
                <w:rFonts w:ascii="Times New Roman" w:eastAsia="Times New Roman" w:hAnsi="Times New Roman" w:cs="Times New Roman"/>
                <w:kern w:val="0"/>
                <w:bdr w:val="none" w:sz="0" w:space="0" w:color="auto" w:frame="1"/>
                <w14:ligatures w14:val="none"/>
              </w:rPr>
              <w:t>.671</w:t>
            </w:r>
            <w:r w:rsidRPr="00DF6AC2">
              <w:rPr>
                <w:rFonts w:ascii="Times New Roman" w:eastAsia="Times New Roman" w:hAnsi="Times New Roman" w:cs="Times New Roman"/>
                <w:kern w:val="0"/>
                <w:bdr w:val="none" w:sz="0" w:space="0" w:color="auto" w:frame="1"/>
                <w:lang w:val="en-GB"/>
                <w14:ligatures w14:val="none"/>
              </w:rPr>
              <w:t>; 0</w:t>
            </w:r>
            <w:r w:rsidRPr="00DF6AC2">
              <w:rPr>
                <w:rFonts w:ascii="Times New Roman" w:eastAsia="Times New Roman" w:hAnsi="Times New Roman" w:cs="Times New Roman"/>
                <w:kern w:val="0"/>
                <w:bdr w:val="none" w:sz="0" w:space="0" w:color="auto" w:frame="1"/>
                <w14:ligatures w14:val="none"/>
              </w:rPr>
              <w:t>.69</w:t>
            </w:r>
            <w:r w:rsidRPr="00DF6AC2">
              <w:rPr>
                <w:rFonts w:ascii="Times New Roman" w:eastAsia="Times New Roman" w:hAnsi="Times New Roman" w:cs="Times New Roman"/>
                <w:kern w:val="0"/>
                <w:bdr w:val="none" w:sz="0" w:space="0" w:color="auto" w:frame="1"/>
                <w:lang w:val="en-GB"/>
                <w14:ligatures w14:val="none"/>
              </w:rPr>
              <w:t>6)</w:t>
            </w:r>
          </w:p>
          <w:p w14:paraId="4ACE2938"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2799" w:type="dxa"/>
          </w:tcPr>
          <w:p w14:paraId="62102D5F"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GB"/>
              </w:rPr>
            </w:pPr>
            <w:r w:rsidRPr="00DF6AC2">
              <w:rPr>
                <w:rFonts w:ascii="Times New Roman" w:eastAsia="Times New Roman" w:hAnsi="Times New Roman" w:cs="Times New Roman"/>
                <w:b/>
                <w:bCs/>
                <w:kern w:val="0"/>
                <w:bdr w:val="none" w:sz="0" w:space="0" w:color="auto" w:frame="1"/>
                <w:lang w:val="en-GB"/>
                <w14:ligatures w14:val="none"/>
              </w:rPr>
              <w:t xml:space="preserve">reference </w:t>
            </w:r>
          </w:p>
        </w:tc>
      </w:tr>
      <w:tr w:rsidR="00854395" w:rsidRPr="0056549D" w14:paraId="7226B643" w14:textId="77777777" w:rsidTr="009769B2">
        <w:trPr>
          <w:trHeight w:val="459"/>
        </w:trPr>
        <w:tc>
          <w:tcPr>
            <w:cnfStyle w:val="001000000000" w:firstRow="0" w:lastRow="0" w:firstColumn="1" w:lastColumn="0" w:oddVBand="0" w:evenVBand="0" w:oddHBand="0" w:evenHBand="0" w:firstRowFirstColumn="0" w:firstRowLastColumn="0" w:lastRowFirstColumn="0" w:lastRowLastColumn="0"/>
            <w:tcW w:w="1402" w:type="dxa"/>
          </w:tcPr>
          <w:p w14:paraId="7EF320E7"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DLBCL-PI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introduction of rituximab and generally improved health among elderly patients have increased the survival of patients with diffuse large B-cell lymphoma (DLBCL). The International Prognostic Index (IPI) from 1992 is based on pre-rituximab data from clinical trials including several lymphoma subtypes. We applied IPI factors to a population-based rituximab-treated cohort of 1990 patients diagnosed 2000-2010 and explored new factors and the optimal prognostic age cut-off for DLBCL. Multivariate-analyses (MVA) confirmed the prognostic value of all IPI factors except the presence of &gt; 1 extranodal lesion. The optimal age cut-off was 70 years. In a MVA of albumin, lymphocyte count, sex, immunoglobulin G, bulky disease, hemoglobin and B-symptoms, only albumin was prognostic. We propose: (1) a modified DLBCL prognostic index (DLBCL-PI) including: age (70 years), performance status (PS), lactate dehydrogenase (LDH), stage and albumin level, and (2) a separate age-adjusted DLBCL-PI for patients ≤ 70 years including PS, LDH, albumin level and &gt; 1 extranodal lesion, however excluding stage.","author":[{"dropping-particle":"","family":"Gang","given":"Anne O","non-dropping-particle":"","parse-names":false,"suffix":""},{"dropping-particle":"","family":"Pedersen","given":"Michael","non-dropping-particle":"","parse-names":false,"suffix":""},{"dropping-particle":"","family":"d'Amore","given":"Francesco","non-dropping-particle":"","parse-names":false,"suffix":""},{"dropping-particle":"","family":"Pedersen","given":"Lars M","non-dropping-particle":"","parse-names":false,"suffix":""},{"dropping-particle":"","family":"Jensen","given":"Bo A","non-dropping-particle":"","parse-names":false,"suffix":""},{"dropping-particle":"","family":"Jensen","given":"Paw","non-dropping-particle":"","parse-names":false,"suffix":""},{"dropping-particle":"","family":"Møller","given":"Michael B","non-dropping-particle":"","parse-names":false,"suffix":""},{"dropping-particle":"","family":"Mourits-Andersen","given":"Hans T","non-dropping-particle":"","parse-names":false,"suffix":""},{"dropping-particle":"","family":"Pedersen","given":"Robert S","non-dropping-particle":"","parse-names":false,"suffix":""},{"dropping-particle":"","family":"Klausen","given":"Tobias W","non-dropping-particle":"","parse-names":false,"suffix":""},{"dropping-particle":"","family":"N Brown","given":"Peter","non-dropping-particle":"de","parse-names":false,"suffix":""}],"container-title":"Leukemia &amp; lymphoma","id":"ITEM-1","issue":"9","issued":{"date-parts":[["2015","9","2"]]},"page":"2556-62","title":"A clinically based prognostic index for diffuse large B-cell lymphoma with a cut-off at 70 years of age significantly improves prognostic stratification: population-based analysis from the Danish Lymphoma Registry.","type":"article-journal","volume":"56"},"uris":["http://www.mendeley.com/documents/?uuid=28f641a5-2b98-31e2-8f63-0536392d552f"]}],"mendeley":{"formattedCitation":"&lt;sup&gt;12&lt;/sup&gt;","plainTextFormattedCitation":"12","previouslyFormattedCitation":"(Gang et al., 2015)"},"properties":{"noteIndex":0},"schema":"https://github.com/citation-style-language/schema/raw/master/csl-citation.json"}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12</w:t>
            </w:r>
            <w:r w:rsidRPr="0056549D">
              <w:rPr>
                <w:rFonts w:ascii="Times New Roman" w:hAnsi="Times New Roman" w:cs="Times New Roman"/>
                <w:lang w:val="en-GB"/>
              </w:rPr>
              <w:fldChar w:fldCharType="end"/>
            </w:r>
          </w:p>
        </w:tc>
        <w:tc>
          <w:tcPr>
            <w:tcW w:w="3081" w:type="dxa"/>
          </w:tcPr>
          <w:p w14:paraId="50423F18"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187B5B4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1.950</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1.677</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2.268</w:t>
            </w:r>
            <w:r w:rsidRPr="0056549D">
              <w:rPr>
                <w:rFonts w:ascii="Times New Roman" w:eastAsia="Times New Roman" w:hAnsi="Times New Roman" w:cs="Times New Roman"/>
                <w:color w:val="000000"/>
                <w:kern w:val="0"/>
                <w:bdr w:val="none" w:sz="0" w:space="0" w:color="auto" w:frame="1"/>
                <w:lang w:val="en-GB"/>
                <w14:ligatures w14:val="none"/>
              </w:rPr>
              <w:t>)</w:t>
            </w:r>
          </w:p>
          <w:p w14:paraId="4F6896CB"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2.959</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2.568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3.409</w:t>
            </w:r>
            <w:r w:rsidRPr="0056549D">
              <w:rPr>
                <w:rFonts w:ascii="Times New Roman" w:eastAsia="Times New Roman" w:hAnsi="Times New Roman" w:cs="Times New Roman"/>
                <w:color w:val="000000"/>
                <w:kern w:val="0"/>
                <w:bdr w:val="none" w:sz="0" w:space="0" w:color="auto" w:frame="1"/>
                <w:lang w:val="en-GB"/>
                <w14:ligatures w14:val="none"/>
              </w:rPr>
              <w:t>)</w:t>
            </w:r>
          </w:p>
          <w:p w14:paraId="7A6DBCD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6.215</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5.406</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7.145</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5EF26ECD"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34161</w:t>
            </w:r>
          </w:p>
          <w:p w14:paraId="1591A17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0EED0B4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298" w:type="dxa"/>
          </w:tcPr>
          <w:p w14:paraId="36D69EF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34178</w:t>
            </w:r>
          </w:p>
          <w:p w14:paraId="629CA94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2F1773FF"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0" w:type="dxa"/>
          </w:tcPr>
          <w:p w14:paraId="31C9B7A2"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0.65</w:t>
            </w:r>
            <w:r w:rsidRPr="0056549D">
              <w:rPr>
                <w:rFonts w:ascii="Times New Roman" w:eastAsia="Times New Roman" w:hAnsi="Times New Roman" w:cs="Times New Roman"/>
                <w:color w:val="000000"/>
                <w:kern w:val="0"/>
                <w:bdr w:val="none" w:sz="0" w:space="0" w:color="auto" w:frame="1"/>
                <w:lang w:val="en-GB"/>
                <w14:ligatures w14:val="none"/>
              </w:rPr>
              <w:t>9</w:t>
            </w:r>
          </w:p>
          <w:p w14:paraId="22968BF5"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0484022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0.65</w:t>
            </w:r>
            <w:r w:rsidRPr="0056549D">
              <w:rPr>
                <w:rFonts w:ascii="Times New Roman" w:eastAsia="Times New Roman" w:hAnsi="Times New Roman" w:cs="Times New Roman"/>
                <w:color w:val="000000"/>
                <w:kern w:val="0"/>
                <w:bdr w:val="none" w:sz="0" w:space="0" w:color="auto" w:frame="1"/>
                <w:lang w:val="en-GB"/>
                <w14:ligatures w14:val="none"/>
              </w:rPr>
              <w:t>2</w:t>
            </w:r>
          </w:p>
          <w:p w14:paraId="57529AC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1709C37B"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6C9CF5B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2410" w:type="dxa"/>
          </w:tcPr>
          <w:p w14:paraId="5C8B3184"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DF6AC2">
              <w:rPr>
                <w:rFonts w:ascii="Times New Roman" w:eastAsia="Times New Roman" w:hAnsi="Times New Roman" w:cs="Times New Roman"/>
                <w:color w:val="000000"/>
                <w:kern w:val="0"/>
                <w:bdr w:val="none" w:sz="0" w:space="0" w:color="auto" w:frame="1"/>
                <w14:ligatures w14:val="none"/>
              </w:rPr>
              <w:t>0.690 (0.676</w:t>
            </w:r>
            <w:r w:rsidRPr="00DF6AC2">
              <w:rPr>
                <w:rFonts w:ascii="Times New Roman" w:eastAsia="Times New Roman" w:hAnsi="Times New Roman" w:cs="Times New Roman"/>
                <w:color w:val="000000"/>
                <w:kern w:val="0"/>
                <w:bdr w:val="none" w:sz="0" w:space="0" w:color="auto" w:frame="1"/>
                <w:lang w:val="en-GB"/>
                <w14:ligatures w14:val="none"/>
              </w:rPr>
              <w:t xml:space="preserve">; </w:t>
            </w:r>
            <w:r w:rsidRPr="00DF6AC2">
              <w:rPr>
                <w:rFonts w:ascii="Times New Roman" w:eastAsia="Times New Roman" w:hAnsi="Times New Roman" w:cs="Times New Roman"/>
                <w:color w:val="000000"/>
                <w:kern w:val="0"/>
                <w:bdr w:val="none" w:sz="0" w:space="0" w:color="auto" w:frame="1"/>
                <w14:ligatures w14:val="none"/>
              </w:rPr>
              <w:t>0.703</w:t>
            </w:r>
            <w:r w:rsidRPr="00DF6AC2">
              <w:rPr>
                <w:rFonts w:ascii="Times New Roman" w:eastAsia="Times New Roman" w:hAnsi="Times New Roman" w:cs="Times New Roman"/>
                <w:color w:val="000000"/>
                <w:kern w:val="0"/>
                <w:bdr w:val="none" w:sz="0" w:space="0" w:color="auto" w:frame="1"/>
                <w:lang w:val="en-GB"/>
                <w14:ligatures w14:val="none"/>
              </w:rPr>
              <w:t>)</w:t>
            </w:r>
          </w:p>
          <w:p w14:paraId="62F76C18"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highlight w:val="yellow"/>
                <w:bdr w:val="none" w:sz="0" w:space="0" w:color="auto" w:frame="1"/>
                <w:lang w:val="en-GB"/>
                <w14:ligatures w14:val="none"/>
              </w:rPr>
            </w:pPr>
          </w:p>
        </w:tc>
        <w:tc>
          <w:tcPr>
            <w:tcW w:w="2799" w:type="dxa"/>
          </w:tcPr>
          <w:p w14:paraId="48FAB813"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DF6AC2">
              <w:rPr>
                <w:rFonts w:ascii="Times New Roman" w:eastAsia="Times New Roman" w:hAnsi="Times New Roman" w:cs="Times New Roman"/>
                <w:b/>
                <w:bCs/>
                <w:color w:val="000000"/>
                <w:kern w:val="0"/>
                <w:bdr w:val="none" w:sz="0" w:space="0" w:color="auto" w:frame="1"/>
                <w14:ligatures w14:val="none"/>
              </w:rPr>
              <w:t>0.006 (0.000</w:t>
            </w:r>
            <w:r w:rsidRPr="00DF6AC2">
              <w:rPr>
                <w:rFonts w:ascii="Times New Roman" w:eastAsia="Times New Roman" w:hAnsi="Times New Roman" w:cs="Times New Roman"/>
                <w:b/>
                <w:bCs/>
                <w:color w:val="000000"/>
                <w:kern w:val="0"/>
                <w:bdr w:val="none" w:sz="0" w:space="0" w:color="auto" w:frame="1"/>
                <w:lang w:val="en-GB"/>
                <w14:ligatures w14:val="none"/>
              </w:rPr>
              <w:t xml:space="preserve">; </w:t>
            </w:r>
            <w:r w:rsidRPr="00DF6AC2">
              <w:rPr>
                <w:rFonts w:ascii="Times New Roman" w:eastAsia="Times New Roman" w:hAnsi="Times New Roman" w:cs="Times New Roman"/>
                <w:b/>
                <w:bCs/>
                <w:color w:val="000000"/>
                <w:kern w:val="0"/>
                <w:bdr w:val="none" w:sz="0" w:space="0" w:color="auto" w:frame="1"/>
                <w14:ligatures w14:val="none"/>
              </w:rPr>
              <w:t>0.013</w:t>
            </w:r>
            <w:r w:rsidRPr="00DF6AC2">
              <w:rPr>
                <w:rFonts w:ascii="Times New Roman" w:eastAsia="Times New Roman" w:hAnsi="Times New Roman" w:cs="Times New Roman"/>
                <w:color w:val="000000"/>
                <w:kern w:val="0"/>
                <w:bdr w:val="none" w:sz="0" w:space="0" w:color="auto" w:frame="1"/>
                <w:lang w:val="en-GB"/>
                <w14:ligatures w14:val="none"/>
              </w:rPr>
              <w:t>)</w:t>
            </w:r>
          </w:p>
          <w:p w14:paraId="55748532"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highlight w:val="yellow"/>
                <w:bdr w:val="none" w:sz="0" w:space="0" w:color="auto" w:frame="1"/>
                <w14:ligatures w14:val="none"/>
              </w:rPr>
            </w:pPr>
          </w:p>
        </w:tc>
      </w:tr>
      <w:tr w:rsidR="00854395" w:rsidRPr="0056549D" w14:paraId="0E8F935B" w14:textId="77777777" w:rsidTr="009769B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02" w:type="dxa"/>
          </w:tcPr>
          <w:p w14:paraId="522B2625" w14:textId="77777777" w:rsidR="00854395" w:rsidRPr="0056549D" w:rsidRDefault="00854395" w:rsidP="009769B2">
            <w:pPr>
              <w:rPr>
                <w:rFonts w:ascii="Times New Roman" w:hAnsi="Times New Roman" w:cs="Times New Roman"/>
                <w:lang w:val="en-GB"/>
              </w:rPr>
            </w:pPr>
            <w:proofErr w:type="spellStart"/>
            <w:r w:rsidRPr="0056549D">
              <w:rPr>
                <w:rFonts w:ascii="Times New Roman" w:hAnsi="Times New Roman" w:cs="Times New Roman"/>
                <w:lang w:val="en-GB"/>
              </w:rPr>
              <w:t>aaDLBCL</w:t>
            </w:r>
            <w:proofErr w:type="spellEnd"/>
            <w:r w:rsidRPr="0056549D">
              <w:rPr>
                <w:rFonts w:ascii="Times New Roman" w:hAnsi="Times New Roman" w:cs="Times New Roman"/>
                <w:lang w:val="en-GB"/>
              </w:rPr>
              <w:t xml:space="preserve">-PI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introduction of rituximab and generally improved health among elderly patients have increased the survival of patients with diffuse large B-cell lymphoma (DLBCL). The International Prognostic Index (IPI) from 1992 is based on pre-rituximab data from clinical trials including several lymphoma subtypes. We applied IPI factors to a population-based rituximab-treated cohort of 1990 patients diagnosed 2000-2010 and explored new factors and the optimal prognostic age cut-off for DLBCL. Multivariate-analyses (MVA) confirmed the prognostic value of all IPI factors except the presence of &gt; 1 extranodal lesion. The optimal age cut-off was 70 years. In a MVA of albumin, lymphocyte count, sex, immunoglobulin G, bulky disease, hemoglobin and B-symptoms, only albumin was prognostic. We propose: (1) a modified DLBCL prognostic index (DLBCL-PI) including: age (70 years), performance status (PS), lactate dehydrogenase (LDH), stage and albumin level, and (2) a separate age-adjusted DLBCL-PI for patients ≤ 70 years including PS, LDH, albumin level and &gt; 1 extranodal lesion, however excluding stage.","author":[{"dropping-particle":"","family":"Gang","given":"Anne O","non-dropping-particle":"","parse-names":false,"suffix":""},{"dropping-particle":"","family":"Pedersen","given":"Michael","non-dropping-particle":"","parse-names":false,"suffix":""},{"dropping-particle":"","family":"d'Amore","given":"Francesco","non-dropping-particle":"","parse-names":false,"suffix":""},{"dropping-particle":"","family":"Pedersen","given":"Lars M","non-dropping-particle":"","parse-names":false,"suffix":""},{"dropping-particle":"","family":"Jensen","given":"Bo A","non-dropping-particle":"","parse-names":false,"suffix":""},{"dropping-particle":"","family":"Jensen","given":"Paw","non-dropping-particle":"","parse-names":false,"suffix":""},{"dropping-particle":"","family":"Møller","given":"Michael B","non-dropping-particle":"","parse-names":false,"suffix":""},{"dropping-particle":"","family":"Mourits-Andersen","given":"Hans T","non-dropping-particle":"","parse-names":false,"suffix":""},{"dropping-particle":"","family":"Pedersen","given":"Robert S","non-dropping-particle":"","parse-names":false,"suffix":""},{"dropping-particle":"","family":"Klausen","given":"Tobias W","non-dropping-particle":"","parse-names":false,"suffix":""},{"dropping-particle":"","family":"N Brown","given":"Peter","non-dropping-particle":"de","parse-names":false,"suffix":""}],"container-title":"Leukemia &amp; lymphoma","id":"ITEM-1","issue":"9","issued":{"date-parts":[["2015","9","2"]]},"page":"2556-62","title":"A clinically based prognostic index for diffuse large B-cell lymphoma with a cut-off at 70 years of age significantly improves prognostic stratification: population-based analysis from the Danish Lymphoma Registry.","type":"article-journal","volume":"56"},"uris":["http://www.mendeley.com/documents/?uuid=28f641a5-2b98-31e2-8f63-0536392d552f"]}],"mendeley":{"formattedCitation":"&lt;sup&gt;12&lt;/sup&gt;","plainTextFormattedCitation":"12","previouslyFormattedCitation":"(Gang et al., 2015)"},"properties":{"noteIndex":0},"schema":"https://github.com/citation-style-language/schema/raw/master/csl-citation.json"}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12</w:t>
            </w:r>
            <w:r w:rsidRPr="0056549D">
              <w:rPr>
                <w:rFonts w:ascii="Times New Roman" w:hAnsi="Times New Roman" w:cs="Times New Roman"/>
                <w:lang w:val="en-GB"/>
              </w:rPr>
              <w:fldChar w:fldCharType="end"/>
            </w:r>
          </w:p>
        </w:tc>
        <w:tc>
          <w:tcPr>
            <w:tcW w:w="3081" w:type="dxa"/>
          </w:tcPr>
          <w:p w14:paraId="5C633261"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6490A46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1.325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1.132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1.550</w:t>
            </w:r>
            <w:r w:rsidRPr="0056549D">
              <w:rPr>
                <w:rFonts w:ascii="Times New Roman" w:eastAsia="Times New Roman" w:hAnsi="Times New Roman" w:cs="Times New Roman"/>
                <w:color w:val="000000"/>
                <w:kern w:val="0"/>
                <w:bdr w:val="none" w:sz="0" w:space="0" w:color="auto" w:frame="1"/>
                <w:lang w:val="en-GB"/>
                <w14:ligatures w14:val="none"/>
              </w:rPr>
              <w:t>)</w:t>
            </w:r>
          </w:p>
          <w:p w14:paraId="1BFF01B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2.159</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1.860</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2.506</w:t>
            </w:r>
            <w:r w:rsidRPr="0056549D">
              <w:rPr>
                <w:rFonts w:ascii="Times New Roman" w:eastAsia="Times New Roman" w:hAnsi="Times New Roman" w:cs="Times New Roman"/>
                <w:color w:val="000000"/>
                <w:kern w:val="0"/>
                <w:bdr w:val="none" w:sz="0" w:space="0" w:color="auto" w:frame="1"/>
                <w:lang w:val="en-GB"/>
                <w14:ligatures w14:val="none"/>
              </w:rPr>
              <w:t>)</w:t>
            </w:r>
          </w:p>
          <w:p w14:paraId="20F1B99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3.513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3.025</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4.078</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74690C0C"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34572</w:t>
            </w:r>
          </w:p>
          <w:p w14:paraId="7D002BC8"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8" w:type="dxa"/>
          </w:tcPr>
          <w:p w14:paraId="0A9C889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34589</w:t>
            </w:r>
          </w:p>
          <w:p w14:paraId="32303F0D"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80" w:type="dxa"/>
          </w:tcPr>
          <w:p w14:paraId="7FEFB2C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0.61</w:t>
            </w:r>
            <w:r w:rsidRPr="0056549D">
              <w:rPr>
                <w:rFonts w:ascii="Times New Roman" w:eastAsia="Times New Roman" w:hAnsi="Times New Roman" w:cs="Times New Roman"/>
                <w:color w:val="000000"/>
                <w:kern w:val="0"/>
                <w:bdr w:val="none" w:sz="0" w:space="0" w:color="auto" w:frame="1"/>
                <w:lang w:val="en-GB"/>
                <w14:ligatures w14:val="none"/>
              </w:rPr>
              <w:t>7</w:t>
            </w:r>
          </w:p>
          <w:p w14:paraId="29AA936D"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0FE67E5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lang w:val="en-GB"/>
                <w14:ligatures w14:val="none"/>
              </w:rPr>
              <w:t>0</w:t>
            </w:r>
            <w:r w:rsidRPr="0056549D">
              <w:rPr>
                <w:rFonts w:ascii="Times New Roman" w:eastAsia="Times New Roman" w:hAnsi="Times New Roman" w:cs="Times New Roman"/>
                <w:color w:val="000000"/>
                <w:kern w:val="0"/>
                <w:bdr w:val="none" w:sz="0" w:space="0" w:color="auto" w:frame="1"/>
                <w14:ligatures w14:val="none"/>
              </w:rPr>
              <w:t>.612</w:t>
            </w:r>
          </w:p>
          <w:p w14:paraId="18888201"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tcPr>
          <w:p w14:paraId="47F02A05"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DF6AC2">
              <w:rPr>
                <w:rFonts w:ascii="Times New Roman" w:eastAsia="Times New Roman" w:hAnsi="Times New Roman" w:cs="Times New Roman"/>
                <w:color w:val="000000"/>
                <w:kern w:val="0"/>
                <w:bdr w:val="none" w:sz="0" w:space="0" w:color="auto" w:frame="1"/>
                <w14:ligatures w14:val="none"/>
              </w:rPr>
              <w:t xml:space="preserve">0.648 </w:t>
            </w:r>
            <w:r w:rsidRPr="00DF6AC2">
              <w:rPr>
                <w:rFonts w:ascii="Times New Roman" w:eastAsia="Times New Roman" w:hAnsi="Times New Roman" w:cs="Times New Roman"/>
                <w:color w:val="000000"/>
                <w:kern w:val="0"/>
                <w:bdr w:val="none" w:sz="0" w:space="0" w:color="auto" w:frame="1"/>
                <w:lang w:val="en-GB"/>
                <w14:ligatures w14:val="none"/>
              </w:rPr>
              <w:t>(</w:t>
            </w:r>
            <w:r w:rsidRPr="00DF6AC2">
              <w:rPr>
                <w:rFonts w:ascii="Times New Roman" w:eastAsia="Times New Roman" w:hAnsi="Times New Roman" w:cs="Times New Roman"/>
                <w:color w:val="000000"/>
                <w:kern w:val="0"/>
                <w:bdr w:val="none" w:sz="0" w:space="0" w:color="auto" w:frame="1"/>
                <w14:ligatures w14:val="none"/>
              </w:rPr>
              <w:t>0.632</w:t>
            </w:r>
            <w:r w:rsidRPr="00DF6AC2">
              <w:rPr>
                <w:rFonts w:ascii="Times New Roman" w:eastAsia="Times New Roman" w:hAnsi="Times New Roman" w:cs="Times New Roman"/>
                <w:color w:val="000000"/>
                <w:kern w:val="0"/>
                <w:bdr w:val="none" w:sz="0" w:space="0" w:color="auto" w:frame="1"/>
                <w:lang w:val="en-GB"/>
                <w14:ligatures w14:val="none"/>
              </w:rPr>
              <w:t>;</w:t>
            </w:r>
            <w:r w:rsidRPr="00DF6AC2">
              <w:rPr>
                <w:rFonts w:ascii="Times New Roman" w:eastAsia="Times New Roman" w:hAnsi="Times New Roman" w:cs="Times New Roman"/>
                <w:color w:val="000000"/>
                <w:kern w:val="0"/>
                <w:bdr w:val="none" w:sz="0" w:space="0" w:color="auto" w:frame="1"/>
                <w14:ligatures w14:val="none"/>
              </w:rPr>
              <w:t xml:space="preserve"> 0.664</w:t>
            </w:r>
            <w:r w:rsidRPr="00DF6AC2">
              <w:rPr>
                <w:rFonts w:ascii="Times New Roman" w:eastAsia="Times New Roman" w:hAnsi="Times New Roman" w:cs="Times New Roman"/>
                <w:color w:val="000000"/>
                <w:kern w:val="0"/>
                <w:bdr w:val="none" w:sz="0" w:space="0" w:color="auto" w:frame="1"/>
                <w:lang w:val="en-GB"/>
                <w14:ligatures w14:val="none"/>
              </w:rPr>
              <w:t>)</w:t>
            </w:r>
          </w:p>
          <w:p w14:paraId="6388CA7F"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p>
          <w:p w14:paraId="11CD4B52" w14:textId="77777777" w:rsidR="00854395" w:rsidRPr="00DF6AC2"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p>
        </w:tc>
        <w:tc>
          <w:tcPr>
            <w:tcW w:w="2799" w:type="dxa"/>
          </w:tcPr>
          <w:p w14:paraId="0BCF52D2"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DF6AC2">
              <w:rPr>
                <w:rFonts w:ascii="Times New Roman" w:eastAsia="Times New Roman" w:hAnsi="Times New Roman" w:cs="Times New Roman"/>
                <w:color w:val="000000"/>
                <w:kern w:val="0"/>
                <w:bdr w:val="none" w:sz="0" w:space="0" w:color="auto" w:frame="1"/>
                <w14:ligatures w14:val="none"/>
              </w:rPr>
              <w:t xml:space="preserve">-0.036 </w:t>
            </w:r>
            <w:r w:rsidRPr="00DF6AC2">
              <w:rPr>
                <w:rFonts w:ascii="Times New Roman" w:eastAsia="Times New Roman" w:hAnsi="Times New Roman" w:cs="Times New Roman"/>
                <w:color w:val="000000"/>
                <w:kern w:val="0"/>
                <w:bdr w:val="none" w:sz="0" w:space="0" w:color="auto" w:frame="1"/>
                <w:lang w:val="en-GB"/>
                <w14:ligatures w14:val="none"/>
              </w:rPr>
              <w:t>(</w:t>
            </w:r>
            <w:r w:rsidRPr="00DF6AC2">
              <w:rPr>
                <w:rFonts w:ascii="Times New Roman" w:eastAsia="Times New Roman" w:hAnsi="Times New Roman" w:cs="Times New Roman"/>
                <w:color w:val="000000"/>
                <w:kern w:val="0"/>
                <w:bdr w:val="none" w:sz="0" w:space="0" w:color="auto" w:frame="1"/>
                <w14:ligatures w14:val="none"/>
              </w:rPr>
              <w:t>-0.046</w:t>
            </w:r>
            <w:r w:rsidRPr="00DF6AC2">
              <w:rPr>
                <w:rFonts w:ascii="Times New Roman" w:eastAsia="Times New Roman" w:hAnsi="Times New Roman" w:cs="Times New Roman"/>
                <w:color w:val="000000"/>
                <w:kern w:val="0"/>
                <w:bdr w:val="none" w:sz="0" w:space="0" w:color="auto" w:frame="1"/>
                <w:lang w:val="en-GB"/>
                <w14:ligatures w14:val="none"/>
              </w:rPr>
              <w:t>;</w:t>
            </w:r>
            <w:r w:rsidRPr="00DF6AC2">
              <w:rPr>
                <w:rFonts w:ascii="Times New Roman" w:eastAsia="Times New Roman" w:hAnsi="Times New Roman" w:cs="Times New Roman"/>
                <w:color w:val="000000"/>
                <w:kern w:val="0"/>
                <w:bdr w:val="none" w:sz="0" w:space="0" w:color="auto" w:frame="1"/>
                <w14:ligatures w14:val="none"/>
              </w:rPr>
              <w:t xml:space="preserve"> -0.025</w:t>
            </w:r>
            <w:r w:rsidRPr="00DF6AC2">
              <w:rPr>
                <w:rFonts w:ascii="Times New Roman" w:eastAsia="Times New Roman" w:hAnsi="Times New Roman" w:cs="Times New Roman"/>
                <w:color w:val="000000"/>
                <w:kern w:val="0"/>
                <w:bdr w:val="none" w:sz="0" w:space="0" w:color="auto" w:frame="1"/>
                <w:lang w:val="en-GB"/>
                <w14:ligatures w14:val="none"/>
              </w:rPr>
              <w:t>)</w:t>
            </w:r>
          </w:p>
          <w:p w14:paraId="2BA90773" w14:textId="77777777" w:rsidR="00854395" w:rsidRPr="00DF6AC2"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p>
        </w:tc>
      </w:tr>
      <w:tr w:rsidR="00854395" w:rsidRPr="0056549D" w14:paraId="4E6DB042" w14:textId="77777777" w:rsidTr="009769B2">
        <w:trPr>
          <w:trHeight w:val="701"/>
        </w:trPr>
        <w:tc>
          <w:tcPr>
            <w:cnfStyle w:val="001000000000" w:firstRow="0" w:lastRow="0" w:firstColumn="1" w:lastColumn="0" w:oddVBand="0" w:evenVBand="0" w:oddHBand="0" w:evenHBand="0" w:firstRowFirstColumn="0" w:firstRowLastColumn="0" w:lastRowFirstColumn="0" w:lastRowLastColumn="0"/>
            <w:tcW w:w="1402" w:type="dxa"/>
          </w:tcPr>
          <w:p w14:paraId="3514D5F6"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Modified NCCN-IPI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has been used for decades in diffuse large B-cell lymphoma (DLBCL). A retrospective cancer registry analysis in North America showed significantly improved results when an enhanced IPI, the National Comprehensive Cancer Network (NCCN)-IPI was applied. This novel score puts more weight on age and high levels of lactate dehydrogenase (LDH). Nevertheless, it remains unclear if these results can be extrapolated to the general population. This retrospective bi-centre analysis included 499 unselected DLBCL patients who were treated with rituximab and anthracycline-based chemoimmunotherapy between 2004 and 2013. In our cohort, the NCCN-IPI was more accurate in identifying patients at low or high risk, despite older age, and more patients with increased LDH. Nevertheless, a modified scoring of the risk factors was required to more accurately identify elderly patients with a very favourable diagnosis, suggesting an impaired value of the original NCCN-IPI in the elderly. Serum β2 -microglobulin and albumin were retained as independent prognostic factors for survival in a multivariate analysis. Our data confirm, for the first time, the superior prognostic power of the NCCN-IPI in an unselected, middle-European cohort. We furthermore propose a modified NCCN-IPI for more accurate prognostication in the elderly. Albumin and β2 -microglobulin levels are likely to add significant information to the NCCN-IPI.","author":[{"dropping-particle":"","family":"Melchardt","given":"Thomas","non-dropping-particle":"","parse-names":false,"suffix":""},{"dropping-particle":"","family":"Troppan","given":"Katharina","non-dropping-particle":"","parse-names":false,"suffix":""},{"dropping-particle":"","family":"Weiss","given":"Lukas","non-dropping-particle":"","parse-names":false,"suffix":""},{"dropping-particle":"","family":"Hufnagl","given":"Clemens","non-dropping-particle":"","parse-names":false,"suffix":""},{"dropping-particle":"","family":"Neureiter","given":"Daniel","non-dropping-particle":"","parse-names":false,"suffix":""},{"dropping-particle":"","family":"Tränkenschuh","given":"Wolfgang","non-dropping-particle":"","parse-names":false,"suffix":""},{"dropping-particle":"","family":"Hopfinger","given":"Georg","non-dropping-particle":"","parse-names":false,"suffix":""},{"dropping-particle":"","family":"Magnes","given":"Teresa","non-dropping-particle":"","parse-names":false,"suffix":""},{"dropping-particle":"","family":"Deutsch","given":"Alexander","non-dropping-particle":"","parse-names":false,"suffix":""},{"dropping-particle":"","family":"Neumeister","given":"Peter","non-dropping-particle":"","parse-names":false,"suffix":""},{"dropping-particle":"","family":"Hackl","given":"Hubert","non-dropping-particle":"","parse-names":false,"suffix":""},{"dropping-particle":"","family":"Greil","given":"Richard","non-dropping-particle":"","parse-names":false,"suffix":""},{"dropping-particle":"","family":"Pichler","given":"Martin","non-dropping-particle":"","parse-names":false,"suffix":""},{"dropping-particle":"","family":"Egle","given":"Alexander","non-dropping-particle":"","parse-names":false,"suffix":""}],"container-title":"British journal of haematology","id":"ITEM-1","issue":"2","issued":{"date-parts":[["2015","1"]]},"page":"239-45","title":"A modified scoring of the NCCN-IPI is more accurate in the elderly and is improved by albumin and β2 -microglobulin.","type":"article-journal","volume":"168"},"uris":["http://www.mendeley.com/documents/?uuid=e630a530-62d2-3e90-94ce-87e258702a6c"]}],"mendeley":{"formattedCitation":"&lt;sup&gt;30&lt;/sup&gt;","plainTextFormattedCitation":"30","previouslyFormattedCitation":"(Melchardt et al., 2015)"},"properties":{"noteIndex":0},"schema":"https://github.com/citation-style-language/schema/raw/master/csl-citation.json"}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30</w:t>
            </w:r>
            <w:r w:rsidRPr="0056549D">
              <w:rPr>
                <w:rFonts w:ascii="Times New Roman" w:hAnsi="Times New Roman" w:cs="Times New Roman"/>
                <w:lang w:val="en-GB"/>
              </w:rPr>
              <w:fldChar w:fldCharType="end"/>
            </w:r>
          </w:p>
          <w:p w14:paraId="7B611847" w14:textId="77777777" w:rsidR="00854395" w:rsidRPr="0056549D" w:rsidRDefault="00854395" w:rsidP="009769B2">
            <w:pPr>
              <w:rPr>
                <w:rFonts w:ascii="Times New Roman" w:hAnsi="Times New Roman" w:cs="Times New Roman"/>
                <w:lang w:val="en-GB"/>
              </w:rPr>
            </w:pPr>
          </w:p>
        </w:tc>
        <w:tc>
          <w:tcPr>
            <w:tcW w:w="3081" w:type="dxa"/>
          </w:tcPr>
          <w:p w14:paraId="56ED5ACC"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6AC1197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2.978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2.459</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3.606</w:t>
            </w:r>
            <w:r w:rsidRPr="0056549D">
              <w:rPr>
                <w:rFonts w:ascii="Times New Roman" w:eastAsia="Times New Roman" w:hAnsi="Times New Roman" w:cs="Times New Roman"/>
                <w:color w:val="000000"/>
                <w:kern w:val="0"/>
                <w:bdr w:val="none" w:sz="0" w:space="0" w:color="auto" w:frame="1"/>
                <w:lang w:val="en-GB"/>
                <w14:ligatures w14:val="none"/>
              </w:rPr>
              <w:t>)</w:t>
            </w:r>
          </w:p>
          <w:p w14:paraId="0CFA4CB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5.349</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4.525</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6.323</w:t>
            </w:r>
            <w:r w:rsidRPr="0056549D">
              <w:rPr>
                <w:rFonts w:ascii="Times New Roman" w:eastAsia="Times New Roman" w:hAnsi="Times New Roman" w:cs="Times New Roman"/>
                <w:color w:val="000000"/>
                <w:kern w:val="0"/>
                <w:bdr w:val="none" w:sz="0" w:space="0" w:color="auto" w:frame="1"/>
                <w:lang w:val="en-GB"/>
                <w14:ligatures w14:val="none"/>
              </w:rPr>
              <w:t>)</w:t>
            </w:r>
          </w:p>
          <w:p w14:paraId="795DA63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12.281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10.121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14.902</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18BEDD2F"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34096</w:t>
            </w:r>
          </w:p>
          <w:p w14:paraId="6D380CF1"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8" w:type="dxa"/>
          </w:tcPr>
          <w:p w14:paraId="1A55749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34113</w:t>
            </w:r>
          </w:p>
          <w:p w14:paraId="5B665BDB"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0" w:type="dxa"/>
          </w:tcPr>
          <w:p w14:paraId="00DED7B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0.662</w:t>
            </w:r>
          </w:p>
          <w:p w14:paraId="00059A2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71F7F035"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0.641</w:t>
            </w:r>
          </w:p>
          <w:p w14:paraId="4FC71A5F"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244B9ED5"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DF6AC2">
              <w:rPr>
                <w:rFonts w:ascii="Times New Roman" w:eastAsia="Times New Roman" w:hAnsi="Times New Roman" w:cs="Times New Roman"/>
                <w:color w:val="000000"/>
                <w:kern w:val="0"/>
                <w:bdr w:val="none" w:sz="0" w:space="0" w:color="auto" w:frame="1"/>
                <w14:ligatures w14:val="none"/>
              </w:rPr>
              <w:t xml:space="preserve">0.677 </w:t>
            </w:r>
            <w:r w:rsidRPr="00DF6AC2">
              <w:rPr>
                <w:rFonts w:ascii="Times New Roman" w:eastAsia="Times New Roman" w:hAnsi="Times New Roman" w:cs="Times New Roman"/>
                <w:color w:val="000000"/>
                <w:kern w:val="0"/>
                <w:bdr w:val="none" w:sz="0" w:space="0" w:color="auto" w:frame="1"/>
                <w:lang w:val="en-GB"/>
                <w14:ligatures w14:val="none"/>
              </w:rPr>
              <w:t>(</w:t>
            </w:r>
            <w:r w:rsidRPr="00DF6AC2">
              <w:rPr>
                <w:rFonts w:ascii="Times New Roman" w:eastAsia="Times New Roman" w:hAnsi="Times New Roman" w:cs="Times New Roman"/>
                <w:color w:val="000000"/>
                <w:kern w:val="0"/>
                <w:bdr w:val="none" w:sz="0" w:space="0" w:color="auto" w:frame="1"/>
                <w14:ligatures w14:val="none"/>
              </w:rPr>
              <w:t>0.670</w:t>
            </w:r>
            <w:r w:rsidRPr="00DF6AC2">
              <w:rPr>
                <w:rFonts w:ascii="Times New Roman" w:eastAsia="Times New Roman" w:hAnsi="Times New Roman" w:cs="Times New Roman"/>
                <w:color w:val="000000"/>
                <w:kern w:val="0"/>
                <w:bdr w:val="none" w:sz="0" w:space="0" w:color="auto" w:frame="1"/>
                <w:lang w:val="en-GB"/>
                <w14:ligatures w14:val="none"/>
              </w:rPr>
              <w:t xml:space="preserve">; </w:t>
            </w:r>
            <w:r w:rsidRPr="00DF6AC2">
              <w:rPr>
                <w:rFonts w:ascii="Times New Roman" w:eastAsia="Times New Roman" w:hAnsi="Times New Roman" w:cs="Times New Roman"/>
                <w:color w:val="000000"/>
                <w:kern w:val="0"/>
                <w:bdr w:val="none" w:sz="0" w:space="0" w:color="auto" w:frame="1"/>
                <w14:ligatures w14:val="none"/>
              </w:rPr>
              <w:t>0.684</w:t>
            </w:r>
            <w:r w:rsidRPr="00DF6AC2">
              <w:rPr>
                <w:rFonts w:ascii="Times New Roman" w:eastAsia="Times New Roman" w:hAnsi="Times New Roman" w:cs="Times New Roman"/>
                <w:color w:val="000000"/>
                <w:kern w:val="0"/>
                <w:bdr w:val="none" w:sz="0" w:space="0" w:color="auto" w:frame="1"/>
                <w:lang w:val="en-GB"/>
                <w14:ligatures w14:val="none"/>
              </w:rPr>
              <w:t>)</w:t>
            </w:r>
          </w:p>
          <w:p w14:paraId="04190F93"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p>
        </w:tc>
        <w:tc>
          <w:tcPr>
            <w:tcW w:w="2799" w:type="dxa"/>
          </w:tcPr>
          <w:p w14:paraId="507724BC"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val="en-GB"/>
                <w14:ligatures w14:val="none"/>
              </w:rPr>
            </w:pPr>
            <w:r w:rsidRPr="00DF6AC2">
              <w:rPr>
                <w:rFonts w:ascii="Times New Roman" w:eastAsia="Times New Roman" w:hAnsi="Times New Roman" w:cs="Times New Roman"/>
                <w:b/>
                <w:bCs/>
                <w:color w:val="000000"/>
                <w:kern w:val="0"/>
                <w:bdr w:val="none" w:sz="0" w:space="0" w:color="auto" w:frame="1"/>
                <w14:ligatures w14:val="none"/>
              </w:rPr>
              <w:t xml:space="preserve">-0.006 </w:t>
            </w:r>
            <w:r w:rsidRPr="00DF6AC2">
              <w:rPr>
                <w:rFonts w:ascii="Times New Roman" w:eastAsia="Times New Roman" w:hAnsi="Times New Roman" w:cs="Times New Roman"/>
                <w:b/>
                <w:bCs/>
                <w:color w:val="000000"/>
                <w:kern w:val="0"/>
                <w:bdr w:val="none" w:sz="0" w:space="0" w:color="auto" w:frame="1"/>
                <w:lang w:val="en-GB"/>
                <w14:ligatures w14:val="none"/>
              </w:rPr>
              <w:t>(</w:t>
            </w:r>
            <w:r w:rsidRPr="00DF6AC2">
              <w:rPr>
                <w:rFonts w:ascii="Times New Roman" w:eastAsia="Times New Roman" w:hAnsi="Times New Roman" w:cs="Times New Roman"/>
                <w:b/>
                <w:bCs/>
                <w:color w:val="000000"/>
                <w:kern w:val="0"/>
                <w:bdr w:val="none" w:sz="0" w:space="0" w:color="auto" w:frame="1"/>
                <w14:ligatures w14:val="none"/>
              </w:rPr>
              <w:t>-0.013</w:t>
            </w:r>
            <w:r w:rsidRPr="00DF6AC2">
              <w:rPr>
                <w:rFonts w:ascii="Times New Roman" w:eastAsia="Times New Roman" w:hAnsi="Times New Roman" w:cs="Times New Roman"/>
                <w:b/>
                <w:bCs/>
                <w:color w:val="000000"/>
                <w:kern w:val="0"/>
                <w:bdr w:val="none" w:sz="0" w:space="0" w:color="auto" w:frame="1"/>
                <w:lang w:val="en-GB"/>
                <w14:ligatures w14:val="none"/>
              </w:rPr>
              <w:t>;</w:t>
            </w:r>
            <w:r w:rsidRPr="00DF6AC2">
              <w:rPr>
                <w:rFonts w:ascii="Times New Roman" w:eastAsia="Times New Roman" w:hAnsi="Times New Roman" w:cs="Times New Roman"/>
                <w:b/>
                <w:bCs/>
                <w:color w:val="000000"/>
                <w:kern w:val="0"/>
                <w:bdr w:val="none" w:sz="0" w:space="0" w:color="auto" w:frame="1"/>
                <w14:ligatures w14:val="none"/>
              </w:rPr>
              <w:t xml:space="preserve"> 0.000</w:t>
            </w:r>
            <w:r w:rsidRPr="00DF6AC2">
              <w:rPr>
                <w:rFonts w:ascii="Times New Roman" w:eastAsia="Times New Roman" w:hAnsi="Times New Roman" w:cs="Times New Roman"/>
                <w:b/>
                <w:bCs/>
                <w:color w:val="000000"/>
                <w:kern w:val="0"/>
                <w:bdr w:val="none" w:sz="0" w:space="0" w:color="auto" w:frame="1"/>
                <w:lang w:val="en-GB"/>
                <w14:ligatures w14:val="none"/>
              </w:rPr>
              <w:t>)</w:t>
            </w:r>
          </w:p>
          <w:p w14:paraId="05C93231"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highlight w:val="yellow"/>
                <w:lang w:val="en-GB"/>
                <w14:ligatures w14:val="none"/>
              </w:rPr>
            </w:pPr>
          </w:p>
          <w:p w14:paraId="129738E0"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highlight w:val="yellow"/>
              </w:rPr>
            </w:pPr>
          </w:p>
        </w:tc>
      </w:tr>
      <w:tr w:rsidR="00854395" w:rsidRPr="0056549D" w14:paraId="72AE04B1" w14:textId="77777777" w:rsidTr="009769B2">
        <w:trPr>
          <w:cnfStyle w:val="000000100000" w:firstRow="0" w:lastRow="0" w:firstColumn="0" w:lastColumn="0" w:oddVBand="0" w:evenVBand="0" w:oddHBand="1" w:evenHBand="0" w:firstRowFirstColumn="0" w:firstRowLastColumn="0" w:lastRowFirstColumn="0" w:lastRowLastColumn="0"/>
          <w:trHeight w:val="652"/>
        </w:trPr>
        <w:tc>
          <w:tcPr>
            <w:cnfStyle w:val="001000000000" w:firstRow="0" w:lastRow="0" w:firstColumn="1" w:lastColumn="0" w:oddVBand="0" w:evenVBand="0" w:oddHBand="0" w:evenHBand="0" w:firstRowFirstColumn="0" w:firstRowLastColumn="0" w:lastRowFirstColumn="0" w:lastRowLastColumn="0"/>
            <w:tcW w:w="1402" w:type="dxa"/>
          </w:tcPr>
          <w:p w14:paraId="610FA75F"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KPI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uthor":[{"dropping-particle":"","family":"Kobayashi","given":"T","non-dropping-particle":"","parse-names":false,"suffix":""},{"dropping-particle":"","family":"Kuroda","given":"J","non-dropping-particle":"","parse-names":false,"suffix":""},{"dropping-particle":"","family":"Yokota","given":"I","non-dropping-particle":"","parse-names":false,"suffix":""},{"dropping-particle":"","family":"Tanba","given":"K","non-dropping-particle":"","parse-names":false,"suffix":""},{"dropping-particle":"","family":"Fujino","given":"T","non-dropping-particle":"","parse-names":false,"suffix":""},{"dropping-particle":"","family":"Kuwahara","given":"S","non-dropping-particle":"","parse-names":false,"suffix":""},{"dropping-particle":"","family":"Isa","given":"R","non-dropping-particle":"","parse-names":false,"suffix":""},{"dropping-particle":"","family":"Yamaguchi","given":"J","non-dropping-particle":"","parse-names":false,"suffix":""},{"dropping-particle":"","family":"Kawata","given":"E","non-dropping-particle":"","parse-names":false,"suffix":""},{"dropping-particle":"","family":"Akaogi","given":"T","non-dropping-particle":"","parse-names":false,"suffix":""},{"dropping-particle":"","family":"Uchiyama","given":"H","non-dropping-particle":"","parse-names":false,"suffix":""},{"dropping-particle":"","family":"Kaneko","given":"H","non-dropping-particle":"","parse-names":false,"suffix":""},{"dropping-particle":"","family":"Uoshima","given":"N","non-dropping-particle":"","parse-names":false,"suffix":""},{"dropping-particle":"","family":"Kobayashi","given":"Y","non-dropping-particle":"","parse-names":false,"suffix":""},{"dropping-particle":"","family":"Teramukai","given":"S","non-dropping-particle":"","parse-names":false,"suffix":""},{"dropping-particle":"","family":"Taniwaki","given":"M","non-dropping-particle":"","parse-names":false,"suffix":""}],"container-title":"Blood Cancer Journal","id":"ITEM-1","issue":"1","issued":{"date-parts":[["2016","1","15"]]},"page":"e383-e383","title":"The Kyoto Prognostic Index for patients with diffuse large B-cell lymphoma in the rituximab era","type":"article-journal","volume":"6"},"uris":["http://www.mendeley.com/documents/?uuid=d8d89570-ddb0-3806-b324-fd818750792f"]}],"mendeley":{"formattedCitation":"&lt;sup&gt;31&lt;/sup&gt;","plainTextFormattedCitation":"31","previouslyFormattedCitation":"(Kobayashi et al., 2016)"},"properties":{"noteIndex":0},"schema":"https://github.com/citation-style-language/schema/raw/master/csl-citation.json"}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31</w:t>
            </w:r>
            <w:r w:rsidRPr="0056549D">
              <w:rPr>
                <w:rFonts w:ascii="Times New Roman" w:hAnsi="Times New Roman" w:cs="Times New Roman"/>
                <w:lang w:val="en-GB"/>
              </w:rPr>
              <w:fldChar w:fldCharType="end"/>
            </w:r>
          </w:p>
        </w:tc>
        <w:tc>
          <w:tcPr>
            <w:tcW w:w="3081" w:type="dxa"/>
          </w:tcPr>
          <w:p w14:paraId="3094C7B9"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56BEC06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1.627</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1.448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1.829</w:t>
            </w:r>
            <w:r w:rsidRPr="0056549D">
              <w:rPr>
                <w:rFonts w:ascii="Times New Roman" w:eastAsia="Times New Roman" w:hAnsi="Times New Roman" w:cs="Times New Roman"/>
                <w:color w:val="000000"/>
                <w:kern w:val="0"/>
                <w:bdr w:val="none" w:sz="0" w:space="0" w:color="auto" w:frame="1"/>
                <w:lang w:val="en-GB"/>
                <w14:ligatures w14:val="none"/>
              </w:rPr>
              <w:t>)</w:t>
            </w:r>
          </w:p>
          <w:p w14:paraId="6EE6F73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3.059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2.660</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3.518</w:t>
            </w:r>
            <w:r w:rsidRPr="0056549D">
              <w:rPr>
                <w:rFonts w:ascii="Times New Roman" w:eastAsia="Times New Roman" w:hAnsi="Times New Roman" w:cs="Times New Roman"/>
                <w:color w:val="000000"/>
                <w:kern w:val="0"/>
                <w:bdr w:val="none" w:sz="0" w:space="0" w:color="auto" w:frame="1"/>
                <w:lang w:val="en-GB"/>
                <w14:ligatures w14:val="none"/>
              </w:rPr>
              <w:t>)</w:t>
            </w:r>
          </w:p>
          <w:p w14:paraId="2DA7F39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4.117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3.525</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4.807</w:t>
            </w:r>
          </w:p>
        </w:tc>
        <w:tc>
          <w:tcPr>
            <w:tcW w:w="1497" w:type="dxa"/>
          </w:tcPr>
          <w:p w14:paraId="1F38E19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34586</w:t>
            </w:r>
          </w:p>
          <w:p w14:paraId="6434243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298" w:type="dxa"/>
          </w:tcPr>
          <w:p w14:paraId="3F5F410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34603</w:t>
            </w:r>
          </w:p>
          <w:p w14:paraId="444F8A75"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0" w:type="dxa"/>
          </w:tcPr>
          <w:p w14:paraId="3A7F723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0.604</w:t>
            </w:r>
          </w:p>
          <w:p w14:paraId="464D54F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1FC0546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0.60</w:t>
            </w:r>
            <w:r w:rsidRPr="0056549D">
              <w:rPr>
                <w:rFonts w:ascii="Times New Roman" w:eastAsia="Times New Roman" w:hAnsi="Times New Roman" w:cs="Times New Roman"/>
                <w:color w:val="000000"/>
                <w:kern w:val="0"/>
                <w:bdr w:val="none" w:sz="0" w:space="0" w:color="auto" w:frame="1"/>
                <w:lang w:val="en-GB"/>
                <w14:ligatures w14:val="none"/>
              </w:rPr>
              <w:t>3</w:t>
            </w:r>
          </w:p>
          <w:p w14:paraId="3073C04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2410" w:type="dxa"/>
          </w:tcPr>
          <w:p w14:paraId="63A32B3E"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DF6AC2">
              <w:rPr>
                <w:rFonts w:ascii="Times New Roman" w:eastAsia="Times New Roman" w:hAnsi="Times New Roman" w:cs="Times New Roman"/>
                <w:color w:val="000000"/>
                <w:kern w:val="0"/>
                <w:bdr w:val="none" w:sz="0" w:space="0" w:color="auto" w:frame="1"/>
                <w14:ligatures w14:val="none"/>
              </w:rPr>
              <w:t>0.638 (0.628; 0.648)</w:t>
            </w:r>
          </w:p>
          <w:p w14:paraId="05BEDB1E" w14:textId="77777777" w:rsidR="00854395" w:rsidRPr="00DF6AC2"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highlight w:val="yellow"/>
                <w:lang w:val="en-GB"/>
              </w:rPr>
            </w:pPr>
          </w:p>
        </w:tc>
        <w:tc>
          <w:tcPr>
            <w:tcW w:w="2799" w:type="dxa"/>
          </w:tcPr>
          <w:p w14:paraId="05E8CF77" w14:textId="77777777" w:rsidR="00854395" w:rsidRPr="00C841E1"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C841E1">
              <w:rPr>
                <w:rFonts w:ascii="Times New Roman" w:eastAsia="Times New Roman" w:hAnsi="Times New Roman" w:cs="Times New Roman"/>
                <w:color w:val="000000"/>
                <w:kern w:val="0"/>
                <w:bdr w:val="none" w:sz="0" w:space="0" w:color="auto" w:frame="1"/>
                <w14:ligatures w14:val="none"/>
              </w:rPr>
              <w:t xml:space="preserve">-0.046 </w:t>
            </w:r>
            <w:r w:rsidRPr="00DF6AC2">
              <w:rPr>
                <w:rFonts w:ascii="Times New Roman" w:eastAsia="Times New Roman" w:hAnsi="Times New Roman" w:cs="Times New Roman"/>
                <w:color w:val="000000"/>
                <w:kern w:val="0"/>
                <w:bdr w:val="none" w:sz="0" w:space="0" w:color="auto" w:frame="1"/>
                <w14:ligatures w14:val="none"/>
              </w:rPr>
              <w:t>(</w:t>
            </w:r>
            <w:r w:rsidRPr="00C841E1">
              <w:rPr>
                <w:rFonts w:ascii="Times New Roman" w:eastAsia="Times New Roman" w:hAnsi="Times New Roman" w:cs="Times New Roman"/>
                <w:color w:val="000000"/>
                <w:kern w:val="0"/>
                <w:bdr w:val="none" w:sz="0" w:space="0" w:color="auto" w:frame="1"/>
                <w14:ligatures w14:val="none"/>
              </w:rPr>
              <w:t>-0.052</w:t>
            </w:r>
            <w:r w:rsidRPr="00DF6AC2">
              <w:rPr>
                <w:rFonts w:ascii="Times New Roman" w:eastAsia="Times New Roman" w:hAnsi="Times New Roman" w:cs="Times New Roman"/>
                <w:color w:val="000000"/>
                <w:kern w:val="0"/>
                <w:bdr w:val="none" w:sz="0" w:space="0" w:color="auto" w:frame="1"/>
                <w14:ligatures w14:val="none"/>
              </w:rPr>
              <w:t xml:space="preserve">; </w:t>
            </w:r>
            <w:r w:rsidRPr="00C841E1">
              <w:rPr>
                <w:rFonts w:ascii="Times New Roman" w:eastAsia="Times New Roman" w:hAnsi="Times New Roman" w:cs="Times New Roman"/>
                <w:color w:val="000000"/>
                <w:kern w:val="0"/>
                <w:bdr w:val="none" w:sz="0" w:space="0" w:color="auto" w:frame="1"/>
                <w14:ligatures w14:val="none"/>
              </w:rPr>
              <w:t>-0.039</w:t>
            </w:r>
            <w:r w:rsidRPr="00DF6AC2">
              <w:rPr>
                <w:rFonts w:ascii="Times New Roman" w:eastAsia="Times New Roman" w:hAnsi="Times New Roman" w:cs="Times New Roman"/>
                <w:color w:val="000000"/>
                <w:kern w:val="0"/>
                <w:bdr w:val="none" w:sz="0" w:space="0" w:color="auto" w:frame="1"/>
                <w14:ligatures w14:val="none"/>
              </w:rPr>
              <w:t>)</w:t>
            </w:r>
          </w:p>
          <w:p w14:paraId="4F6BB93C" w14:textId="77777777" w:rsidR="00854395" w:rsidRPr="00DF6AC2"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highlight w:val="yellow"/>
                <w:lang w:val="en-GB"/>
              </w:rPr>
            </w:pPr>
          </w:p>
        </w:tc>
      </w:tr>
      <w:tr w:rsidR="00854395" w:rsidRPr="0056549D" w14:paraId="48DF4E93" w14:textId="77777777" w:rsidTr="009769B2">
        <w:trPr>
          <w:trHeight w:val="274"/>
        </w:trPr>
        <w:tc>
          <w:tcPr>
            <w:cnfStyle w:val="001000000000" w:firstRow="0" w:lastRow="0" w:firstColumn="1" w:lastColumn="0" w:oddVBand="0" w:evenVBand="0" w:oddHBand="0" w:evenHBand="0" w:firstRowFirstColumn="0" w:firstRowLastColumn="0" w:lastRowFirstColumn="0" w:lastRowLastColumn="0"/>
            <w:tcW w:w="1402" w:type="dxa"/>
          </w:tcPr>
          <w:p w14:paraId="18F6E899"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Modified 3-factor Model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{"citationItems":[{"id":"ITEM-1","itemData":{"abstract":"Several revisions of International Prognostic Index (IPI) have been proposed for patients with diffuse large B-cell lymphoma (DLBCL) after the introduction of rituximab. Expanding evidence suggests that baseline absolute lymphocyte count (ALC) is also an independent factor for outcome prediction. We investigated the optimal prognostic model for these patients in the rituximab era. The study enrolled 274 consecutive patients with DLBCL receiving first-line cyclophosphamide, doxorubicin, vincristine, and prednisone based chemotherapy with rituximab between 2003 and 2009. Five factors within IPI and ALC were entered for Cox regression analysis. Overall survival (OS) and progression-free survival were calculated for different risk groups of models. Efficacy of models was compared by the value of Akaike information criterion (AIC). Revised IPI (R-IPI) and ALC/R-IPI, but not IPI, were informative to discriminate between different risk groups. In multivariate analysis for individual factors of the prognostic models, performance status &gt;1 [odds ratio (OR) 3.59], Ann Arbor stage III or IV (OR 2.24), and ALC &lt;1 × 10⁹/L (OR, 2.75) remained significant. Another modified score based on the three factors divided patients into four risk groups and the 3-year OS rate was 93, 77, 39, and 13 %, respectively. By comparing AIC values in the Cox proportional hazards model, the modified three-factor model was the superior prognostic model followed by established ALC/R-IPI, R-IPI, and standard IPI. In conclusion, the addition of the novel factor, ALC, interacts with other established factors in outcome prediction for DLBCL. Development of a new score is needed for a better risk stratification in the rituximab era and would be helpful in the design of future clinical trials. The proposed three-factor model should be validated in large-scale studies.","author":[{"dropping-particle":"","family":"Huang","given":"Yu-Chung","non-dropping-particle":"","parse-names":false,"suffix":""},{"dropping-particle":"","family":"Liu","given":"Chun-Yu","non-dropping-particle":"","parse-names":false,"suffix":""},{"dropping-particle":"","family":"Lu","given":"Hsueh-Ju","non-dropping-particle":"","parse-names":false,"suffix":""},{"dropping-particle":"","family":"Liu","given":"Han-Tsung","non-dropping-particle":"","parse-names":false,"suffix":""},{"dropping-particle":"","family":"Hung","given":"Man-Hsin","non-dropping-particle":"","parse-names":false,"suffix":""},{"dropping-particle":"","family":"Hong","given":"Ying-Chung","non-dropping-particle":"","parse-names":false,"suffix":""},{"dropping-particle":"","family":"Hsiao","given":"Liang-Tsai","non-dropping-particle":"","parse-names":false,"suffix":""},{"dropping-particle":"","family":"Gau","given":"Jyh-Pyng","non-dropping-particle":"","parse-names":false,"suffix":""},{"dropping-particle":"","family":"Liu","given":"Jin-Hwang","non-dropping-particle":"","parse-names":false,"suffix":""},{"dropping-particle":"","family":"Hsu","given":"Hui-Chi","non-dropping-particle":"","parse-names":false,"suffix":""},{"dropping-particle":"","family":"Chiou","given":"Tzeon-Jye","non-dropping-particle":"","parse-names":false,"suffix":""},{"dropping-particle":"","family":"Chen","given":"Po-Min","non-dropping-particle":"","parse-names":false,"suffix":""},{"dropping-particle":"","family":"Tzeng","given":"Cheng-Hwai","non-dropping-particle":"","parse-names":false,"suffix":""},{"dropping-particle":"","family":"Yu","given":"Yuan-Bin","non-dropping-particle":"","parse-names":false,"suffix":""}],"container-title":"Annals of Hematology","id":"ITEM-1","issue":"11","issued":{"date-parts":[["2013","11","18"]]},"page":"1513-1520","title":"Comparison of prognostic models for patients with diffuse large B-cell lymphoma in the rituximab era","type":"article-journal","volume":"92"},"uris":["http://www.mendeley.com/documents/?uuid=830dc01d-6af9-3a67-bf95-58992d0391fa"]}],"mendeley":{"formattedCitation":"&lt;sup&gt;29&lt;/sup&gt;","plainTextFormattedCitation":"29","previouslyFormattedCitation":"(Huang et al., 2013)"},"properties":{"noteIndex":0},"schema":"https://github.com/citation-style-language/schema/raw/master/csl-citation.json"}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29</w:t>
            </w:r>
            <w:r w:rsidRPr="0056549D">
              <w:rPr>
                <w:rFonts w:ascii="Times New Roman" w:hAnsi="Times New Roman" w:cs="Times New Roman"/>
                <w:lang w:val="en-GB"/>
              </w:rPr>
              <w:fldChar w:fldCharType="end"/>
            </w:r>
          </w:p>
        </w:tc>
        <w:tc>
          <w:tcPr>
            <w:tcW w:w="3081" w:type="dxa"/>
          </w:tcPr>
          <w:p w14:paraId="5345F771"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3E329D4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1.890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1.663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2.148</w:t>
            </w:r>
            <w:r w:rsidRPr="0056549D">
              <w:rPr>
                <w:rFonts w:ascii="Times New Roman" w:eastAsia="Times New Roman" w:hAnsi="Times New Roman" w:cs="Times New Roman"/>
                <w:color w:val="000000"/>
                <w:kern w:val="0"/>
                <w:bdr w:val="none" w:sz="0" w:space="0" w:color="auto" w:frame="1"/>
                <w:lang w:val="en-GB"/>
                <w14:ligatures w14:val="none"/>
              </w:rPr>
              <w:t>)</w:t>
            </w:r>
          </w:p>
          <w:p w14:paraId="36C907A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2.828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2.484</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3.221</w:t>
            </w:r>
            <w:r w:rsidRPr="0056549D">
              <w:rPr>
                <w:rFonts w:ascii="Times New Roman" w:eastAsia="Times New Roman" w:hAnsi="Times New Roman" w:cs="Times New Roman"/>
                <w:color w:val="000000"/>
                <w:kern w:val="0"/>
                <w:bdr w:val="none" w:sz="0" w:space="0" w:color="auto" w:frame="1"/>
                <w:lang w:val="en-GB"/>
                <w14:ligatures w14:val="none"/>
              </w:rPr>
              <w:t>)</w:t>
            </w:r>
          </w:p>
          <w:p w14:paraId="5937A7D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4.841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4.112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5.698</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472E23C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34561</w:t>
            </w:r>
          </w:p>
          <w:p w14:paraId="501FE9ED"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8" w:type="dxa"/>
          </w:tcPr>
          <w:p w14:paraId="735E185D"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34578</w:t>
            </w:r>
          </w:p>
          <w:p w14:paraId="7BD99DDE"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0" w:type="dxa"/>
          </w:tcPr>
          <w:p w14:paraId="668A580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0.61</w:t>
            </w:r>
            <w:r w:rsidRPr="0056549D">
              <w:rPr>
                <w:rFonts w:ascii="Times New Roman" w:eastAsia="Times New Roman" w:hAnsi="Times New Roman" w:cs="Times New Roman"/>
                <w:color w:val="000000"/>
                <w:kern w:val="0"/>
                <w:bdr w:val="none" w:sz="0" w:space="0" w:color="auto" w:frame="1"/>
                <w:lang w:val="en-GB"/>
                <w14:ligatures w14:val="none"/>
              </w:rPr>
              <w:t>6</w:t>
            </w:r>
          </w:p>
          <w:p w14:paraId="6460645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60F6C00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0.603</w:t>
            </w:r>
          </w:p>
          <w:p w14:paraId="75321652"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1D8F4E10"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lang w:val="en-GB"/>
                <w14:ligatures w14:val="none"/>
              </w:rPr>
            </w:pPr>
            <w:r w:rsidRPr="00DF6AC2">
              <w:rPr>
                <w:rFonts w:ascii="Times New Roman" w:eastAsia="Times New Roman" w:hAnsi="Times New Roman" w:cs="Times New Roman"/>
                <w:kern w:val="0"/>
                <w:bdr w:val="none" w:sz="0" w:space="0" w:color="auto" w:frame="1"/>
                <w14:ligatures w14:val="none"/>
              </w:rPr>
              <w:t xml:space="preserve">0.642 </w:t>
            </w:r>
            <w:r w:rsidRPr="00DF6AC2">
              <w:rPr>
                <w:rFonts w:ascii="Times New Roman" w:eastAsia="Times New Roman" w:hAnsi="Times New Roman" w:cs="Times New Roman"/>
                <w:kern w:val="0"/>
                <w:bdr w:val="none" w:sz="0" w:space="0" w:color="auto" w:frame="1"/>
                <w:lang w:val="en-GB"/>
                <w14:ligatures w14:val="none"/>
              </w:rPr>
              <w:t>(</w:t>
            </w:r>
            <w:r w:rsidRPr="00DF6AC2">
              <w:rPr>
                <w:rFonts w:ascii="Times New Roman" w:eastAsia="Times New Roman" w:hAnsi="Times New Roman" w:cs="Times New Roman"/>
                <w:kern w:val="0"/>
                <w:bdr w:val="none" w:sz="0" w:space="0" w:color="auto" w:frame="1"/>
                <w14:ligatures w14:val="none"/>
              </w:rPr>
              <w:t>0.630</w:t>
            </w:r>
            <w:r w:rsidRPr="00DF6AC2">
              <w:rPr>
                <w:rFonts w:ascii="Times New Roman" w:eastAsia="Times New Roman" w:hAnsi="Times New Roman" w:cs="Times New Roman"/>
                <w:kern w:val="0"/>
                <w:bdr w:val="none" w:sz="0" w:space="0" w:color="auto" w:frame="1"/>
                <w:lang w:val="en-GB"/>
                <w14:ligatures w14:val="none"/>
              </w:rPr>
              <w:t>;</w:t>
            </w:r>
            <w:r w:rsidRPr="00DF6AC2">
              <w:rPr>
                <w:rFonts w:ascii="Times New Roman" w:eastAsia="Times New Roman" w:hAnsi="Times New Roman" w:cs="Times New Roman"/>
                <w:kern w:val="0"/>
                <w:bdr w:val="none" w:sz="0" w:space="0" w:color="auto" w:frame="1"/>
                <w14:ligatures w14:val="none"/>
              </w:rPr>
              <w:t xml:space="preserve"> 0.655</w:t>
            </w:r>
            <w:r w:rsidRPr="00DF6AC2">
              <w:rPr>
                <w:rFonts w:ascii="Times New Roman" w:eastAsia="Times New Roman" w:hAnsi="Times New Roman" w:cs="Times New Roman"/>
                <w:kern w:val="0"/>
                <w:bdr w:val="none" w:sz="0" w:space="0" w:color="auto" w:frame="1"/>
                <w:lang w:val="en-GB"/>
                <w14:ligatures w14:val="none"/>
              </w:rPr>
              <w:t>)</w:t>
            </w:r>
          </w:p>
          <w:p w14:paraId="1DB28279"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p>
          <w:p w14:paraId="64441A72"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799" w:type="dxa"/>
          </w:tcPr>
          <w:p w14:paraId="23B773FD"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r w:rsidRPr="00DF6AC2">
              <w:rPr>
                <w:rFonts w:ascii="Times New Roman" w:eastAsia="Times New Roman" w:hAnsi="Times New Roman" w:cs="Times New Roman"/>
                <w:kern w:val="0"/>
                <w:bdr w:val="none" w:sz="0" w:space="0" w:color="auto" w:frame="1"/>
                <w14:ligatures w14:val="none"/>
              </w:rPr>
              <w:t xml:space="preserve">-0.041 </w:t>
            </w:r>
            <w:r w:rsidRPr="00DF6AC2">
              <w:rPr>
                <w:rFonts w:ascii="Times New Roman" w:eastAsia="Times New Roman" w:hAnsi="Times New Roman" w:cs="Times New Roman"/>
                <w:kern w:val="0"/>
                <w:bdr w:val="none" w:sz="0" w:space="0" w:color="auto" w:frame="1"/>
                <w:lang w:val="en-GB"/>
                <w14:ligatures w14:val="none"/>
              </w:rPr>
              <w:t>(</w:t>
            </w:r>
            <w:r w:rsidRPr="00DF6AC2">
              <w:rPr>
                <w:rFonts w:ascii="Times New Roman" w:eastAsia="Times New Roman" w:hAnsi="Times New Roman" w:cs="Times New Roman"/>
                <w:kern w:val="0"/>
                <w:bdr w:val="none" w:sz="0" w:space="0" w:color="auto" w:frame="1"/>
                <w14:ligatures w14:val="none"/>
              </w:rPr>
              <w:t>-0.049</w:t>
            </w:r>
            <w:r w:rsidRPr="00DF6AC2">
              <w:rPr>
                <w:rFonts w:ascii="Times New Roman" w:eastAsia="Times New Roman" w:hAnsi="Times New Roman" w:cs="Times New Roman"/>
                <w:kern w:val="0"/>
                <w:bdr w:val="none" w:sz="0" w:space="0" w:color="auto" w:frame="1"/>
                <w:lang w:val="en-GB"/>
                <w14:ligatures w14:val="none"/>
              </w:rPr>
              <w:t>; -</w:t>
            </w:r>
            <w:r w:rsidRPr="00DF6AC2">
              <w:rPr>
                <w:rFonts w:ascii="Times New Roman" w:eastAsia="Times New Roman" w:hAnsi="Times New Roman" w:cs="Times New Roman"/>
                <w:kern w:val="0"/>
                <w:bdr w:val="none" w:sz="0" w:space="0" w:color="auto" w:frame="1"/>
                <w14:ligatures w14:val="none"/>
              </w:rPr>
              <w:t>0.033</w:t>
            </w:r>
            <w:r w:rsidRPr="00DF6AC2">
              <w:rPr>
                <w:rFonts w:ascii="Times New Roman" w:eastAsia="Times New Roman" w:hAnsi="Times New Roman" w:cs="Times New Roman"/>
                <w:kern w:val="0"/>
                <w:bdr w:val="none" w:sz="0" w:space="0" w:color="auto" w:frame="1"/>
                <w:lang w:val="en-GB"/>
                <w14:ligatures w14:val="none"/>
              </w:rPr>
              <w:t>)</w:t>
            </w:r>
          </w:p>
          <w:p w14:paraId="4FE96BF4"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854395" w:rsidRPr="00703679" w14:paraId="6ADE2E03" w14:textId="77777777" w:rsidTr="009769B2">
        <w:trPr>
          <w:gridAfter w:val="3"/>
          <w:cnfStyle w:val="000000100000" w:firstRow="0" w:lastRow="0" w:firstColumn="0" w:lastColumn="0" w:oddVBand="0" w:evenVBand="0" w:oddHBand="1" w:evenHBand="0" w:firstRowFirstColumn="0" w:firstRowLastColumn="0" w:lastRowFirstColumn="0" w:lastRowLastColumn="0"/>
          <w:wAfter w:w="6390" w:type="dxa"/>
          <w:trHeight w:val="274"/>
        </w:trPr>
        <w:tc>
          <w:tcPr>
            <w:cnfStyle w:val="001000000000" w:firstRow="0" w:lastRow="0" w:firstColumn="1" w:lastColumn="0" w:oddVBand="0" w:evenVBand="0" w:oddHBand="0" w:evenHBand="0" w:firstRowFirstColumn="0" w:firstRowLastColumn="0" w:lastRowFirstColumn="0" w:lastRowLastColumn="0"/>
            <w:tcW w:w="8458" w:type="dxa"/>
            <w:gridSpan w:val="5"/>
          </w:tcPr>
          <w:p w14:paraId="39D63C90"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lastRenderedPageBreak/>
              <w:t>Models with three-risk groups</w:t>
            </w:r>
          </w:p>
        </w:tc>
      </w:tr>
      <w:tr w:rsidR="00854395" w:rsidRPr="0056549D" w14:paraId="01FB9395" w14:textId="77777777" w:rsidTr="009769B2">
        <w:trPr>
          <w:trHeight w:val="274"/>
        </w:trPr>
        <w:tc>
          <w:tcPr>
            <w:cnfStyle w:val="001000000000" w:firstRow="0" w:lastRow="0" w:firstColumn="1" w:lastColumn="0" w:oddVBand="0" w:evenVBand="0" w:oddHBand="0" w:evenHBand="0" w:firstRowFirstColumn="0" w:firstRowLastColumn="0" w:lastRowFirstColumn="0" w:lastRowLastColumn="0"/>
            <w:tcW w:w="1402" w:type="dxa"/>
          </w:tcPr>
          <w:p w14:paraId="689810CA"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R-IPI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{"citationItems":[{"id":"ITEM-1","itemData":{"abstract":"Diffuse large B-cell lymphoma (DLBCL) is a heterogeneous entity, with patients exhibiting a wide range of outcomes. The addition of rituximab to CHOP chemotherapy (R-CHOP)has led to a marked improvement in survival and has called into question the significance of previously recognized prognostic markers. Since randomized controlled trials of R-CHOP in DLBCL have included select subgroups of patients, the utility of the International Prognostic Index (IPI) has not been reassessed. We performed a retrospective analysis of patients with DLBCL treated with R-CHOP in the province of British Columbia to assess the value of the IPI in the era of immunochemotherapy. The IPI remains predictive, but it identifies only 2 risk groups. Redistribution of the IPI factors into a revised IPI (R-IPI) provides a more clinically useful prediction of outcome. The R-IPI identifies 3 distinct prognostic groups with a very good (4-year progression-free survival [PFS] 94%, overall survival [OS] 94%), good (4-year PFS 80%, OS 79%), and poor (4-year PFS 53%, OS 55%) outcome, respectively (P &lt; .001). The IPI (or R-IPI) no longer identifies a risk group with less than a 50% chance of survival. In the era of R-CHOP treatment, the R-IPI is a clinically useful prognostic index that may help guide treatment planning and interpretation of clinical trials.","author":[{"dropping-particle":"","family":"Sehn","given":"Laurie H","non-dropping-particle":"","parse-names":false,"suffix":""},{"dropping-particle":"","family":"Berry","given":"Brian","non-dropping-particle":"","parse-names":false,"suffix":""},{"dropping-particle":"","family":"Chhanabhai","given":"Mukesh","non-dropping-particle":"","parse-names":false,"suffix":""},{"dropping-particle":"","family":"Fitzgerald","given":"Catherine","non-dropping-particle":"","parse-names":false,"suffix":""},{"dropping-particle":"","family":"Gill","given":"Karamjit","non-dropping-particle":"","parse-names":false,"suffix":""},{"dropping-particle":"","family":"Hoskins","given":"Paul","non-dropping-particle":"","parse-names":false,"suffix":""},{"dropping-particle":"","family":"Klasa","given":"Richard","non-dropping-particle":"","parse-names":false,"suffix":""},{"dropping-particle":"","family":"Savage","given":"Kerry J","non-dropping-particle":"","parse-names":false,"suffix":""},{"dropping-particle":"","family":"Shenkier","given":"Tamara","non-dropping-particle":"","parse-names":false,"suffix":""},{"dropping-particle":"","family":"Sutherland","given":"Judy","non-dropping-particle":"","parse-names":false,"suffix":""},{"dropping-particle":"","family":"Gascoyne","given":"Randy D","non-dropping-particle":"","parse-names":false,"suffix":""},{"dropping-particle":"","family":"Connors","given":"Joseph M","non-dropping-particle":"","parse-names":false,"suffix":""}],"container-title":"Blood","id":"ITEM-1","issue":"5","issued":{"date-parts":[["2007","3","1"]]},"page":"1857-61","title":"The revised International Prognostic Index (R-IPI) is a better predictor of outcome than the standard IPI for patients with diffuse large B-cell lymphoma treated with R-CHOP.","type":"article-journal","volume":"109"},"uris":["http://www.mendeley.com/documents/?uuid=d8e87030-952e-4547-afcf-8faa5d3095a2"]}],"mendeley":{"formattedCitation":"&lt;sup&gt;7&lt;/sup&gt;","plainTextFormattedCitation":"7","previouslyFormattedCitation":"(Sehn et al., 2007)"},"properties":{"noteIndex":0},"schema":"https://github.com/citation-style-language/schema/raw/master/csl-citation.json"}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7</w:t>
            </w:r>
            <w:r w:rsidRPr="0056549D">
              <w:rPr>
                <w:rFonts w:ascii="Times New Roman" w:hAnsi="Times New Roman" w:cs="Times New Roman"/>
                <w:lang w:val="en-GB"/>
              </w:rPr>
              <w:fldChar w:fldCharType="end"/>
            </w:r>
          </w:p>
        </w:tc>
        <w:tc>
          <w:tcPr>
            <w:tcW w:w="3081" w:type="dxa"/>
          </w:tcPr>
          <w:p w14:paraId="2CC8FE36"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35CD158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6.693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4.382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10.23</w:t>
            </w:r>
            <w:r w:rsidRPr="0056549D">
              <w:rPr>
                <w:rFonts w:ascii="Times New Roman" w:eastAsia="Times New Roman" w:hAnsi="Times New Roman" w:cs="Times New Roman"/>
                <w:color w:val="000000"/>
                <w:kern w:val="0"/>
                <w:bdr w:val="none" w:sz="0" w:space="0" w:color="auto" w:frame="1"/>
                <w:lang w:val="en-GB"/>
                <w14:ligatures w14:val="none"/>
              </w:rPr>
              <w:t>0)</w:t>
            </w:r>
          </w:p>
          <w:p w14:paraId="17BF2FC3"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14.228</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9.334</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21.69</w:t>
            </w:r>
            <w:r w:rsidRPr="0056549D">
              <w:rPr>
                <w:rFonts w:ascii="Times New Roman" w:eastAsia="Times New Roman" w:hAnsi="Times New Roman" w:cs="Times New Roman"/>
                <w:color w:val="000000"/>
                <w:kern w:val="0"/>
                <w:bdr w:val="none" w:sz="0" w:space="0" w:color="auto" w:frame="1"/>
                <w:lang w:val="en-GB"/>
                <w14:ligatures w14:val="none"/>
              </w:rPr>
              <w:t>0)</w:t>
            </w:r>
          </w:p>
        </w:tc>
        <w:tc>
          <w:tcPr>
            <w:tcW w:w="1497" w:type="dxa"/>
          </w:tcPr>
          <w:p w14:paraId="1C981845"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34424</w:t>
            </w:r>
          </w:p>
          <w:p w14:paraId="11E7CD09"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8" w:type="dxa"/>
          </w:tcPr>
          <w:p w14:paraId="04B18E1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3443</w:t>
            </w:r>
            <w:r w:rsidRPr="0056549D">
              <w:rPr>
                <w:rFonts w:ascii="Times New Roman" w:eastAsia="Times New Roman" w:hAnsi="Times New Roman" w:cs="Times New Roman"/>
                <w:color w:val="000000"/>
                <w:kern w:val="0"/>
                <w:bdr w:val="none" w:sz="0" w:space="0" w:color="auto" w:frame="1"/>
                <w:lang w:val="en-GB"/>
                <w14:ligatures w14:val="none"/>
              </w:rPr>
              <w:t>6</w:t>
            </w:r>
          </w:p>
          <w:p w14:paraId="2AA3D3B4"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0" w:type="dxa"/>
          </w:tcPr>
          <w:p w14:paraId="69FD7CB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0.627</w:t>
            </w:r>
          </w:p>
          <w:p w14:paraId="3CA5D6D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412FBA97"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0.60</w:t>
            </w:r>
            <w:r w:rsidRPr="00A52968">
              <w:rPr>
                <w:rFonts w:ascii="Times New Roman" w:eastAsia="Times New Roman" w:hAnsi="Times New Roman" w:cs="Times New Roman"/>
                <w:kern w:val="0"/>
                <w:bdr w:val="none" w:sz="0" w:space="0" w:color="auto" w:frame="1"/>
                <w:lang w:val="en-GB"/>
                <w14:ligatures w14:val="none"/>
              </w:rPr>
              <w:t>8</w:t>
            </w:r>
          </w:p>
          <w:p w14:paraId="5F160D71"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p>
          <w:p w14:paraId="6C0E990A"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0712118B"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0.638 (0.62</w:t>
            </w:r>
            <w:r>
              <w:rPr>
                <w:rFonts w:ascii="Times New Roman" w:hAnsi="Times New Roman" w:cs="Times New Roman"/>
                <w:lang w:val="en-GB"/>
              </w:rPr>
              <w:t>9</w:t>
            </w:r>
            <w:r w:rsidRPr="00A52968">
              <w:rPr>
                <w:rFonts w:ascii="Times New Roman" w:hAnsi="Times New Roman" w:cs="Times New Roman"/>
                <w:lang w:val="en-GB"/>
              </w:rPr>
              <w:t>; 0.64</w:t>
            </w:r>
            <w:r>
              <w:rPr>
                <w:rFonts w:ascii="Times New Roman" w:hAnsi="Times New Roman" w:cs="Times New Roman"/>
                <w:lang w:val="en-GB"/>
              </w:rPr>
              <w:t>7</w:t>
            </w:r>
            <w:r w:rsidRPr="00A52968">
              <w:rPr>
                <w:rFonts w:ascii="Times New Roman" w:hAnsi="Times New Roman" w:cs="Times New Roman"/>
                <w:lang w:val="en-GB"/>
              </w:rPr>
              <w:t>)</w:t>
            </w:r>
          </w:p>
        </w:tc>
        <w:tc>
          <w:tcPr>
            <w:tcW w:w="2799" w:type="dxa"/>
          </w:tcPr>
          <w:p w14:paraId="5B37AD2E"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-0.046 (-0.052; -0.039)</w:t>
            </w:r>
          </w:p>
        </w:tc>
      </w:tr>
      <w:tr w:rsidR="00854395" w:rsidRPr="0056549D" w14:paraId="5DE8745D" w14:textId="77777777" w:rsidTr="009769B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02" w:type="dxa"/>
          </w:tcPr>
          <w:p w14:paraId="2B5974C0"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Matsumoto Model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{"citationItems":[{"id":"ITEM-1","itemData":{"abstract":"Objective Useful prognostic biomarkers for diffuse large B-cell lymphoma (DLBCL) patients have been reported. To determine the prognostic value of hemoglobin (Hb) level in DLBCL patients, we performed a retrospective study. Materials and Methods We evaluated disease outcome, progression-free survival (PFS), overall survival as the endpoint, and clinical and laboratory factors affecting the outcome of 185 DLBCL patients who had received rituximab, cyclophosphamide, doxorubicin, vincristine, and prednisolone therapy during 2004-2014. Results The study group included 121 men and 64 women with a median age of 66 years minimum-maximum: 21-83 years. In univariate analysis, factors independently associated with worse PFS were Eastern Cooperative Oncology Group performance status ≥2, Ann Arbor stage III or IV, anemia with Hb levels of &lt;10 g/dL, and serum albumin of &lt;3.5 g/dL. In multivariate analysis, anemia with Hb levels of &lt;10 g/dL and Ann Arbor stage III or IV were found to be international index-independent prognostic factors (hazard ratio: 2.4; p=0.04). Conclusion Anemia is an independent prognostic marker of poor outcome in DLBCL patients. Hb can be an easily available prognostic marker for risk stratification in these patients. Amaç Diffüz büyük B hücreli lenfoma (DBBHL) hastaları için yararlı prognostik belirteçler bildirilmiştir. DBBHL hastalarında hemoglobin (Hb) düzeyleri ile prognoz ilişkisini araştırmak amacıyla retrospektif bir çalışma yaptık. Gereç ve Yöntemler 2004-2014 yılları arasında rituksimab, siklofosfamid, doksorubisin, vinkristin ve prednizolon tedavisi almış olan 185 DBBHL hastasının klinik ve laboratuvar bulguları değerlendirildi ve bunların hastalık sonuçlarına, ilerlemesiz sağkalım (PFS) ve toplam sağkalıma (TS) etkileri araştırıldı. Bulgular Araştırma grubunda 121 erkek ve 64 kadın vardı, ortanca yaş 66 yıldı (minimum-maksimum: 21-83 yıl). Tek değişkenli analizde Eastern Cooperative Oncology Group performans durumunun ≥2 olması, Ann Arbor evre III veya IV olması ve Hb değerinin &lt;10 g/dL ile anemi olması PFS ve TS’yi etkileyen bağımsız değişkenler olarak bulundu. Çok değişkenli analizde ise Hb değerinin &lt;10 g/dL ile anemi ve Ann Arbor evre III veya IV olması uluslararası indeks-bağımsız prognostik faktörler olarak bulundu (Hazard ratio: 2,4; p=0,04). Sonuç Anemi, DLBCL hastalarında kötü sonuçların bağımsız prognostik bir göstergesidir. Hb, bu hastalarda risk sınıflandırması için kolayca bulunabilen bir prognostik belirteç olabilir.","author":[{"dropping-particle":"","family":"Matsumoto","given":"Kenji","non-dropping-particle":"","parse-names":false,"suffix":""},{"dropping-particle":"","family":"Fujisawa","given":"Shin","non-dropping-particle":"","parse-names":false,"suffix":""},{"dropping-particle":"","family":"Ando","given":"Taiki","non-dropping-particle":"","parse-names":false,"suffix":""},{"dropping-particle":"","family":"Koyama","given":"Megumi","non-dropping-particle":"","parse-names":false,"suffix":""},{"dropping-particle":"","family":"Koyama","given":"Satoshi","non-dropping-particle":"","parse-names":false,"suffix":""},{"dropping-particle":"","family":"Ishii","given":"Yoshimi","non-dropping-particle":"","parse-names":false,"suffix":""},{"dropping-particle":"","family":"Numata","given":"Ayumi","non-dropping-particle":"","parse-names":false,"suffix":""},{"dropping-particle":"","family":"Yamamoto","given":"Wataru","non-dropping-particle":"","parse-names":false,"suffix":""},{"dropping-particle":"","family":"Motohashi","given":"Kenji","non-dropping-particle":"","parse-names":false,"suffix":""},{"dropping-particle":"","family":"Hagihara","given":"Maki","non-dropping-particle":"","parse-names":false,"suffix":""},{"dropping-particle":"","family":"Nakajima","given":"Hideaki","non-dropping-particle":"","parse-names":false,"suffix":""}],"container-title":"Turkish journal of haematology : official journal of Turkish Society of Haematology","id":"ITEM-1","issue":"3","issued":{"date-parts":[["2018","3","3"]]},"page":"181-184","title":"Anemia Associated with Worse Outcome in Diffuse Large B-Cell Lymphoma Patients: A Single-Center Retrospective Study","type":"article-journal","volume":"35"},"uris":["http://www.mendeley.com/documents/?uuid=1b98be03-db96-3d56-8adc-32c55818be9a"]}],"mendeley":{"formattedCitation":"&lt;sup&gt;33&lt;/sup&gt;","plainTextFormattedCitation":"33","previouslyFormattedCitation":"(Matsumoto et al., 2018)"},"properties":{"noteIndex":0},"schema":"https://github.com/citation-style-language/schema/raw/master/csl-citation.json"}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33</w:t>
            </w:r>
            <w:r w:rsidRPr="0056549D">
              <w:rPr>
                <w:rFonts w:ascii="Times New Roman" w:hAnsi="Times New Roman" w:cs="Times New Roman"/>
                <w:lang w:val="en-GB"/>
              </w:rPr>
              <w:fldChar w:fldCharType="end"/>
            </w:r>
          </w:p>
        </w:tc>
        <w:tc>
          <w:tcPr>
            <w:tcW w:w="3081" w:type="dxa"/>
          </w:tcPr>
          <w:p w14:paraId="21E0B761"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44E7D59C"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1.831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1.651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2.030</w:t>
            </w:r>
            <w:r w:rsidRPr="0056549D">
              <w:rPr>
                <w:rFonts w:ascii="Times New Roman" w:eastAsia="Times New Roman" w:hAnsi="Times New Roman" w:cs="Times New Roman"/>
                <w:color w:val="000000"/>
                <w:kern w:val="0"/>
                <w:bdr w:val="none" w:sz="0" w:space="0" w:color="auto" w:frame="1"/>
                <w:lang w:val="en-GB"/>
                <w14:ligatures w14:val="none"/>
              </w:rPr>
              <w:t>)</w:t>
            </w:r>
          </w:p>
          <w:p w14:paraId="0CFAA58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2.862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2.483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3.299</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06ADF0F0"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34758</w:t>
            </w:r>
          </w:p>
          <w:p w14:paraId="5A00CB14"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8" w:type="dxa"/>
          </w:tcPr>
          <w:p w14:paraId="6B7B985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347</w:t>
            </w:r>
            <w:r w:rsidRPr="0056549D">
              <w:rPr>
                <w:rFonts w:ascii="Times New Roman" w:eastAsia="Times New Roman" w:hAnsi="Times New Roman" w:cs="Times New Roman"/>
                <w:color w:val="000000"/>
                <w:kern w:val="0"/>
                <w:bdr w:val="none" w:sz="0" w:space="0" w:color="auto" w:frame="1"/>
                <w:lang w:val="en-GB"/>
                <w14:ligatures w14:val="none"/>
              </w:rPr>
              <w:t>70</w:t>
            </w:r>
          </w:p>
          <w:p w14:paraId="7F8FB517"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80" w:type="dxa"/>
          </w:tcPr>
          <w:p w14:paraId="472326D2"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0.582</w:t>
            </w:r>
          </w:p>
          <w:p w14:paraId="2A951CAF"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357A299C"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14:ligatures w14:val="none"/>
              </w:rPr>
            </w:pPr>
            <w:r w:rsidRPr="00A52968">
              <w:rPr>
                <w:rFonts w:ascii="Times New Roman" w:eastAsia="Times New Roman" w:hAnsi="Times New Roman" w:cs="Times New Roman"/>
                <w:kern w:val="0"/>
                <w:bdr w:val="none" w:sz="0" w:space="0" w:color="auto" w:frame="1"/>
                <w14:ligatures w14:val="none"/>
              </w:rPr>
              <w:t>0.572</w:t>
            </w:r>
          </w:p>
          <w:p w14:paraId="2A9B1CD1"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tcPr>
          <w:p w14:paraId="1BAD3AEC"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A52968">
              <w:rPr>
                <w:rFonts w:ascii="Times New Roman" w:hAnsi="Times New Roman" w:cs="Times New Roman"/>
                <w:lang w:val="en-GB"/>
              </w:rPr>
              <w:t>0.599 (0.584; 0.613)</w:t>
            </w:r>
          </w:p>
        </w:tc>
        <w:tc>
          <w:tcPr>
            <w:tcW w:w="2799" w:type="dxa"/>
          </w:tcPr>
          <w:p w14:paraId="5FBA1DAA" w14:textId="24D27CCD"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 xml:space="preserve">-0.085 </w:t>
            </w:r>
            <w:r w:rsidRPr="00A52968">
              <w:rPr>
                <w:rFonts w:ascii="Times New Roman" w:eastAsia="Times New Roman" w:hAnsi="Times New Roman" w:cs="Times New Roman"/>
                <w:kern w:val="0"/>
                <w:bdr w:val="none" w:sz="0" w:space="0" w:color="auto" w:frame="1"/>
                <w:lang w:val="en-GB"/>
                <w14:ligatures w14:val="none"/>
              </w:rPr>
              <w:t>(</w:t>
            </w:r>
            <w:r w:rsidRPr="00A52968">
              <w:rPr>
                <w:rFonts w:ascii="Times New Roman" w:eastAsia="Times New Roman" w:hAnsi="Times New Roman" w:cs="Times New Roman"/>
                <w:kern w:val="0"/>
                <w:bdr w:val="none" w:sz="0" w:space="0" w:color="auto" w:frame="1"/>
                <w14:ligatures w14:val="none"/>
              </w:rPr>
              <w:t>-0.097</w:t>
            </w:r>
            <w:r w:rsidRPr="00A52968">
              <w:rPr>
                <w:rFonts w:ascii="Times New Roman" w:eastAsia="Times New Roman" w:hAnsi="Times New Roman" w:cs="Times New Roman"/>
                <w:kern w:val="0"/>
                <w:bdr w:val="none" w:sz="0" w:space="0" w:color="auto" w:frame="1"/>
                <w:lang w:val="en-GB"/>
                <w14:ligatures w14:val="none"/>
              </w:rPr>
              <w:t>;</w:t>
            </w:r>
            <w:r w:rsidR="00703679">
              <w:rPr>
                <w:rFonts w:ascii="Times New Roman" w:eastAsia="Times New Roman" w:hAnsi="Times New Roman" w:cs="Times New Roman"/>
                <w:kern w:val="0"/>
                <w:bdr w:val="none" w:sz="0" w:space="0" w:color="auto" w:frame="1"/>
                <w:lang w:val="en-GB"/>
                <w14:ligatures w14:val="none"/>
              </w:rPr>
              <w:t xml:space="preserve"> </w:t>
            </w:r>
            <w:r w:rsidRPr="00A52968">
              <w:rPr>
                <w:rFonts w:ascii="Times New Roman" w:eastAsia="Times New Roman" w:hAnsi="Times New Roman" w:cs="Times New Roman"/>
                <w:kern w:val="0"/>
                <w:bdr w:val="none" w:sz="0" w:space="0" w:color="auto" w:frame="1"/>
                <w14:ligatures w14:val="none"/>
              </w:rPr>
              <w:t>-0.072</w:t>
            </w:r>
            <w:r w:rsidRPr="00A52968">
              <w:rPr>
                <w:rFonts w:ascii="Times New Roman" w:eastAsia="Times New Roman" w:hAnsi="Times New Roman" w:cs="Times New Roman"/>
                <w:kern w:val="0"/>
                <w:bdr w:val="none" w:sz="0" w:space="0" w:color="auto" w:frame="1"/>
                <w:lang w:val="en-GB"/>
                <w14:ligatures w14:val="none"/>
              </w:rPr>
              <w:t>)</w:t>
            </w:r>
          </w:p>
          <w:p w14:paraId="0210E9DD"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854395" w:rsidRPr="0056549D" w14:paraId="02AAC50B" w14:textId="77777777" w:rsidTr="009769B2">
        <w:trPr>
          <w:trHeight w:val="274"/>
        </w:trPr>
        <w:tc>
          <w:tcPr>
            <w:cnfStyle w:val="001000000000" w:firstRow="0" w:lastRow="0" w:firstColumn="1" w:lastColumn="0" w:oddVBand="0" w:evenVBand="0" w:oddHBand="0" w:evenHBand="0" w:firstRowFirstColumn="0" w:firstRowLastColumn="0" w:lastRowFirstColumn="0" w:lastRowLastColumn="0"/>
            <w:tcW w:w="1402" w:type="dxa"/>
          </w:tcPr>
          <w:p w14:paraId="39C4ECA7"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ALC/R-IPI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prognostic value of absolute lymphocytic count (ALC), has been a recent matter of debate in non-Hodgkin-lymphoma (NHL). We assessed prospectively the value of ALC at diagnosis and also after the completion of immuno-chemotherapy in 101 diffuse-large-B-cell-lymphoma (DLBCL). Analysis of prognostic factors with respect to overall survival (OS), event free survival (EFS) and progression free survival (PFS) was done by two-tailed log-rank test. The ALC cut-off value was calculated as &lt;0.84 x 10(9)/L at diagnosis: this was a strong negative prognostic factor for OS (p = 0.0004), EFS (p &lt; 0.00001) and PFS (p &lt; 0.00001) and in multivariate analysis was independent from the revised-international-prognostic-index (R-IPI). ALC after chemo-immunotherapy was not of prognostic value. As R-IPI and ALC &lt; 0.84 x 10(9)/L, were the factors better discriminating poor prognosis, a new trichotomous score (ALC/R-IPI) was built up: (1) low risk: R-IPI = very good or good and ALC &lt; 0.84 x 10(9)/L; (2) intermediate risk: patients with at least one risk factor (R-IPI = poor or ALC &lt; 0.84 x 10(9)/L). (3) high risk: patients with both risk factors. This new prognostic score was highly significant in univariate analysis for OS (p = 0.0002), EFS (p &lt; 0.00001) and PFS (p &lt; 0.00001). In multivariate analysis ALC/R-IPI was the most predictive factor for OS (OR = 2.954; p = 0.002) and EFS (OR = 2.381; p &lt; 0.00001) and the only predictive factor for PFS (OR = 4.018; p &lt; 0.00001). Our data, show that ALC at diagnosis has a strong prognostic relevance and is independent from the R-IPI. The new score including both values proved the most powerful predictor at multivariate analysis.","author":[{"dropping-particle":"","family":"Cox","given":"Maria Christina","non-dropping-particle":"","parse-names":false,"suffix":""},{"dropping-particle":"","family":"Nofroni","given":"Italo","non-dropping-particle":"","parse-names":false,"suffix":""},{"dropping-particle":"","family":"Ruco","given":"Luigi","non-dropping-particle":"","parse-names":false,"suffix":""},{"dropping-particle":"","family":"Amodeo","given":"Rachele","non-dropping-particle":"","parse-names":false,"suffix":""},{"dropping-particle":"","family":"Ferrari","given":"Antonella","non-dropping-particle":"","parse-names":false,"suffix":""},{"dropping-particle":"","family":"Verde","given":"Giacinto","non-dropping-particle":"La","parse-names":false,"suffix":""},{"dropping-particle":"","family":"Cardelli","given":"Patrizia","non-dropping-particle":"","parse-names":false,"suffix":""},{"dropping-particle":"","family":"Montefusco","given":"Enrico","non-dropping-particle":"","parse-names":false,"suffix":""},{"dropping-particle":"","family":"Conte","given":"Esmeralda","non-dropping-particle":"","parse-names":false,"suffix":""},{"dropping-particle":"","family":"Monarca","given":"Bruno","non-dropping-particle":"","parse-names":false,"suffix":""},{"dropping-particle":"","family":"Aloe-Spiriti","given":"Maria Antonietta","non-dropping-particle":"","parse-names":false,"suffix":""}],"container-title":"Leukemia &amp; Lymphoma","id":"ITEM-1","issue":"9","issued":{"date-parts":[["2008","1"]]},"page":"1745-1751","title":"Low absolute lymphocyte count is a poor prognostic factor in diffuse-large-B-cell-lymphoma","type":"article-journal","volume":"49"},"uris":["http://www.mendeley.com/documents/?uuid=20b7436e-d019-3342-83ee-fc7da461c597"]}],"mendeley":{"formattedCitation":"&lt;sup&gt;28&lt;/sup&gt;","plainTextFormattedCitation":"28","previouslyFormattedCitation":"(Cox et al., 2008)"},"properties":{"noteIndex":0},"schema":"https://github.com/citation-style-language/schema/raw/master/csl-citation.json"}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28</w:t>
            </w:r>
            <w:r w:rsidRPr="0056549D">
              <w:rPr>
                <w:rFonts w:ascii="Times New Roman" w:hAnsi="Times New Roman" w:cs="Times New Roman"/>
                <w:lang w:val="en-GB"/>
              </w:rPr>
              <w:fldChar w:fldCharType="end"/>
            </w:r>
          </w:p>
        </w:tc>
        <w:tc>
          <w:tcPr>
            <w:tcW w:w="3081" w:type="dxa"/>
          </w:tcPr>
          <w:p w14:paraId="52B79D7B"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6921573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2.291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2.079</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2.526</w:t>
            </w:r>
            <w:r w:rsidRPr="0056549D">
              <w:rPr>
                <w:rFonts w:ascii="Times New Roman" w:eastAsia="Times New Roman" w:hAnsi="Times New Roman" w:cs="Times New Roman"/>
                <w:color w:val="000000"/>
                <w:kern w:val="0"/>
                <w:bdr w:val="none" w:sz="0" w:space="0" w:color="auto" w:frame="1"/>
                <w:lang w:val="en-GB"/>
                <w14:ligatures w14:val="none"/>
              </w:rPr>
              <w:t>)</w:t>
            </w:r>
          </w:p>
          <w:p w14:paraId="3F1BC98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2.931</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2.602</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3.302</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280EECC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34575</w:t>
            </w:r>
          </w:p>
          <w:p w14:paraId="5F9E52A0"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298" w:type="dxa"/>
          </w:tcPr>
          <w:p w14:paraId="57D4B72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34586</w:t>
            </w:r>
          </w:p>
          <w:p w14:paraId="1682B2F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p>
          <w:p w14:paraId="2F17EA12"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80" w:type="dxa"/>
          </w:tcPr>
          <w:p w14:paraId="437B8D8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0.611</w:t>
            </w:r>
          </w:p>
          <w:p w14:paraId="75F25254"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6C4D673C"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A52968">
              <w:rPr>
                <w:rFonts w:ascii="Times New Roman" w:eastAsia="Times New Roman" w:hAnsi="Times New Roman" w:cs="Times New Roman"/>
                <w:kern w:val="0"/>
                <w:bdr w:val="none" w:sz="0" w:space="0" w:color="auto" w:frame="1"/>
                <w14:ligatures w14:val="none"/>
              </w:rPr>
              <w:t>0.601</w:t>
            </w:r>
          </w:p>
          <w:p w14:paraId="707E5969"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Pr>
          <w:p w14:paraId="3A3911A6"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52968">
              <w:rPr>
                <w:rFonts w:ascii="Times New Roman" w:hAnsi="Times New Roman" w:cs="Times New Roman"/>
                <w:lang w:val="en-GB"/>
              </w:rPr>
              <w:t>0.635 (0.622; 0.649)</w:t>
            </w:r>
          </w:p>
        </w:tc>
        <w:tc>
          <w:tcPr>
            <w:tcW w:w="2799" w:type="dxa"/>
          </w:tcPr>
          <w:p w14:paraId="3A66D490" w14:textId="3A0A87E9"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 xml:space="preserve">-0.048 </w:t>
            </w:r>
            <w:r w:rsidRPr="00A52968">
              <w:rPr>
                <w:rFonts w:ascii="Times New Roman" w:eastAsia="Times New Roman" w:hAnsi="Times New Roman" w:cs="Times New Roman"/>
                <w:kern w:val="0"/>
                <w:bdr w:val="none" w:sz="0" w:space="0" w:color="auto" w:frame="1"/>
                <w:lang w:val="en-GB"/>
                <w14:ligatures w14:val="none"/>
              </w:rPr>
              <w:t>(</w:t>
            </w:r>
            <w:r w:rsidRPr="00A52968">
              <w:rPr>
                <w:rFonts w:ascii="Times New Roman" w:eastAsia="Times New Roman" w:hAnsi="Times New Roman" w:cs="Times New Roman"/>
                <w:kern w:val="0"/>
                <w:bdr w:val="none" w:sz="0" w:space="0" w:color="auto" w:frame="1"/>
                <w14:ligatures w14:val="none"/>
              </w:rPr>
              <w:t>-0.058</w:t>
            </w:r>
            <w:r w:rsidRPr="00A52968">
              <w:rPr>
                <w:rFonts w:ascii="Times New Roman" w:eastAsia="Times New Roman" w:hAnsi="Times New Roman" w:cs="Times New Roman"/>
                <w:kern w:val="0"/>
                <w:bdr w:val="none" w:sz="0" w:space="0" w:color="auto" w:frame="1"/>
                <w:lang w:val="en-GB"/>
                <w14:ligatures w14:val="none"/>
              </w:rPr>
              <w:t>;</w:t>
            </w:r>
            <w:r w:rsidR="00703679">
              <w:rPr>
                <w:rFonts w:ascii="Times New Roman" w:eastAsia="Times New Roman" w:hAnsi="Times New Roman" w:cs="Times New Roman"/>
                <w:kern w:val="0"/>
                <w:bdr w:val="none" w:sz="0" w:space="0" w:color="auto" w:frame="1"/>
                <w:lang w:val="en-GB"/>
                <w14:ligatures w14:val="none"/>
              </w:rPr>
              <w:t xml:space="preserve"> </w:t>
            </w:r>
            <w:r w:rsidRPr="00A52968">
              <w:rPr>
                <w:rFonts w:ascii="Times New Roman" w:eastAsia="Times New Roman" w:hAnsi="Times New Roman" w:cs="Times New Roman"/>
                <w:kern w:val="0"/>
                <w:bdr w:val="none" w:sz="0" w:space="0" w:color="auto" w:frame="1"/>
                <w14:ligatures w14:val="none"/>
              </w:rPr>
              <w:t>-0.039</w:t>
            </w:r>
            <w:r w:rsidRPr="00A52968">
              <w:rPr>
                <w:rFonts w:ascii="Times New Roman" w:eastAsia="Times New Roman" w:hAnsi="Times New Roman" w:cs="Times New Roman"/>
                <w:kern w:val="0"/>
                <w:bdr w:val="none" w:sz="0" w:space="0" w:color="auto" w:frame="1"/>
                <w:lang w:val="en-GB"/>
                <w14:ligatures w14:val="none"/>
              </w:rPr>
              <w:t>)</w:t>
            </w:r>
          </w:p>
          <w:p w14:paraId="15F56830" w14:textId="77777777" w:rsidR="00854395" w:rsidRPr="00A52968"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854395" w:rsidRPr="0056549D" w14:paraId="649EFC3B" w14:textId="77777777" w:rsidTr="009769B2">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02" w:type="dxa"/>
          </w:tcPr>
          <w:p w14:paraId="6C55F509"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PA score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{"citationItems":[{"id":"ITEM-1","itemData":{"abstract":"Few studies have examined the prognostic impact of blood markers [other than the five factors in the enhanced International Prognostic Index (NCCN-IPI)] in elderly patients with diffuse large B cell lymphoma (DLBCL). We retrospectively analyzed 391 DLBCL patients receiving rituximab plus anthracycline-containing chemotherapy to examine the prognostic impact of simple blood markers. The NCCN-IPI was more accurate for discriminating prognoses than the original IPI. Multivariate analysis identified platelet count (&lt;100,000/μl) and albumin (&lt;3.5 g/dl) levels as significantly associated with lower overall survival (OS), independently of the NCCN-IPI. These parameters stratified patients into three risk groups: platelet-albumin (PA) score low (platelet count ≥100,000/μl, albumin ≥3.5 g/dl, n = 243); intermediate (platelet count &lt;100,000/μl, albumin ≥3.5 g/dl or platelet count ≥100,000/μl, albumin &lt;3.5 g/dl, n = 125); and high (platelet count &lt;100,000/μl, albumin &lt;3.5 g/dl, n = 23). The 5-year OS rates were 81.5, 48.6, and 20.2 %, respectively (p &lt; 0.001). Notably, most patients with a low platelet count (n = 30) were stratified into the high-risk subgroup, suggesting that platelet count was prognostic for high-risk patients with a dismal outcome. In elderly patients (n = 291), the prognostic value of the NCCN-IPI might be diminished because the low-risk category was excluded; however, the PA score was predictive of survival: the 5-year OS rates for PA score low (n = 171), intermediate (n = 101), and high (n = 19) groups were 77.6, 47.9, and 19.0 %, respectively (p &lt; 0.001). Platelet count and albumin levels are useful prognostic factors, and their combined use can predict survival, even in elderly patients.","author":[{"dropping-particle":"","family":"Ochi","given":"Yotaro","non-dropping-particle":"","parse-names":false,"suffix":""},{"dropping-particle":"","family":"Kazuma","given":"Yasuhiro","non-dropping-particle":"","parse-names":false,"suffix":""},{"dropping-particle":"","family":"Hiramoto","given":"Nobuhiro","non-dropping-particle":"","parse-names":false,"suffix":""},{"dropping-particle":"","family":"Ono","given":"Yuichiro","non-dropping-particle":"","parse-names":false,"suffix":""},{"dropping-particle":"","family":"Yoshioka","given":"Satoshi","non-dropping-particle":"","parse-names":false,"suffix":""},{"dropping-particle":"","family":"Yonetani","given":"Noboru","non-dropping-particle":"","parse-names":false,"suffix":""},{"dropping-particle":"","family":"Matsushita","given":"Akiko","non-dropping-particle":"","parse-names":false,"suffix":""},{"dropping-particle":"","family":"Imai","given":"Yukihiro","non-dropping-particle":"","parse-names":false,"suffix":""},{"dropping-particle":"","family":"Hashimoto","given":"Hisako","non-dropping-particle":"","parse-names":false,"suffix":""},{"dropping-particle":"","family":"Ishikawa","given":"Takayuki","non-dropping-particle":"","parse-names":false,"suffix":""}],"container-title":"Annals of Hematology","id":"ITEM-1","issue":"1","issued":{"date-parts":[["2017","1","19"]]},"page":"1-8","title":"Utility of a simple prognostic stratification based on platelet counts and serum albumin levels in elderly patients with diffuse large B cell lymphoma","type":"article-journal","volume":"96"},"uris":["http://www.mendeley.com/documents/?uuid=813e10f4-2850-3b27-92ea-d38e08b681da"]}],"mendeley":{"formattedCitation":"&lt;sup&gt;32&lt;/sup&gt;","plainTextFormattedCitation":"32","previouslyFormattedCitation":"(Ochi et al., 2017)"},"properties":{"noteIndex":0},"schema":"https://github.com/citation-style-language/schema/raw/master/csl-citation.json"}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32</w:t>
            </w:r>
            <w:r w:rsidRPr="0056549D">
              <w:rPr>
                <w:rFonts w:ascii="Times New Roman" w:hAnsi="Times New Roman" w:cs="Times New Roman"/>
                <w:lang w:val="en-GB"/>
              </w:rPr>
              <w:fldChar w:fldCharType="end"/>
            </w:r>
          </w:p>
        </w:tc>
        <w:tc>
          <w:tcPr>
            <w:tcW w:w="3081" w:type="dxa"/>
          </w:tcPr>
          <w:p w14:paraId="38A64366"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5D74647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14:ligatures w14:val="none"/>
              </w:rPr>
              <w:t>2.167</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1.986</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2.365</w:t>
            </w:r>
            <w:r w:rsidRPr="0056549D">
              <w:rPr>
                <w:rFonts w:ascii="Times New Roman" w:eastAsia="Times New Roman" w:hAnsi="Times New Roman" w:cs="Times New Roman"/>
                <w:color w:val="000000"/>
                <w:kern w:val="0"/>
                <w:bdr w:val="none" w:sz="0" w:space="0" w:color="auto" w:frame="1"/>
                <w:lang w:val="en-GB"/>
                <w14:ligatures w14:val="none"/>
              </w:rPr>
              <w:t>)</w:t>
            </w:r>
          </w:p>
          <w:p w14:paraId="553EFCD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 xml:space="preserve">3.299 </w:t>
            </w:r>
            <w:r w:rsidRPr="0056549D">
              <w:rPr>
                <w:rFonts w:ascii="Times New Roman" w:eastAsia="Times New Roman" w:hAnsi="Times New Roman" w:cs="Times New Roman"/>
                <w:color w:val="000000"/>
                <w:kern w:val="0"/>
                <w:bdr w:val="none" w:sz="0" w:space="0" w:color="auto" w:frame="1"/>
                <w:lang w:val="en-GB"/>
                <w14:ligatures w14:val="none"/>
              </w:rPr>
              <w:t>(</w:t>
            </w:r>
            <w:r w:rsidRPr="0056549D">
              <w:rPr>
                <w:rFonts w:ascii="Times New Roman" w:eastAsia="Times New Roman" w:hAnsi="Times New Roman" w:cs="Times New Roman"/>
                <w:color w:val="000000"/>
                <w:kern w:val="0"/>
                <w:bdr w:val="none" w:sz="0" w:space="0" w:color="auto" w:frame="1"/>
                <w14:ligatures w14:val="none"/>
              </w:rPr>
              <w:t>2.613</w:t>
            </w:r>
            <w:r w:rsidRPr="0056549D">
              <w:rPr>
                <w:rFonts w:ascii="Times New Roman" w:eastAsia="Times New Roman" w:hAnsi="Times New Roman" w:cs="Times New Roman"/>
                <w:color w:val="000000"/>
                <w:kern w:val="0"/>
                <w:bdr w:val="none" w:sz="0" w:space="0" w:color="auto" w:frame="1"/>
                <w:lang w:val="en-GB"/>
                <w14:ligatures w14:val="none"/>
              </w:rPr>
              <w:t xml:space="preserve">; </w:t>
            </w:r>
            <w:r w:rsidRPr="0056549D">
              <w:rPr>
                <w:rFonts w:ascii="Times New Roman" w:eastAsia="Times New Roman" w:hAnsi="Times New Roman" w:cs="Times New Roman"/>
                <w:color w:val="000000"/>
                <w:kern w:val="0"/>
                <w:bdr w:val="none" w:sz="0" w:space="0" w:color="auto" w:frame="1"/>
                <w14:ligatures w14:val="none"/>
              </w:rPr>
              <w:t>4.167</w:t>
            </w:r>
            <w:r w:rsidRPr="0056549D">
              <w:rPr>
                <w:rFonts w:ascii="Times New Roman" w:eastAsia="Times New Roman" w:hAnsi="Times New Roman" w:cs="Times New Roman"/>
                <w:color w:val="000000"/>
                <w:kern w:val="0"/>
                <w:bdr w:val="none" w:sz="0" w:space="0" w:color="auto" w:frame="1"/>
                <w:lang w:val="en-GB"/>
                <w14:ligatures w14:val="none"/>
              </w:rPr>
              <w:t>)</w:t>
            </w:r>
          </w:p>
        </w:tc>
        <w:tc>
          <w:tcPr>
            <w:tcW w:w="1497" w:type="dxa"/>
          </w:tcPr>
          <w:p w14:paraId="6C7705F1"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14:ligatures w14:val="none"/>
              </w:rPr>
              <w:t>3466</w:t>
            </w:r>
            <w:r w:rsidRPr="0056549D">
              <w:rPr>
                <w:rFonts w:ascii="Times New Roman" w:eastAsia="Times New Roman" w:hAnsi="Times New Roman" w:cs="Times New Roman"/>
                <w:color w:val="000000"/>
                <w:kern w:val="0"/>
                <w:bdr w:val="none" w:sz="0" w:space="0" w:color="auto" w:frame="1"/>
                <w:lang w:val="en-GB"/>
                <w14:ligatures w14:val="none"/>
              </w:rPr>
              <w:t>7</w:t>
            </w:r>
          </w:p>
          <w:p w14:paraId="2D2BEB15"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298" w:type="dxa"/>
          </w:tcPr>
          <w:p w14:paraId="08E65A4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34678</w:t>
            </w:r>
          </w:p>
          <w:p w14:paraId="0821FA83" w14:textId="77777777" w:rsidR="00854395" w:rsidRPr="0056549D"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80" w:type="dxa"/>
          </w:tcPr>
          <w:p w14:paraId="1A942738"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56549D">
              <w:rPr>
                <w:rFonts w:ascii="Times New Roman" w:eastAsia="Times New Roman" w:hAnsi="Times New Roman" w:cs="Times New Roman"/>
                <w:color w:val="000000"/>
                <w:kern w:val="0"/>
                <w:bdr w:val="none" w:sz="0" w:space="0" w:color="auto" w:frame="1"/>
                <w14:ligatures w14:val="none"/>
              </w:rPr>
              <w:t>0.583</w:t>
            </w:r>
          </w:p>
          <w:p w14:paraId="40B14897"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bdr w:val="none" w:sz="0" w:space="0" w:color="auto" w:frame="1"/>
                <w14:ligatures w14:val="none"/>
              </w:rPr>
            </w:pPr>
          </w:p>
        </w:tc>
        <w:tc>
          <w:tcPr>
            <w:tcW w:w="1181" w:type="dxa"/>
          </w:tcPr>
          <w:p w14:paraId="6C3A9A00"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0.57</w:t>
            </w:r>
            <w:r w:rsidRPr="00A52968">
              <w:rPr>
                <w:rFonts w:ascii="Times New Roman" w:eastAsia="Times New Roman" w:hAnsi="Times New Roman" w:cs="Times New Roman"/>
                <w:kern w:val="0"/>
                <w:bdr w:val="none" w:sz="0" w:space="0" w:color="auto" w:frame="1"/>
                <w:lang w:val="en-GB"/>
                <w14:ligatures w14:val="none"/>
              </w:rPr>
              <w:t>8</w:t>
            </w:r>
          </w:p>
          <w:p w14:paraId="1F32E757"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tcPr>
          <w:p w14:paraId="7EE1B976" w14:textId="207E3C61"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 xml:space="preserve">0.607 </w:t>
            </w:r>
            <w:r w:rsidRPr="00A52968">
              <w:rPr>
                <w:rFonts w:ascii="Times New Roman" w:eastAsia="Times New Roman" w:hAnsi="Times New Roman" w:cs="Times New Roman"/>
                <w:kern w:val="0"/>
                <w:bdr w:val="none" w:sz="0" w:space="0" w:color="auto" w:frame="1"/>
                <w:lang w:val="en-GB"/>
                <w14:ligatures w14:val="none"/>
              </w:rPr>
              <w:t>(</w:t>
            </w:r>
            <w:r w:rsidRPr="00A52968">
              <w:rPr>
                <w:rFonts w:ascii="Times New Roman" w:eastAsia="Times New Roman" w:hAnsi="Times New Roman" w:cs="Times New Roman"/>
                <w:kern w:val="0"/>
                <w:bdr w:val="none" w:sz="0" w:space="0" w:color="auto" w:frame="1"/>
                <w14:ligatures w14:val="none"/>
              </w:rPr>
              <w:t>0.600</w:t>
            </w:r>
            <w:r w:rsidRPr="00A52968">
              <w:rPr>
                <w:rFonts w:ascii="Times New Roman" w:eastAsia="Times New Roman" w:hAnsi="Times New Roman" w:cs="Times New Roman"/>
                <w:kern w:val="0"/>
                <w:bdr w:val="none" w:sz="0" w:space="0" w:color="auto" w:frame="1"/>
                <w:lang w:val="en-GB"/>
                <w14:ligatures w14:val="none"/>
              </w:rPr>
              <w:t>;</w:t>
            </w:r>
            <w:r w:rsidR="00703679">
              <w:rPr>
                <w:rFonts w:ascii="Times New Roman" w:eastAsia="Times New Roman" w:hAnsi="Times New Roman" w:cs="Times New Roman"/>
                <w:kern w:val="0"/>
                <w:bdr w:val="none" w:sz="0" w:space="0" w:color="auto" w:frame="1"/>
                <w:lang w:val="en-GB"/>
                <w14:ligatures w14:val="none"/>
              </w:rPr>
              <w:t xml:space="preserve"> </w:t>
            </w:r>
            <w:r w:rsidRPr="00A52968">
              <w:rPr>
                <w:rFonts w:ascii="Times New Roman" w:eastAsia="Times New Roman" w:hAnsi="Times New Roman" w:cs="Times New Roman"/>
                <w:kern w:val="0"/>
                <w:bdr w:val="none" w:sz="0" w:space="0" w:color="auto" w:frame="1"/>
                <w14:ligatures w14:val="none"/>
              </w:rPr>
              <w:t>0.615</w:t>
            </w:r>
            <w:r w:rsidRPr="00A52968">
              <w:rPr>
                <w:rFonts w:ascii="Times New Roman" w:eastAsia="Times New Roman" w:hAnsi="Times New Roman" w:cs="Times New Roman"/>
                <w:kern w:val="0"/>
                <w:bdr w:val="none" w:sz="0" w:space="0" w:color="auto" w:frame="1"/>
                <w:lang w:val="en-GB"/>
                <w14:ligatures w14:val="none"/>
              </w:rPr>
              <w:t>)</w:t>
            </w:r>
          </w:p>
          <w:p w14:paraId="3494E14C"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2799" w:type="dxa"/>
          </w:tcPr>
          <w:p w14:paraId="4E93FD25" w14:textId="77777777" w:rsidR="00854395" w:rsidRPr="00A52968"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val="en-GB"/>
                <w14:ligatures w14:val="none"/>
              </w:rPr>
            </w:pPr>
            <w:r w:rsidRPr="00A52968">
              <w:rPr>
                <w:rFonts w:ascii="Times New Roman" w:eastAsia="Times New Roman" w:hAnsi="Times New Roman" w:cs="Times New Roman"/>
                <w:kern w:val="0"/>
                <w:bdr w:val="none" w:sz="0" w:space="0" w:color="auto" w:frame="1"/>
                <w14:ligatures w14:val="none"/>
              </w:rPr>
              <w:t xml:space="preserve">-0.076 </w:t>
            </w:r>
            <w:r w:rsidRPr="00A52968">
              <w:rPr>
                <w:rFonts w:ascii="Times New Roman" w:eastAsia="Times New Roman" w:hAnsi="Times New Roman" w:cs="Times New Roman"/>
                <w:kern w:val="0"/>
                <w:bdr w:val="none" w:sz="0" w:space="0" w:color="auto" w:frame="1"/>
                <w:lang w:val="en-GB"/>
                <w14:ligatures w14:val="none"/>
              </w:rPr>
              <w:t>(</w:t>
            </w:r>
            <w:r w:rsidRPr="00A52968">
              <w:rPr>
                <w:rFonts w:ascii="Times New Roman" w:eastAsia="Times New Roman" w:hAnsi="Times New Roman" w:cs="Times New Roman"/>
                <w:kern w:val="0"/>
                <w:bdr w:val="none" w:sz="0" w:space="0" w:color="auto" w:frame="1"/>
                <w14:ligatures w14:val="none"/>
              </w:rPr>
              <w:t>-0.086</w:t>
            </w:r>
            <w:r w:rsidRPr="00A52968">
              <w:rPr>
                <w:rFonts w:ascii="Times New Roman" w:eastAsia="Times New Roman" w:hAnsi="Times New Roman" w:cs="Times New Roman"/>
                <w:kern w:val="0"/>
                <w:bdr w:val="none" w:sz="0" w:space="0" w:color="auto" w:frame="1"/>
                <w:lang w:val="en-GB"/>
                <w14:ligatures w14:val="none"/>
              </w:rPr>
              <w:t xml:space="preserve">; </w:t>
            </w:r>
            <w:r w:rsidRPr="00A52968">
              <w:rPr>
                <w:rFonts w:ascii="Times New Roman" w:eastAsia="Times New Roman" w:hAnsi="Times New Roman" w:cs="Times New Roman"/>
                <w:kern w:val="0"/>
                <w:bdr w:val="none" w:sz="0" w:space="0" w:color="auto" w:frame="1"/>
                <w14:ligatures w14:val="none"/>
              </w:rPr>
              <w:t>-0.066</w:t>
            </w:r>
            <w:r w:rsidRPr="00A52968">
              <w:rPr>
                <w:rFonts w:ascii="Times New Roman" w:eastAsia="Times New Roman" w:hAnsi="Times New Roman" w:cs="Times New Roman"/>
                <w:kern w:val="0"/>
                <w:bdr w:val="none" w:sz="0" w:space="0" w:color="auto" w:frame="1"/>
                <w:lang w:val="en-GB"/>
                <w14:ligatures w14:val="none"/>
              </w:rPr>
              <w:t>)</w:t>
            </w:r>
          </w:p>
          <w:p w14:paraId="1E635ACC" w14:textId="77777777" w:rsidR="00854395" w:rsidRPr="00A52968" w:rsidRDefault="0085439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lang w:val="en-GB"/>
              </w:rPr>
            </w:pPr>
          </w:p>
        </w:tc>
      </w:tr>
      <w:tr w:rsidR="00854395" w:rsidRPr="00432D3B" w14:paraId="2C7525A3" w14:textId="77777777" w:rsidTr="009769B2">
        <w:trPr>
          <w:trHeight w:val="274"/>
        </w:trPr>
        <w:tc>
          <w:tcPr>
            <w:cnfStyle w:val="001000000000" w:firstRow="0" w:lastRow="0" w:firstColumn="1" w:lastColumn="0" w:oddVBand="0" w:evenVBand="0" w:oddHBand="0" w:evenHBand="0" w:firstRowFirstColumn="0" w:firstRowLastColumn="0" w:lastRowFirstColumn="0" w:lastRowLastColumn="0"/>
            <w:tcW w:w="1402" w:type="dxa"/>
          </w:tcPr>
          <w:p w14:paraId="423F3F25" w14:textId="77777777" w:rsidR="00854395" w:rsidRPr="0056549D" w:rsidRDefault="00854395" w:rsidP="009769B2">
            <w:pPr>
              <w:rPr>
                <w:rFonts w:ascii="Times New Roman" w:hAnsi="Times New Roman" w:cs="Times New Roman"/>
                <w:lang w:val="en-GB"/>
              </w:rPr>
            </w:pPr>
            <w:r w:rsidRPr="0056549D">
              <w:rPr>
                <w:rFonts w:ascii="Times New Roman" w:hAnsi="Times New Roman" w:cs="Times New Roman"/>
                <w:lang w:val="en-GB"/>
              </w:rPr>
              <w:t xml:space="preserve">HP index </w:t>
            </w:r>
            <w:r w:rsidRPr="0056549D">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is a broadly utilized clinical tool to aid in predicting the prognosis of patients with aggressive non-Hodgkin's lymphomas (NHL). However, since this score was developed before the development of rituximab, and the introduction of combined rituximab plus CHOP (cyclophosphamide, doxorubicin, vincristine, prednisone) (R-CHOP) therapy for NHL has dramatically improved clinical outcomes, the IPI may be inadequate to assess prognosis in the R-CHOP era. In the present study, we assessed the utility of hemoglobin (Hb) level and platelet count to predict prognosis in diffuse large B-cell lymphoma, not otherwise specified (DLBCL, NOS), the largest category of aggressive NHL. A total of 89 patients newly diagnosed with nodal DLBCL, NOS and treated with R-CHOP therapy were included. The blood count results at diagnosis were statistically analyzed. Available biopsy specimens were immunostained for interleukin (IL)-6. Hb levels lower than 120 g/L (p = 0.0133) and platelet counts lower than 135 × 109/L (p = 0.0233) were associated with worse overall survival (OS). Based on those levels as cutoff values, a hemoglobin-platelet (HP) index was calculated by assigning 1 point for an Hb level or a platelet count lower than the cutoff. The patients were divided into three groups based on the HP index: high, with a score of 2 (n = 8); intermediate, with a score of 1 (n = 39); and low, with a score of 0 (n = 42). A higher HP index was associated with worse OS (p = 0.0055). Patients with IL-6-positive tumors had significantly lower Hb levels than those with IL-6-negative tumors (p = 0.0264), suggesting that abnormal production of IL-6 by lymphoma cells is associated with anemia. On the other hand, there was no association between the platelet counts and the IL-6 expression in the lymphoma cells. In a multivariate analysis, the HP index predicted OS rate independently of the IPI. Since the HP index is based on inexpensive and broadly available laboratory values, we believe that this index will have great utility in clinical practice, and the addition of this index to IPI could more precisely predict prognosis.","author":[{"dropping-particle":"","family":"Nakayama","given":"Shoko","non-dropping-particle":"","parse-names":false,"suffix":""},{"dropping-particle":"","family":"Matsuda","given":"Mitsuhiro","non-dropping-particle":"","parse-names":false,"suffix":""},{"dropping-particle":"","family":"Adachi","given":"Tatsuya","non-dropping-particle":"","parse-names":false,"suffix":""},{"dropping-particle":"","family":"Sueda","given":"Sanae","non-dropping-particle":"","parse-names":false,"suffix":""},{"dropping-particle":"","family":"Ohashi","given":"Yuka","non-dropping-particle":"","parse-names":false,"suffix":""},{"dropping-particle":"","family":"Awaji","given":"Sumie","non-dropping-particle":"","parse-names":false,"suffix":""},{"dropping-particle":"","family":"Hashimoto","given":"Shigeo","non-dropping-particle":"","parse-names":false,"suffix":""},{"dropping-particle":"","family":"Matsumura","given":"Itaru","non-dropping-particle":"","parse-names":false,"suffix":""}],"container-title":"Platelets","id":"ITEM-1","issue":"5","issued":{"date-parts":[["2019","7","4"]]},"page":"637-645","title":"Novel prognostic index based on hemoglobin level and platelet count for diffuse large B-cell lymphoma, not otherwise specified in the R-CHOP era.","type":"article-journal","volume":"30"},"uris":["http://www.mendeley.com/documents/?uuid=84e9c6a8-fc4e-3041-b0e8-cb1b83bdcc5c"]}],"mendeley":{"formattedCitation":"&lt;sup&gt;34&lt;/sup&gt;","plainTextFormattedCitation":"34","previouslyFormattedCitation":"(Nakayama et al., 2019)"},"properties":{"noteIndex":0},"schema":"https://github.com/citation-style-language/schema/raw/master/csl-citation.json"}</w:instrText>
            </w:r>
            <w:r w:rsidRPr="0056549D">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34</w:t>
            </w:r>
            <w:r w:rsidRPr="0056549D">
              <w:rPr>
                <w:rFonts w:ascii="Times New Roman" w:hAnsi="Times New Roman" w:cs="Times New Roman"/>
                <w:lang w:val="en-GB"/>
              </w:rPr>
              <w:fldChar w:fldCharType="end"/>
            </w:r>
          </w:p>
        </w:tc>
        <w:tc>
          <w:tcPr>
            <w:tcW w:w="3081" w:type="dxa"/>
          </w:tcPr>
          <w:p w14:paraId="0F6654DF" w14:textId="77777777" w:rsidR="00854395" w:rsidRPr="0056549D"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56549D">
              <w:rPr>
                <w:rFonts w:ascii="Times New Roman" w:hAnsi="Times New Roman" w:cs="Times New Roman"/>
                <w:lang w:val="en-GB"/>
              </w:rPr>
              <w:t>Reference</w:t>
            </w:r>
          </w:p>
          <w:p w14:paraId="63D2AE1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bdr w:val="none" w:sz="0" w:space="0" w:color="auto" w:frame="1"/>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1.840 (1.687; 2.006)</w:t>
            </w:r>
          </w:p>
          <w:p w14:paraId="246DF30A"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2.825 (2.356; 3.386)</w:t>
            </w:r>
          </w:p>
        </w:tc>
        <w:tc>
          <w:tcPr>
            <w:tcW w:w="1497" w:type="dxa"/>
          </w:tcPr>
          <w:p w14:paraId="2911871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34749</w:t>
            </w:r>
          </w:p>
          <w:p w14:paraId="20779F7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lang w:val="en-GB"/>
                <w14:ligatures w14:val="none"/>
              </w:rPr>
            </w:pPr>
          </w:p>
        </w:tc>
        <w:tc>
          <w:tcPr>
            <w:tcW w:w="1298" w:type="dxa"/>
          </w:tcPr>
          <w:p w14:paraId="282DA7F2"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34760</w:t>
            </w:r>
          </w:p>
          <w:p w14:paraId="7A90B139"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lang w:val="en-GB"/>
                <w14:ligatures w14:val="none"/>
              </w:rPr>
            </w:pPr>
          </w:p>
        </w:tc>
        <w:tc>
          <w:tcPr>
            <w:tcW w:w="1180" w:type="dxa"/>
          </w:tcPr>
          <w:p w14:paraId="1BEBCE65"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0.578</w:t>
            </w:r>
          </w:p>
          <w:p w14:paraId="4059C7BE"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lang w:val="en-GB"/>
                <w14:ligatures w14:val="none"/>
              </w:rPr>
            </w:pPr>
          </w:p>
        </w:tc>
        <w:tc>
          <w:tcPr>
            <w:tcW w:w="1181" w:type="dxa"/>
          </w:tcPr>
          <w:p w14:paraId="4F508FB3"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val="en-GB"/>
                <w14:ligatures w14:val="none"/>
              </w:rPr>
            </w:pPr>
            <w:r w:rsidRPr="0056549D">
              <w:rPr>
                <w:rFonts w:ascii="Times New Roman" w:eastAsia="Times New Roman" w:hAnsi="Times New Roman" w:cs="Times New Roman"/>
                <w:color w:val="000000"/>
                <w:kern w:val="0"/>
                <w:bdr w:val="none" w:sz="0" w:space="0" w:color="auto" w:frame="1"/>
                <w:lang w:val="en-GB"/>
                <w14:ligatures w14:val="none"/>
              </w:rPr>
              <w:t>0.574</w:t>
            </w:r>
          </w:p>
          <w:p w14:paraId="60A5B166" w14:textId="77777777" w:rsidR="00854395" w:rsidRPr="0056549D"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bdr w:val="none" w:sz="0" w:space="0" w:color="auto" w:frame="1"/>
                <w:lang w:val="en-GB"/>
                <w14:ligatures w14:val="none"/>
              </w:rPr>
            </w:pPr>
          </w:p>
        </w:tc>
        <w:tc>
          <w:tcPr>
            <w:tcW w:w="2410" w:type="dxa"/>
          </w:tcPr>
          <w:p w14:paraId="4F937B0F" w14:textId="7777777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r w:rsidRPr="00DF6AC2">
              <w:rPr>
                <w:rFonts w:ascii="Times New Roman" w:eastAsia="Times New Roman" w:hAnsi="Times New Roman" w:cs="Times New Roman"/>
                <w:kern w:val="0"/>
                <w:bdr w:val="none" w:sz="0" w:space="0" w:color="auto" w:frame="1"/>
                <w:lang w:val="en-GB"/>
                <w14:ligatures w14:val="none"/>
              </w:rPr>
              <w:t>0.597 (0.586; 0.608)</w:t>
            </w:r>
          </w:p>
          <w:p w14:paraId="67E4C297"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2799" w:type="dxa"/>
          </w:tcPr>
          <w:p w14:paraId="4E0A1A62" w14:textId="410CBB67" w:rsidR="00854395" w:rsidRPr="00DF6AC2" w:rsidRDefault="00854395" w:rsidP="009769B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en-GB"/>
                <w14:ligatures w14:val="none"/>
              </w:rPr>
            </w:pPr>
            <w:r w:rsidRPr="00DF6AC2">
              <w:rPr>
                <w:rFonts w:ascii="Times New Roman" w:eastAsia="Times New Roman" w:hAnsi="Times New Roman" w:cs="Times New Roman"/>
                <w:kern w:val="0"/>
                <w:bdr w:val="none" w:sz="0" w:space="0" w:color="auto" w:frame="1"/>
                <w:lang w:val="en-GB"/>
                <w14:ligatures w14:val="none"/>
              </w:rPr>
              <w:t>-0.086 (-0.098;</w:t>
            </w:r>
            <w:r w:rsidR="00703679">
              <w:rPr>
                <w:rFonts w:ascii="Times New Roman" w:eastAsia="Times New Roman" w:hAnsi="Times New Roman" w:cs="Times New Roman"/>
                <w:kern w:val="0"/>
                <w:bdr w:val="none" w:sz="0" w:space="0" w:color="auto" w:frame="1"/>
                <w:lang w:val="en-GB"/>
                <w14:ligatures w14:val="none"/>
              </w:rPr>
              <w:t xml:space="preserve"> </w:t>
            </w:r>
            <w:r w:rsidRPr="00DF6AC2">
              <w:rPr>
                <w:rFonts w:ascii="Times New Roman" w:eastAsia="Times New Roman" w:hAnsi="Times New Roman" w:cs="Times New Roman"/>
                <w:kern w:val="0"/>
                <w:bdr w:val="none" w:sz="0" w:space="0" w:color="auto" w:frame="1"/>
                <w:lang w:val="en-GB"/>
                <w14:ligatures w14:val="none"/>
              </w:rPr>
              <w:t>-0.075)</w:t>
            </w:r>
          </w:p>
          <w:p w14:paraId="74A30148" w14:textId="77777777" w:rsidR="00854395" w:rsidRPr="00DF6AC2" w:rsidRDefault="0085439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lang w:val="en-GB"/>
              </w:rPr>
            </w:pPr>
          </w:p>
        </w:tc>
      </w:tr>
    </w:tbl>
    <w:p w14:paraId="2531A912" w14:textId="38DDF4BC" w:rsidR="00854395" w:rsidRDefault="00854395" w:rsidP="00854395">
      <w:pPr>
        <w:tabs>
          <w:tab w:val="left" w:pos="1230"/>
        </w:tabs>
        <w:spacing w:line="240" w:lineRule="auto"/>
        <w:rPr>
          <w:rFonts w:ascii="Times New Roman" w:hAnsi="Times New Roman" w:cs="Times New Roman"/>
          <w:vertAlign w:val="superscript"/>
          <w:lang w:val="en-GB"/>
        </w:rPr>
      </w:pPr>
      <w:proofErr w:type="spellStart"/>
      <w:r w:rsidRPr="002F7E13">
        <w:rPr>
          <w:rFonts w:ascii="Times New Roman" w:hAnsi="Times New Roman" w:cs="Times New Roman"/>
          <w:vertAlign w:val="superscript"/>
          <w:lang w:val="en-GB"/>
        </w:rPr>
        <w:t>aaDLBCL</w:t>
      </w:r>
      <w:proofErr w:type="spellEnd"/>
      <w:r w:rsidRPr="002F7E13">
        <w:rPr>
          <w:rFonts w:ascii="Times New Roman" w:hAnsi="Times New Roman" w:cs="Times New Roman"/>
          <w:vertAlign w:val="superscript"/>
          <w:lang w:val="en-GB"/>
        </w:rPr>
        <w:t xml:space="preserve">-PI – age-adjusted DLBCL-PI; </w:t>
      </w:r>
      <w:proofErr w:type="spellStart"/>
      <w:r w:rsidRPr="002F7E13">
        <w:rPr>
          <w:rFonts w:ascii="Times New Roman" w:hAnsi="Times New Roman" w:cs="Times New Roman"/>
          <w:vertAlign w:val="superscript"/>
          <w:lang w:val="en-GB"/>
        </w:rPr>
        <w:t>aaIPI</w:t>
      </w:r>
      <w:proofErr w:type="spellEnd"/>
      <w:r w:rsidRPr="002F7E13">
        <w:rPr>
          <w:rFonts w:ascii="Times New Roman" w:hAnsi="Times New Roman" w:cs="Times New Roman"/>
          <w:vertAlign w:val="superscript"/>
          <w:lang w:val="en-GB"/>
        </w:rPr>
        <w:t xml:space="preserve"> – age-adjusted IPI; AIC – </w:t>
      </w:r>
      <w:r w:rsidRPr="00377BB8">
        <w:rPr>
          <w:rFonts w:ascii="Times New Roman" w:eastAsia="Times New Roman" w:hAnsi="Times New Roman" w:cs="Times New Roman"/>
          <w:color w:val="212121"/>
          <w:kern w:val="0"/>
          <w:vertAlign w:val="superscript"/>
          <w:lang w:val="en-GB"/>
          <w14:ligatures w14:val="none"/>
        </w:rPr>
        <w:t xml:space="preserve">Akaike Information Criterion; </w:t>
      </w:r>
      <w:r w:rsidRPr="002F7E13">
        <w:rPr>
          <w:rFonts w:ascii="Times New Roman" w:hAnsi="Times New Roman" w:cs="Times New Roman"/>
          <w:vertAlign w:val="superscript"/>
          <w:lang w:val="en-GB"/>
        </w:rPr>
        <w:t xml:space="preserve">ALC – absolute lymphocyte count; </w:t>
      </w:r>
      <w:r w:rsidRPr="00377BB8">
        <w:rPr>
          <w:rFonts w:ascii="Times New Roman" w:hAnsi="Times New Roman" w:cs="Times New Roman"/>
          <w:vertAlign w:val="superscript"/>
          <w:lang w:val="en-GB"/>
        </w:rPr>
        <w:t xml:space="preserve">AUC – Area under the curve; BIC – </w:t>
      </w:r>
      <w:r w:rsidRPr="00377BB8">
        <w:rPr>
          <w:rFonts w:ascii="Times New Roman" w:eastAsia="Times New Roman" w:hAnsi="Times New Roman" w:cs="Times New Roman"/>
          <w:color w:val="212121"/>
          <w:kern w:val="0"/>
          <w:vertAlign w:val="superscript"/>
          <w:lang w:val="en-GB"/>
          <w14:ligatures w14:val="none"/>
        </w:rPr>
        <w:t xml:space="preserve">Bayesian Information Criterion; c-index – concordance index; </w:t>
      </w:r>
      <w:r w:rsidRPr="002F7E13">
        <w:rPr>
          <w:rFonts w:ascii="Times New Roman" w:hAnsi="Times New Roman" w:cs="Times New Roman"/>
          <w:vertAlign w:val="superscript"/>
          <w:lang w:val="en-GB"/>
        </w:rPr>
        <w:t xml:space="preserve">CPE – </w:t>
      </w:r>
      <w:r w:rsidRPr="002F7E13">
        <w:rPr>
          <w:rFonts w:ascii="Times New Roman" w:eastAsia="Times New Roman" w:hAnsi="Times New Roman" w:cs="Times New Roman"/>
          <w:color w:val="212121"/>
          <w:kern w:val="0"/>
          <w:vertAlign w:val="superscript"/>
          <w:lang w:val="en-GB"/>
          <w14:ligatures w14:val="none"/>
        </w:rPr>
        <w:t xml:space="preserve">Concordance probability estimate;  </w:t>
      </w:r>
      <w:r w:rsidRPr="002F7E13">
        <w:rPr>
          <w:rFonts w:ascii="Times New Roman" w:hAnsi="Times New Roman" w:cs="Times New Roman"/>
          <w:vertAlign w:val="superscript"/>
          <w:lang w:val="en-GB"/>
        </w:rPr>
        <w:t xml:space="preserve">DLBCL – Diffuse large B-cell lymphoma; DLBCL-PI – DLBCL Prognostic Index; </w:t>
      </w:r>
      <w:r w:rsidRPr="002F7E13">
        <w:rPr>
          <w:rFonts w:ascii="Times New Roman" w:hAnsi="Times New Roman" w:cs="Times New Roman"/>
          <w:color w:val="212121"/>
          <w:shd w:val="clear" w:color="auto" w:fill="FFFFFF"/>
          <w:vertAlign w:val="superscript"/>
          <w:lang w:val="en-GB"/>
        </w:rPr>
        <w:t xml:space="preserve">KPI – Kyoto Prognostic Index; </w:t>
      </w:r>
      <w:r w:rsidRPr="002F7E13">
        <w:rPr>
          <w:rFonts w:ascii="Times New Roman" w:hAnsi="Times New Roman" w:cs="Times New Roman"/>
          <w:vertAlign w:val="superscript"/>
          <w:lang w:val="en-GB"/>
        </w:rPr>
        <w:t xml:space="preserve">HP - </w:t>
      </w:r>
      <w:proofErr w:type="spellStart"/>
      <w:r w:rsidRPr="002F7E13">
        <w:rPr>
          <w:rFonts w:ascii="Times New Roman" w:hAnsi="Times New Roman" w:cs="Times New Roman"/>
          <w:kern w:val="0"/>
          <w:vertAlign w:val="superscript"/>
          <w:lang w:val="en-GB"/>
        </w:rPr>
        <w:t>hemoglobin</w:t>
      </w:r>
      <w:proofErr w:type="spellEnd"/>
      <w:r w:rsidRPr="002F7E13">
        <w:rPr>
          <w:rFonts w:ascii="Times New Roman" w:hAnsi="Times New Roman" w:cs="Times New Roman"/>
          <w:kern w:val="0"/>
          <w:vertAlign w:val="superscript"/>
          <w:lang w:val="en-GB"/>
        </w:rPr>
        <w:t xml:space="preserve">-platelet; IPI – International Prognostic Index; </w:t>
      </w:r>
      <w:r w:rsidRPr="002F7E13">
        <w:rPr>
          <w:rFonts w:ascii="Times New Roman" w:hAnsi="Times New Roman" w:cs="Times New Roman"/>
          <w:vertAlign w:val="superscript"/>
          <w:lang w:val="en-GB"/>
        </w:rPr>
        <w:t xml:space="preserve">NCCN-IPI – National Comprehensive Cancer Network-IPI; </w:t>
      </w:r>
      <w:r w:rsidRPr="002F7E13">
        <w:rPr>
          <w:rFonts w:ascii="Times New Roman" w:hAnsi="Times New Roman" w:cs="Times New Roman"/>
          <w:kern w:val="0"/>
          <w:vertAlign w:val="superscript"/>
          <w:lang w:val="en-GB"/>
        </w:rPr>
        <w:t xml:space="preserve">PA – </w:t>
      </w:r>
      <w:r w:rsidRPr="002F7E13">
        <w:rPr>
          <w:rFonts w:ascii="Times New Roman" w:hAnsi="Times New Roman" w:cs="Times New Roman"/>
          <w:color w:val="131413"/>
          <w:kern w:val="0"/>
          <w:vertAlign w:val="superscript"/>
          <w:lang w:val="en-GB"/>
        </w:rPr>
        <w:t xml:space="preserve">platelet-albumin; </w:t>
      </w:r>
      <w:r w:rsidRPr="002F7E13">
        <w:rPr>
          <w:rFonts w:ascii="Times New Roman" w:hAnsi="Times New Roman" w:cs="Times New Roman"/>
          <w:vertAlign w:val="superscript"/>
          <w:lang w:val="en-GB"/>
        </w:rPr>
        <w:t>R-IPI – Revised International Prognostic Index</w:t>
      </w:r>
    </w:p>
    <w:p w14:paraId="7D2FDC9F" w14:textId="77777777" w:rsidR="00854395" w:rsidRPr="00C96475" w:rsidRDefault="00854395" w:rsidP="00854395">
      <w:pPr>
        <w:rPr>
          <w:lang w:val="en-GB"/>
        </w:rPr>
      </w:pPr>
    </w:p>
    <w:p w14:paraId="302FABBC" w14:textId="77777777" w:rsidR="00854395" w:rsidRPr="00EF380C" w:rsidRDefault="00854395" w:rsidP="00854395">
      <w:pPr>
        <w:rPr>
          <w:lang w:val="en-GB"/>
        </w:rPr>
      </w:pPr>
    </w:p>
    <w:p w14:paraId="30BE5C48" w14:textId="77777777" w:rsidR="000F7DB0" w:rsidRPr="00854395" w:rsidRDefault="000F7DB0" w:rsidP="00854395">
      <w:pPr>
        <w:rPr>
          <w:lang w:val="en-GB"/>
        </w:rPr>
      </w:pPr>
    </w:p>
    <w:sectPr w:rsidR="000F7DB0" w:rsidRPr="00854395" w:rsidSect="00C964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umin Pro">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D24D5"/>
    <w:multiLevelType w:val="multilevel"/>
    <w:tmpl w:val="8D2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1F2EDA"/>
    <w:multiLevelType w:val="hybridMultilevel"/>
    <w:tmpl w:val="4B14D6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448C76B1"/>
    <w:multiLevelType w:val="hybridMultilevel"/>
    <w:tmpl w:val="E532512E"/>
    <w:lvl w:ilvl="0" w:tplc="1B88B9E4">
      <w:start w:val="1545"/>
      <w:numFmt w:val="bullet"/>
      <w:lvlText w:val=""/>
      <w:lvlJc w:val="left"/>
      <w:pPr>
        <w:ind w:left="720" w:hanging="360"/>
      </w:pPr>
      <w:rPr>
        <w:rFonts w:ascii="Symbol" w:eastAsiaTheme="minorHAnsi" w:hAnsi="Symbol" w:cs="Times New Roman" w:hint="default"/>
        <w:b w:val="0"/>
        <w:color w:val="131413"/>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707637FD"/>
    <w:multiLevelType w:val="hybridMultilevel"/>
    <w:tmpl w:val="4294B348"/>
    <w:lvl w:ilvl="0" w:tplc="087CCFEC">
      <w:start w:val="1"/>
      <w:numFmt w:val="bullet"/>
      <w:lvlText w:val=""/>
      <w:lvlJc w:val="left"/>
      <w:pPr>
        <w:ind w:left="720" w:hanging="360"/>
      </w:pPr>
      <w:rPr>
        <w:rFonts w:ascii="Wingdings" w:eastAsiaTheme="minorHAns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732F20AA"/>
    <w:multiLevelType w:val="hybridMultilevel"/>
    <w:tmpl w:val="35209ECA"/>
    <w:lvl w:ilvl="0" w:tplc="4A88B29A">
      <w:start w:val="18"/>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473448708">
    <w:abstractNumId w:val="0"/>
  </w:num>
  <w:num w:numId="2" w16cid:durableId="1771579800">
    <w:abstractNumId w:val="1"/>
  </w:num>
  <w:num w:numId="3" w16cid:durableId="1987471341">
    <w:abstractNumId w:val="4"/>
  </w:num>
  <w:num w:numId="4" w16cid:durableId="883712989">
    <w:abstractNumId w:val="3"/>
  </w:num>
  <w:num w:numId="5" w16cid:durableId="1334334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sTC0NDY2MTEwMTNT0lEKTi0uzszPAykwqgUABcv6+ywAAAA="/>
  </w:docVars>
  <w:rsids>
    <w:rsidRoot w:val="00C96475"/>
    <w:rsid w:val="000F7DB0"/>
    <w:rsid w:val="00432D3B"/>
    <w:rsid w:val="005948C7"/>
    <w:rsid w:val="00703679"/>
    <w:rsid w:val="00854395"/>
    <w:rsid w:val="00C9647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FBD3"/>
  <w15:chartTrackingRefBased/>
  <w15:docId w15:val="{AD27624F-CFCC-41AD-AB9E-0363B7FA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95"/>
    <w:rPr>
      <w:lang w:val="da-DK"/>
    </w:rPr>
  </w:style>
  <w:style w:type="paragraph" w:styleId="Heading1">
    <w:name w:val="heading 1"/>
    <w:basedOn w:val="Normal"/>
    <w:next w:val="Normal"/>
    <w:link w:val="Heading1Char"/>
    <w:uiPriority w:val="9"/>
    <w:qFormat/>
    <w:rsid w:val="00C964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9647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475"/>
    <w:rPr>
      <w:rFonts w:asciiTheme="majorHAnsi" w:eastAsiaTheme="majorEastAsia" w:hAnsiTheme="majorHAnsi" w:cstheme="majorBidi"/>
      <w:color w:val="2F5496" w:themeColor="accent1" w:themeShade="BF"/>
      <w:sz w:val="32"/>
      <w:szCs w:val="32"/>
      <w:lang w:val="da-DK"/>
    </w:rPr>
  </w:style>
  <w:style w:type="character" w:customStyle="1" w:styleId="Heading3Char">
    <w:name w:val="Heading 3 Char"/>
    <w:basedOn w:val="DefaultParagraphFont"/>
    <w:link w:val="Heading3"/>
    <w:uiPriority w:val="9"/>
    <w:rsid w:val="00C96475"/>
    <w:rPr>
      <w:rFonts w:ascii="Times New Roman" w:eastAsia="Times New Roman" w:hAnsi="Times New Roman" w:cs="Times New Roman"/>
      <w:b/>
      <w:bCs/>
      <w:kern w:val="0"/>
      <w:sz w:val="27"/>
      <w:szCs w:val="27"/>
      <w:lang w:val="da-DK"/>
      <w14:ligatures w14:val="none"/>
    </w:rPr>
  </w:style>
  <w:style w:type="paragraph" w:customStyle="1" w:styleId="p">
    <w:name w:val="p"/>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96475"/>
    <w:rPr>
      <w:color w:val="0000FF"/>
      <w:u w:val="single"/>
    </w:rPr>
  </w:style>
  <w:style w:type="character" w:styleId="Emphasis">
    <w:name w:val="Emphasis"/>
    <w:basedOn w:val="DefaultParagraphFont"/>
    <w:uiPriority w:val="20"/>
    <w:qFormat/>
    <w:rsid w:val="00C96475"/>
    <w:rPr>
      <w:i/>
      <w:iCs/>
    </w:rPr>
  </w:style>
  <w:style w:type="paragraph" w:styleId="NormalWeb">
    <w:name w:val="Normal (Web)"/>
    <w:basedOn w:val="Normal"/>
    <w:uiPriority w:val="99"/>
    <w:unhideWhenUsed/>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96475"/>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6475"/>
    <w:rPr>
      <w:sz w:val="16"/>
      <w:szCs w:val="16"/>
    </w:rPr>
  </w:style>
  <w:style w:type="paragraph" w:styleId="CommentText">
    <w:name w:val="annotation text"/>
    <w:basedOn w:val="Normal"/>
    <w:link w:val="CommentTextChar"/>
    <w:uiPriority w:val="99"/>
    <w:unhideWhenUsed/>
    <w:rsid w:val="00C96475"/>
    <w:pPr>
      <w:spacing w:line="240" w:lineRule="auto"/>
    </w:pPr>
    <w:rPr>
      <w:sz w:val="20"/>
      <w:szCs w:val="20"/>
    </w:rPr>
  </w:style>
  <w:style w:type="character" w:customStyle="1" w:styleId="CommentTextChar">
    <w:name w:val="Comment Text Char"/>
    <w:basedOn w:val="DefaultParagraphFont"/>
    <w:link w:val="CommentText"/>
    <w:uiPriority w:val="99"/>
    <w:rsid w:val="00C96475"/>
    <w:rPr>
      <w:sz w:val="20"/>
      <w:szCs w:val="20"/>
      <w:lang w:val="da-DK"/>
    </w:rPr>
  </w:style>
  <w:style w:type="paragraph" w:styleId="CommentSubject">
    <w:name w:val="annotation subject"/>
    <w:basedOn w:val="CommentText"/>
    <w:next w:val="CommentText"/>
    <w:link w:val="CommentSubjectChar"/>
    <w:uiPriority w:val="99"/>
    <w:semiHidden/>
    <w:unhideWhenUsed/>
    <w:rsid w:val="00C96475"/>
    <w:rPr>
      <w:b/>
      <w:bCs/>
    </w:rPr>
  </w:style>
  <w:style w:type="character" w:customStyle="1" w:styleId="CommentSubjectChar">
    <w:name w:val="Comment Subject Char"/>
    <w:basedOn w:val="CommentTextChar"/>
    <w:link w:val="CommentSubject"/>
    <w:uiPriority w:val="99"/>
    <w:semiHidden/>
    <w:rsid w:val="00C96475"/>
    <w:rPr>
      <w:b/>
      <w:bCs/>
      <w:sz w:val="20"/>
      <w:szCs w:val="20"/>
      <w:lang w:val="da-DK"/>
    </w:rPr>
  </w:style>
  <w:style w:type="paragraph" w:styleId="BalloonText">
    <w:name w:val="Balloon Text"/>
    <w:basedOn w:val="Normal"/>
    <w:link w:val="BalloonTextChar"/>
    <w:uiPriority w:val="99"/>
    <w:semiHidden/>
    <w:unhideWhenUsed/>
    <w:rsid w:val="00C96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75"/>
    <w:rPr>
      <w:rFonts w:ascii="Segoe UI" w:hAnsi="Segoe UI" w:cs="Segoe UI"/>
      <w:sz w:val="18"/>
      <w:szCs w:val="18"/>
      <w:lang w:val="da-DK"/>
    </w:rPr>
  </w:style>
  <w:style w:type="paragraph" w:styleId="Header">
    <w:name w:val="header"/>
    <w:basedOn w:val="Normal"/>
    <w:link w:val="HeaderChar"/>
    <w:uiPriority w:val="99"/>
    <w:unhideWhenUsed/>
    <w:rsid w:val="00C9647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96475"/>
    <w:rPr>
      <w:lang w:val="da-DK"/>
    </w:rPr>
  </w:style>
  <w:style w:type="paragraph" w:styleId="Footer">
    <w:name w:val="footer"/>
    <w:basedOn w:val="Normal"/>
    <w:link w:val="FooterChar"/>
    <w:uiPriority w:val="99"/>
    <w:unhideWhenUsed/>
    <w:rsid w:val="00C9647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96475"/>
    <w:rPr>
      <w:lang w:val="da-DK"/>
    </w:rPr>
  </w:style>
  <w:style w:type="paragraph" w:styleId="Revision">
    <w:name w:val="Revision"/>
    <w:hidden/>
    <w:uiPriority w:val="99"/>
    <w:semiHidden/>
    <w:rsid w:val="00C96475"/>
    <w:pPr>
      <w:spacing w:after="0" w:line="240" w:lineRule="auto"/>
    </w:pPr>
    <w:rPr>
      <w:lang w:val="da-DK"/>
    </w:rPr>
  </w:style>
  <w:style w:type="character" w:customStyle="1" w:styleId="UnresolvedMention1">
    <w:name w:val="Unresolved Mention1"/>
    <w:basedOn w:val="DefaultParagraphFont"/>
    <w:uiPriority w:val="99"/>
    <w:semiHidden/>
    <w:unhideWhenUsed/>
    <w:rsid w:val="00C96475"/>
    <w:rPr>
      <w:color w:val="605E5C"/>
      <w:shd w:val="clear" w:color="auto" w:fill="E1DFDD"/>
    </w:rPr>
  </w:style>
  <w:style w:type="paragraph" w:customStyle="1" w:styleId="pf0">
    <w:name w:val="pf0"/>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C96475"/>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C96475"/>
    <w:rPr>
      <w:color w:val="605E5C"/>
      <w:shd w:val="clear" w:color="auto" w:fill="E1DFDD"/>
    </w:rPr>
  </w:style>
  <w:style w:type="paragraph" w:styleId="ListParagraph">
    <w:name w:val="List Paragraph"/>
    <w:basedOn w:val="Normal"/>
    <w:uiPriority w:val="34"/>
    <w:qFormat/>
    <w:rsid w:val="00C96475"/>
    <w:pPr>
      <w:ind w:left="720"/>
      <w:contextualSpacing/>
    </w:pPr>
  </w:style>
  <w:style w:type="paragraph" w:customStyle="1" w:styleId="Default">
    <w:name w:val="Default"/>
    <w:rsid w:val="00C96475"/>
    <w:pPr>
      <w:autoSpaceDE w:val="0"/>
      <w:autoSpaceDN w:val="0"/>
      <w:adjustRightInd w:val="0"/>
      <w:spacing w:after="0" w:line="240" w:lineRule="auto"/>
    </w:pPr>
    <w:rPr>
      <w:rFonts w:ascii="Acumin Pro" w:hAnsi="Acumin Pro" w:cs="Acumin Pro"/>
      <w:color w:val="000000"/>
      <w:kern w:val="0"/>
      <w:sz w:val="24"/>
      <w:szCs w:val="24"/>
      <w:lang w:val="da-DK"/>
    </w:rPr>
  </w:style>
  <w:style w:type="table" w:styleId="PlainTable2">
    <w:name w:val="Plain Table 2"/>
    <w:basedOn w:val="TableNormal"/>
    <w:uiPriority w:val="42"/>
    <w:rsid w:val="00C96475"/>
    <w:pPr>
      <w:spacing w:after="0" w:line="240" w:lineRule="auto"/>
    </w:pPr>
    <w:rPr>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C96475"/>
    <w:rPr>
      <w:b/>
      <w:bCs/>
    </w:rPr>
  </w:style>
  <w:style w:type="character" w:styleId="LineNumber">
    <w:name w:val="line number"/>
    <w:basedOn w:val="DefaultParagraphFont"/>
    <w:uiPriority w:val="99"/>
    <w:semiHidden/>
    <w:unhideWhenUsed/>
    <w:rsid w:val="00C96475"/>
  </w:style>
  <w:style w:type="paragraph" w:styleId="HTMLPreformatted">
    <w:name w:val="HTML Preformatted"/>
    <w:basedOn w:val="Normal"/>
    <w:link w:val="HTMLPreformattedChar"/>
    <w:uiPriority w:val="99"/>
    <w:unhideWhenUsed/>
    <w:rsid w:val="00C96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96475"/>
    <w:rPr>
      <w:rFonts w:ascii="Courier New" w:eastAsia="Times New Roman" w:hAnsi="Courier New" w:cs="Courier New"/>
      <w:kern w:val="0"/>
      <w:sz w:val="20"/>
      <w:szCs w:val="20"/>
      <w:lang w:val="da-DK"/>
      <w14:ligatures w14:val="none"/>
    </w:rPr>
  </w:style>
  <w:style w:type="character" w:customStyle="1" w:styleId="gnd-iwgdh3b">
    <w:name w:val="gnd-iwgdh3b"/>
    <w:basedOn w:val="DefaultParagraphFont"/>
    <w:rsid w:val="00C96475"/>
  </w:style>
  <w:style w:type="table" w:styleId="ListTable6Colorful">
    <w:name w:val="List Table 6 Colorful"/>
    <w:basedOn w:val="TableNormal"/>
    <w:uiPriority w:val="51"/>
    <w:rsid w:val="00C96475"/>
    <w:pPr>
      <w:spacing w:after="0" w:line="240" w:lineRule="auto"/>
    </w:pPr>
    <w:rPr>
      <w:color w:val="000000" w:themeColor="text1"/>
      <w:lang w:val="da-DK"/>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C96475"/>
    <w:pPr>
      <w:spacing w:after="0" w:line="240" w:lineRule="auto"/>
    </w:pPr>
    <w:rPr>
      <w:lang w:val="da-D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nd-iwgdo3b">
    <w:name w:val="gnd-iwgdo3b"/>
    <w:basedOn w:val="DefaultParagraphFont"/>
    <w:rsid w:val="00C96475"/>
  </w:style>
  <w:style w:type="character" w:customStyle="1" w:styleId="gnd-iwgdn2b">
    <w:name w:val="gnd-iwgdn2b"/>
    <w:basedOn w:val="DefaultParagraphFont"/>
    <w:rsid w:val="00C96475"/>
  </w:style>
  <w:style w:type="character" w:styleId="PlaceholderText">
    <w:name w:val="Placeholder Text"/>
    <w:basedOn w:val="DefaultParagraphFont"/>
    <w:uiPriority w:val="99"/>
    <w:semiHidden/>
    <w:rsid w:val="00C964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7497</Words>
  <Characters>42733</Characters>
  <Application>Microsoft Office Word</Application>
  <DocSecurity>0</DocSecurity>
  <Lines>356</Lines>
  <Paragraphs>100</Paragraphs>
  <ScaleCrop>false</ScaleCrop>
  <Company/>
  <LinksUpToDate>false</LinksUpToDate>
  <CharactersWithSpaces>50130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Jelicic</dc:creator>
  <cp:keywords/>
  <dc:description/>
  <cp:lastModifiedBy>Jelena Jelicic</cp:lastModifiedBy>
  <cp:revision>4</cp:revision>
  <dcterms:created xsi:type="dcterms:W3CDTF">2023-08-22T19:17:00Z</dcterms:created>
  <dcterms:modified xsi:type="dcterms:W3CDTF">2023-08-23T18:10:00Z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fc572a6e-dd0b-461e-a98b-3e05877dc68c</vt:lpwstr>
  </property>
</Properties>
</file>