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720EB" w14:textId="24E0F41B" w:rsidR="00EF4DFD" w:rsidRPr="00A76EC9" w:rsidRDefault="00E77B80" w:rsidP="00BA536F">
      <w:pPr>
        <w:spacing w:after="0"/>
        <w:rPr>
          <w:b/>
          <w:bCs/>
          <w:sz w:val="28"/>
          <w:szCs w:val="28"/>
        </w:rPr>
      </w:pPr>
      <w:r w:rsidRPr="00A76EC9">
        <w:rPr>
          <w:b/>
          <w:bCs/>
          <w:sz w:val="28"/>
          <w:szCs w:val="28"/>
        </w:rPr>
        <w:t>Supplementa</w:t>
      </w:r>
      <w:r w:rsidR="00D43EB5">
        <w:rPr>
          <w:b/>
          <w:bCs/>
          <w:sz w:val="28"/>
          <w:szCs w:val="28"/>
        </w:rPr>
        <w:t>l</w:t>
      </w:r>
      <w:r w:rsidRPr="00A76EC9">
        <w:rPr>
          <w:b/>
          <w:bCs/>
          <w:sz w:val="28"/>
          <w:szCs w:val="28"/>
        </w:rPr>
        <w:t xml:space="preserve"> </w:t>
      </w:r>
      <w:r w:rsidR="005E177C">
        <w:rPr>
          <w:b/>
          <w:bCs/>
          <w:sz w:val="28"/>
          <w:szCs w:val="28"/>
        </w:rPr>
        <w:t>Information</w:t>
      </w:r>
    </w:p>
    <w:p w14:paraId="3B04E11C" w14:textId="77777777" w:rsidR="002E4735" w:rsidRDefault="002E4735" w:rsidP="00BA536F">
      <w:pPr>
        <w:spacing w:after="0"/>
        <w:rPr>
          <w:b/>
          <w:bCs/>
        </w:rPr>
      </w:pPr>
    </w:p>
    <w:p w14:paraId="3746E371" w14:textId="458DCE99" w:rsidR="0092134A" w:rsidRDefault="0092134A" w:rsidP="00BA536F">
      <w:pPr>
        <w:spacing w:after="0"/>
        <w:rPr>
          <w:b/>
          <w:bCs/>
        </w:rPr>
      </w:pPr>
      <w:r>
        <w:rPr>
          <w:b/>
          <w:bCs/>
        </w:rPr>
        <w:t>Supplemental figures</w:t>
      </w:r>
    </w:p>
    <w:p w14:paraId="3D4B9664" w14:textId="208575CC" w:rsidR="00990D17" w:rsidRDefault="00990D17" w:rsidP="00BA536F">
      <w:pPr>
        <w:spacing w:after="0"/>
        <w:rPr>
          <w:noProof/>
        </w:rPr>
      </w:pPr>
      <w:r w:rsidRPr="00BA536F">
        <w:rPr>
          <w:b/>
          <w:bCs/>
        </w:rPr>
        <w:t>A.</w:t>
      </w:r>
      <w:r>
        <w:rPr>
          <w:noProof/>
        </w:rPr>
        <w:drawing>
          <wp:inline distT="0" distB="0" distL="0" distR="0" wp14:anchorId="32009115" wp14:editId="5ACAA1E7">
            <wp:extent cx="5937250" cy="2959100"/>
            <wp:effectExtent l="0" t="0" r="6350" b="0"/>
            <wp:docPr id="374631717" name="Picture 3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631717" name="Picture 3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0082B" w14:textId="62505E0E" w:rsidR="00990D17" w:rsidRPr="00990D17" w:rsidRDefault="00990D17" w:rsidP="00BA536F">
      <w:pPr>
        <w:spacing w:after="0"/>
        <w:rPr>
          <w:b/>
          <w:bCs/>
          <w:noProof/>
        </w:rPr>
      </w:pPr>
      <w:r w:rsidRPr="00990D17">
        <w:rPr>
          <w:b/>
          <w:bCs/>
          <w:noProof/>
        </w:rPr>
        <w:t>B.</w:t>
      </w:r>
    </w:p>
    <w:p w14:paraId="68C02D5A" w14:textId="4D876940" w:rsidR="00990D17" w:rsidRDefault="00990D17">
      <w:pPr>
        <w:rPr>
          <w:noProof/>
        </w:rPr>
      </w:pPr>
      <w:r>
        <w:rPr>
          <w:noProof/>
        </w:rPr>
        <w:drawing>
          <wp:inline distT="0" distB="0" distL="0" distR="0" wp14:anchorId="5EDD8C7F" wp14:editId="7463D294">
            <wp:extent cx="5930900" cy="2959100"/>
            <wp:effectExtent l="0" t="0" r="0" b="0"/>
            <wp:docPr id="1472292223" name="Picture 4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292223" name="Picture 4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4F5A8" w14:textId="615CFB13" w:rsidR="00491988" w:rsidRDefault="00152E3F" w:rsidP="00491988">
      <w:r w:rsidRPr="005244F5">
        <w:rPr>
          <w:b/>
          <w:bCs/>
        </w:rPr>
        <w:t>Supplementa</w:t>
      </w:r>
      <w:r w:rsidR="00D43EB5">
        <w:rPr>
          <w:b/>
          <w:bCs/>
        </w:rPr>
        <w:t>l</w:t>
      </w:r>
      <w:r w:rsidRPr="005244F5">
        <w:rPr>
          <w:b/>
          <w:bCs/>
        </w:rPr>
        <w:t xml:space="preserve"> </w:t>
      </w:r>
      <w:r w:rsidR="00D43EB5">
        <w:rPr>
          <w:b/>
          <w:bCs/>
        </w:rPr>
        <w:t>F</w:t>
      </w:r>
      <w:r w:rsidRPr="005244F5">
        <w:rPr>
          <w:b/>
          <w:bCs/>
        </w:rPr>
        <w:t xml:space="preserve">igure 1: </w:t>
      </w:r>
      <w:r w:rsidR="002633B3">
        <w:rPr>
          <w:b/>
          <w:bCs/>
        </w:rPr>
        <w:t>Identification</w:t>
      </w:r>
      <w:r w:rsidR="00DF7A3B">
        <w:rPr>
          <w:b/>
          <w:bCs/>
        </w:rPr>
        <w:t xml:space="preserve"> </w:t>
      </w:r>
      <w:r w:rsidR="00DA5C62">
        <w:rPr>
          <w:b/>
          <w:bCs/>
        </w:rPr>
        <w:t>of bone marrow</w:t>
      </w:r>
      <w:r w:rsidR="002F72E6">
        <w:rPr>
          <w:b/>
          <w:bCs/>
        </w:rPr>
        <w:t xml:space="preserve"> (BM)</w:t>
      </w:r>
      <w:r w:rsidR="00DA5C62">
        <w:rPr>
          <w:b/>
          <w:bCs/>
        </w:rPr>
        <w:t xml:space="preserve">-associated cell populations in </w:t>
      </w:r>
      <w:r w:rsidR="00311B86">
        <w:rPr>
          <w:b/>
          <w:bCs/>
        </w:rPr>
        <w:t>BM aspirated</w:t>
      </w:r>
      <w:r w:rsidR="006350EE">
        <w:rPr>
          <w:b/>
          <w:bCs/>
        </w:rPr>
        <w:t xml:space="preserve"> samples analyzed by the</w:t>
      </w:r>
      <w:r w:rsidR="00C12687">
        <w:rPr>
          <w:b/>
          <w:bCs/>
        </w:rPr>
        <w:t xml:space="preserve"> </w:t>
      </w:r>
      <w:proofErr w:type="spellStart"/>
      <w:r w:rsidR="00C12687">
        <w:rPr>
          <w:b/>
          <w:bCs/>
        </w:rPr>
        <w:t>EuroFlow</w:t>
      </w:r>
      <w:proofErr w:type="spellEnd"/>
      <w:r w:rsidR="00C12687">
        <w:rPr>
          <w:b/>
          <w:bCs/>
        </w:rPr>
        <w:t xml:space="preserve"> multiple myeloma</w:t>
      </w:r>
      <w:r w:rsidR="002F72E6">
        <w:rPr>
          <w:b/>
          <w:bCs/>
        </w:rPr>
        <w:t xml:space="preserve"> (MM)</w:t>
      </w:r>
      <w:r w:rsidR="00C12687">
        <w:rPr>
          <w:b/>
          <w:bCs/>
        </w:rPr>
        <w:t xml:space="preserve"> – minimal residual disease</w:t>
      </w:r>
      <w:r w:rsidR="002F72E6">
        <w:rPr>
          <w:b/>
          <w:bCs/>
        </w:rPr>
        <w:t xml:space="preserve"> (MRD) panel</w:t>
      </w:r>
      <w:r w:rsidR="00C12687">
        <w:rPr>
          <w:b/>
          <w:bCs/>
        </w:rPr>
        <w:t>.</w:t>
      </w:r>
      <w:r w:rsidR="006350EE">
        <w:rPr>
          <w:b/>
          <w:bCs/>
        </w:rPr>
        <w:t xml:space="preserve"> </w:t>
      </w:r>
      <w:r w:rsidR="005244F5">
        <w:t>The f</w:t>
      </w:r>
      <w:r w:rsidR="00890980">
        <w:t xml:space="preserve">igure shows reference images of </w:t>
      </w:r>
      <w:r w:rsidR="00CE6F47">
        <w:rPr>
          <w:b/>
          <w:bCs/>
        </w:rPr>
        <w:t>(</w:t>
      </w:r>
      <w:r w:rsidR="00F02E49">
        <w:rPr>
          <w:b/>
          <w:bCs/>
        </w:rPr>
        <w:t>A</w:t>
      </w:r>
      <w:r w:rsidR="00CE6F47">
        <w:rPr>
          <w:b/>
          <w:bCs/>
        </w:rPr>
        <w:t>)</w:t>
      </w:r>
      <w:r w:rsidR="00890980">
        <w:t>:</w:t>
      </w:r>
      <w:r w:rsidR="00AD7250">
        <w:t xml:space="preserve"> </w:t>
      </w:r>
      <w:r w:rsidR="00D83776" w:rsidRPr="00A11679">
        <w:rPr>
          <w:u w:val="single"/>
        </w:rPr>
        <w:t xml:space="preserve">plasma </w:t>
      </w:r>
      <w:r w:rsidR="00D83776" w:rsidRPr="003C2FA9">
        <w:rPr>
          <w:u w:val="single"/>
        </w:rPr>
        <w:t>cells</w:t>
      </w:r>
      <w:r w:rsidR="00D83776" w:rsidRPr="003C2FA9">
        <w:t xml:space="preserve"> (</w:t>
      </w:r>
      <w:r w:rsidR="003C2FA9">
        <w:t xml:space="preserve">identified by their </w:t>
      </w:r>
      <w:r w:rsidR="00D83776" w:rsidRPr="003C2FA9">
        <w:t>distinct CD38</w:t>
      </w:r>
      <w:r w:rsidR="003C2FA9">
        <w:t>,</w:t>
      </w:r>
      <w:r w:rsidR="00D83776" w:rsidRPr="003C2FA9">
        <w:t xml:space="preserve"> CD138</w:t>
      </w:r>
      <w:r w:rsidR="003C2FA9">
        <w:t>,</w:t>
      </w:r>
      <w:r w:rsidR="00530B25">
        <w:t xml:space="preserve"> and CD45</w:t>
      </w:r>
      <w:r w:rsidR="00D83776" w:rsidRPr="003C2FA9">
        <w:t xml:space="preserve"> expression</w:t>
      </w:r>
      <w:r w:rsidR="00530B25">
        <w:t xml:space="preserve"> and light-scatter features</w:t>
      </w:r>
      <w:r w:rsidR="00D83776" w:rsidRPr="003C2FA9">
        <w:t>)</w:t>
      </w:r>
      <w:r w:rsidR="00646841" w:rsidRPr="003C2FA9">
        <w:t>,</w:t>
      </w:r>
      <w:r w:rsidR="00D30A17">
        <w:rPr>
          <w:sz w:val="20"/>
          <w:szCs w:val="20"/>
        </w:rPr>
        <w:t xml:space="preserve"> </w:t>
      </w:r>
      <w:r w:rsidR="00D30A17" w:rsidRPr="00530B25">
        <w:t>separated into</w:t>
      </w:r>
      <w:r w:rsidR="00890980" w:rsidRPr="00530B25">
        <w:t xml:space="preserve"> normal</w:t>
      </w:r>
      <w:r w:rsidR="00890980">
        <w:t xml:space="preserve"> (in purple)</w:t>
      </w:r>
      <w:r w:rsidR="00646841">
        <w:t xml:space="preserve"> and</w:t>
      </w:r>
      <w:r w:rsidR="00890980">
        <w:t xml:space="preserve"> </w:t>
      </w:r>
      <w:r w:rsidR="00411AA5">
        <w:t>abnormal</w:t>
      </w:r>
      <w:r w:rsidR="00890980">
        <w:t xml:space="preserve"> (in red)</w:t>
      </w:r>
      <w:r w:rsidR="009E7D25">
        <w:t xml:space="preserve"> counterparts</w:t>
      </w:r>
      <w:r w:rsidR="00890980">
        <w:t xml:space="preserve">; </w:t>
      </w:r>
      <w:r w:rsidR="001B26F9" w:rsidRPr="00A11679">
        <w:rPr>
          <w:u w:val="single"/>
        </w:rPr>
        <w:t>B cell precursors</w:t>
      </w:r>
      <w:r w:rsidR="001B26F9">
        <w:t xml:space="preserve"> (</w:t>
      </w:r>
      <w:r w:rsidR="00036C98" w:rsidRPr="00D67F9A">
        <w:t>CD19</w:t>
      </w:r>
      <w:r w:rsidR="00036C98" w:rsidRPr="00D67F9A">
        <w:rPr>
          <w:vertAlign w:val="superscript"/>
        </w:rPr>
        <w:t>+</w:t>
      </w:r>
      <w:r w:rsidR="00036C98">
        <w:t>,</w:t>
      </w:r>
      <w:r w:rsidR="00036C98" w:rsidRPr="00D67F9A">
        <w:t xml:space="preserve"> CD45</w:t>
      </w:r>
      <w:r w:rsidR="00036C98">
        <w:rPr>
          <w:vertAlign w:val="superscript"/>
        </w:rPr>
        <w:t>lo</w:t>
      </w:r>
      <w:r w:rsidR="00036C98" w:rsidRPr="00D67F9A">
        <w:t>, CD38</w:t>
      </w:r>
      <w:r w:rsidR="00036C98">
        <w:rPr>
          <w:vertAlign w:val="superscript"/>
        </w:rPr>
        <w:t>hi</w:t>
      </w:r>
      <w:r w:rsidR="00036C98" w:rsidRPr="00D67F9A">
        <w:t>, CD81</w:t>
      </w:r>
      <w:r w:rsidR="00036C98">
        <w:rPr>
          <w:vertAlign w:val="superscript"/>
        </w:rPr>
        <w:t>hi</w:t>
      </w:r>
      <w:r w:rsidR="00036C98">
        <w:t>,</w:t>
      </w:r>
      <w:r w:rsidR="00036C98" w:rsidRPr="00D67F9A">
        <w:t xml:space="preserve"> </w:t>
      </w:r>
      <w:r w:rsidR="00036C98">
        <w:t xml:space="preserve">and </w:t>
      </w:r>
      <w:r w:rsidR="00036C98" w:rsidRPr="00D67F9A">
        <w:t>CD27</w:t>
      </w:r>
      <w:r w:rsidR="00036C98" w:rsidRPr="00D67F9A">
        <w:rPr>
          <w:vertAlign w:val="superscript"/>
        </w:rPr>
        <w:t>-</w:t>
      </w:r>
      <w:r w:rsidR="00EE5CBD">
        <w:t>;</w:t>
      </w:r>
      <w:r w:rsidR="00036C98">
        <w:t xml:space="preserve"> </w:t>
      </w:r>
      <w:r w:rsidR="001B26F9">
        <w:t xml:space="preserve">in turquoise); </w:t>
      </w:r>
      <w:r w:rsidR="00C676AD">
        <w:t xml:space="preserve">and </w:t>
      </w:r>
      <w:r w:rsidR="00C676AD" w:rsidRPr="00A11679">
        <w:rPr>
          <w:u w:val="single"/>
        </w:rPr>
        <w:t>mast cells</w:t>
      </w:r>
      <w:r w:rsidR="00C676AD">
        <w:t xml:space="preserve"> (</w:t>
      </w:r>
      <w:r w:rsidR="00A11679" w:rsidRPr="00D67F9A">
        <w:t>CD117</w:t>
      </w:r>
      <w:r w:rsidR="00A11679" w:rsidRPr="00D67F9A">
        <w:rPr>
          <w:vertAlign w:val="superscript"/>
        </w:rPr>
        <w:t>high</w:t>
      </w:r>
      <w:r w:rsidR="00A11679" w:rsidRPr="00D67F9A">
        <w:t xml:space="preserve"> </w:t>
      </w:r>
      <w:r w:rsidR="00A11679">
        <w:t xml:space="preserve">and </w:t>
      </w:r>
      <w:r w:rsidR="00A11679" w:rsidRPr="00D67F9A">
        <w:t>CD45</w:t>
      </w:r>
      <w:r w:rsidR="00A11679">
        <w:rPr>
          <w:vertAlign w:val="superscript"/>
        </w:rPr>
        <w:t>lo</w:t>
      </w:r>
      <w:r w:rsidR="00A11679">
        <w:t xml:space="preserve">; in </w:t>
      </w:r>
      <w:r w:rsidR="00C676AD">
        <w:t xml:space="preserve">yellow) and </w:t>
      </w:r>
      <w:r w:rsidR="00F02E49">
        <w:rPr>
          <w:b/>
          <w:bCs/>
        </w:rPr>
        <w:t>(B)</w:t>
      </w:r>
      <w:r w:rsidR="00C676AD">
        <w:rPr>
          <w:b/>
          <w:bCs/>
        </w:rPr>
        <w:t xml:space="preserve">: </w:t>
      </w:r>
      <w:r w:rsidR="00FA1C27" w:rsidRPr="009E7D25">
        <w:rPr>
          <w:u w:val="single"/>
        </w:rPr>
        <w:t>myeloid precursors</w:t>
      </w:r>
      <w:r w:rsidR="00FA1C27">
        <w:t xml:space="preserve"> (</w:t>
      </w:r>
      <w:r w:rsidR="00163441" w:rsidRPr="00D67F9A">
        <w:t>CD117</w:t>
      </w:r>
      <w:r w:rsidR="00163441" w:rsidRPr="00D67F9A">
        <w:rPr>
          <w:vertAlign w:val="superscript"/>
        </w:rPr>
        <w:t>+</w:t>
      </w:r>
      <w:r w:rsidR="00163441" w:rsidRPr="00D67F9A">
        <w:t>, CD38</w:t>
      </w:r>
      <w:r w:rsidR="00163441" w:rsidRPr="00D67F9A">
        <w:rPr>
          <w:vertAlign w:val="superscript"/>
        </w:rPr>
        <w:t>+</w:t>
      </w:r>
      <w:r w:rsidR="00163441" w:rsidRPr="00D67F9A">
        <w:t>, CD45</w:t>
      </w:r>
      <w:r w:rsidR="00163441">
        <w:rPr>
          <w:vertAlign w:val="superscript"/>
        </w:rPr>
        <w:t>lo</w:t>
      </w:r>
      <w:r w:rsidR="00163441" w:rsidRPr="00D67F9A">
        <w:t xml:space="preserve">, and </w:t>
      </w:r>
      <w:proofErr w:type="spellStart"/>
      <w:r w:rsidR="00163441" w:rsidRPr="00D67F9A">
        <w:t>SSC</w:t>
      </w:r>
      <w:r w:rsidR="00163441" w:rsidRPr="00D67F9A">
        <w:rPr>
          <w:vertAlign w:val="superscript"/>
        </w:rPr>
        <w:t>int</w:t>
      </w:r>
      <w:proofErr w:type="spellEnd"/>
      <w:r w:rsidR="00163441" w:rsidRPr="00D67F9A">
        <w:rPr>
          <w:vertAlign w:val="superscript"/>
        </w:rPr>
        <w:t>/hi</w:t>
      </w:r>
      <w:r w:rsidR="00163441">
        <w:t xml:space="preserve"> ; </w:t>
      </w:r>
      <w:r w:rsidR="00FA1C27">
        <w:lastRenderedPageBreak/>
        <w:t xml:space="preserve">in blue) and </w:t>
      </w:r>
      <w:r w:rsidR="00FA1C27" w:rsidRPr="00163441">
        <w:rPr>
          <w:u w:val="single"/>
        </w:rPr>
        <w:t>nucleated red cells</w:t>
      </w:r>
      <w:r w:rsidR="00FA1C27">
        <w:t xml:space="preserve"> (in red</w:t>
      </w:r>
      <w:r w:rsidR="004D50E6">
        <w:t xml:space="preserve">; </w:t>
      </w:r>
      <w:proofErr w:type="spellStart"/>
      <w:r w:rsidR="004D50E6">
        <w:t>SSC</w:t>
      </w:r>
      <w:r w:rsidR="004D50E6">
        <w:rPr>
          <w:vertAlign w:val="superscript"/>
        </w:rPr>
        <w:t>lo</w:t>
      </w:r>
      <w:proofErr w:type="spellEnd"/>
      <w:r w:rsidR="004D50E6">
        <w:t xml:space="preserve"> and negative expression of all markers</w:t>
      </w:r>
      <w:r w:rsidR="00FA1C27">
        <w:t>)</w:t>
      </w:r>
      <w:r w:rsidR="00815F09">
        <w:t xml:space="preserve"> as identified by the AG&amp;I tool</w:t>
      </w:r>
      <w:r w:rsidR="00CC1CFB">
        <w:t xml:space="preserve"> coupled</w:t>
      </w:r>
      <w:r w:rsidR="00CC39D5">
        <w:t xml:space="preserve"> </w:t>
      </w:r>
      <w:r w:rsidR="00EB32FC">
        <w:t>with</w:t>
      </w:r>
      <w:r w:rsidR="00CC39D5">
        <w:t xml:space="preserve"> the </w:t>
      </w:r>
      <w:proofErr w:type="spellStart"/>
      <w:r w:rsidR="00CC39D5">
        <w:t>EuroFlow</w:t>
      </w:r>
      <w:proofErr w:type="spellEnd"/>
      <w:r w:rsidR="004D1416">
        <w:t xml:space="preserve"> MM-MRD database</w:t>
      </w:r>
      <w:r w:rsidR="00815F09">
        <w:t xml:space="preserve"> </w:t>
      </w:r>
      <w:r w:rsidR="00132872">
        <w:t xml:space="preserve">in the </w:t>
      </w:r>
      <w:proofErr w:type="spellStart"/>
      <w:r w:rsidR="00132872">
        <w:t>Infinicyt</w:t>
      </w:r>
      <w:proofErr w:type="spellEnd"/>
      <w:r w:rsidR="00132872">
        <w:t xml:space="preserve"> software</w:t>
      </w:r>
      <w:r w:rsidR="00B5101F">
        <w:t>. The depicted populations are shown</w:t>
      </w:r>
      <w:r w:rsidR="004F0C4C">
        <w:t xml:space="preserve"> after assigning “check-populations” and </w:t>
      </w:r>
      <w:r w:rsidR="009434A8">
        <w:t>removal of debris/doublets</w:t>
      </w:r>
      <w:r w:rsidR="00FA1C27">
        <w:t>.</w:t>
      </w:r>
      <w:r w:rsidR="00B5101F">
        <w:t xml:space="preserve"> </w:t>
      </w:r>
      <w:r w:rsidR="000703FE">
        <w:t xml:space="preserve">All acquired </w:t>
      </w:r>
      <w:r w:rsidR="008B527E">
        <w:t xml:space="preserve">events, except for </w:t>
      </w:r>
      <w:r w:rsidR="00AC329A">
        <w:t xml:space="preserve">the </w:t>
      </w:r>
      <w:r w:rsidR="008B527E">
        <w:t>depicted population</w:t>
      </w:r>
      <w:r w:rsidR="00AC329A">
        <w:t>s,</w:t>
      </w:r>
      <w:r w:rsidR="008B527E">
        <w:t xml:space="preserve"> are shown as gray background</w:t>
      </w:r>
      <w:r w:rsidR="00AC329A">
        <w:t xml:space="preserve"> for each figure. </w:t>
      </w:r>
      <w:r w:rsidR="00AF2F00">
        <w:t>S</w:t>
      </w:r>
      <w:r w:rsidR="006B079A">
        <w:t>tandard deviation (SD) is</w:t>
      </w:r>
      <w:r w:rsidR="007925F1">
        <w:t xml:space="preserve"> shown for each population as 1 SD (inner</w:t>
      </w:r>
      <w:r w:rsidR="006B58F2">
        <w:t xml:space="preserve"> line) and 2 SD (outer line).</w:t>
      </w:r>
      <w:r w:rsidR="006B079A">
        <w:t xml:space="preserve"> </w:t>
      </w:r>
      <w:r w:rsidR="003C4CD5">
        <w:t>Information</w:t>
      </w:r>
      <w:r w:rsidR="00166D62">
        <w:t xml:space="preserve"> on the </w:t>
      </w:r>
      <w:r w:rsidR="00A7568F">
        <w:t xml:space="preserve">AG&amp;I </w:t>
      </w:r>
      <w:r w:rsidR="00D8787F">
        <w:t>tool</w:t>
      </w:r>
      <w:r w:rsidR="00A7568F">
        <w:t xml:space="preserve"> and the </w:t>
      </w:r>
      <w:proofErr w:type="spellStart"/>
      <w:r w:rsidR="00A7568F">
        <w:t>EuroFlow</w:t>
      </w:r>
      <w:proofErr w:type="spellEnd"/>
      <w:r w:rsidR="00A7568F">
        <w:t xml:space="preserve"> MM-MRD database</w:t>
      </w:r>
      <w:r w:rsidR="00141E85">
        <w:t xml:space="preserve"> </w:t>
      </w:r>
      <w:r w:rsidR="00DC5D3E">
        <w:t xml:space="preserve">and analysis of fcs files using these features is available on the website of </w:t>
      </w:r>
      <w:r w:rsidR="004726FE">
        <w:t xml:space="preserve">the developer of the </w:t>
      </w:r>
      <w:proofErr w:type="spellStart"/>
      <w:r w:rsidR="004726FE">
        <w:t>Infinicyt</w:t>
      </w:r>
      <w:proofErr w:type="spellEnd"/>
      <w:r w:rsidR="004726FE">
        <w:t xml:space="preserve"> software</w:t>
      </w:r>
      <w:r w:rsidR="00B63B0A">
        <w:t xml:space="preserve"> (</w:t>
      </w:r>
      <w:r w:rsidR="008B77C9">
        <w:t>www.cytognos.com/infinicyt</w:t>
      </w:r>
      <w:r w:rsidR="00530826">
        <w:t>).</w:t>
      </w:r>
      <w:r w:rsidR="00D8787F">
        <w:t xml:space="preserve"> </w:t>
      </w:r>
    </w:p>
    <w:p w14:paraId="7D1F6488" w14:textId="29BB1DF0" w:rsidR="00BA536F" w:rsidRPr="00BA536F" w:rsidRDefault="00217CD6" w:rsidP="00BA536F">
      <w:pPr>
        <w:tabs>
          <w:tab w:val="left" w:pos="6060"/>
        </w:tabs>
        <w:spacing w:after="0"/>
        <w:rPr>
          <w:b/>
          <w:bCs/>
        </w:rPr>
      </w:pPr>
      <w:r>
        <w:rPr>
          <w:b/>
          <w:bCs/>
        </w:rPr>
        <w:t>A</w:t>
      </w:r>
      <w:r w:rsidR="00F02E49">
        <w:rPr>
          <w:b/>
          <w:bCs/>
        </w:rPr>
        <w:t>.</w:t>
      </w:r>
    </w:p>
    <w:p w14:paraId="5721D75D" w14:textId="77777777" w:rsidR="00BA536F" w:rsidRDefault="00710CF2">
      <w:r>
        <w:rPr>
          <w:noProof/>
        </w:rPr>
        <w:drawing>
          <wp:inline distT="0" distB="0" distL="0" distR="0" wp14:anchorId="38329A09" wp14:editId="084C112E">
            <wp:extent cx="5930900" cy="2959100"/>
            <wp:effectExtent l="0" t="0" r="0" b="0"/>
            <wp:docPr id="1078452863" name="Picture 5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452863" name="Picture 5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53934" w14:textId="0A785AEE" w:rsidR="00BA536F" w:rsidRPr="00BA536F" w:rsidRDefault="00217CD6" w:rsidP="00BA536F">
      <w:pPr>
        <w:spacing w:after="0"/>
        <w:rPr>
          <w:b/>
          <w:bCs/>
        </w:rPr>
      </w:pPr>
      <w:r>
        <w:rPr>
          <w:b/>
          <w:bCs/>
        </w:rPr>
        <w:t>B</w:t>
      </w:r>
      <w:r w:rsidR="00BA536F" w:rsidRPr="00BA536F">
        <w:rPr>
          <w:b/>
          <w:bCs/>
        </w:rPr>
        <w:t>.</w:t>
      </w:r>
    </w:p>
    <w:p w14:paraId="65CA42B7" w14:textId="5DEFE49A" w:rsidR="003461C9" w:rsidRDefault="00710CF2">
      <w:r>
        <w:rPr>
          <w:noProof/>
        </w:rPr>
        <w:drawing>
          <wp:inline distT="0" distB="0" distL="0" distR="0" wp14:anchorId="34493710" wp14:editId="11A10B0F">
            <wp:extent cx="2946607" cy="2959200"/>
            <wp:effectExtent l="0" t="0" r="6350" b="0"/>
            <wp:docPr id="738701492" name="Picture 1" descr="A screen 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701492" name="Picture 1" descr="A screen 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607" cy="29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F84301" wp14:editId="6233B8B9">
            <wp:extent cx="2946600" cy="2959200"/>
            <wp:effectExtent l="0" t="0" r="6350" b="0"/>
            <wp:docPr id="1811430854" name="Picture 2" descr="A red and white do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430854" name="Picture 2" descr="A red and white dot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600" cy="29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0C420" w14:textId="20C1E556" w:rsidR="0088005F" w:rsidRDefault="009434A8">
      <w:r w:rsidRPr="005244F5">
        <w:rPr>
          <w:b/>
          <w:bCs/>
        </w:rPr>
        <w:lastRenderedPageBreak/>
        <w:t>Supplementa</w:t>
      </w:r>
      <w:r w:rsidR="00491988">
        <w:rPr>
          <w:b/>
          <w:bCs/>
        </w:rPr>
        <w:t>l</w:t>
      </w:r>
      <w:r w:rsidRPr="005244F5">
        <w:rPr>
          <w:b/>
          <w:bCs/>
        </w:rPr>
        <w:t xml:space="preserve"> </w:t>
      </w:r>
      <w:r w:rsidR="00491988">
        <w:rPr>
          <w:b/>
          <w:bCs/>
        </w:rPr>
        <w:t>F</w:t>
      </w:r>
      <w:r w:rsidRPr="005244F5">
        <w:rPr>
          <w:b/>
          <w:bCs/>
        </w:rPr>
        <w:t xml:space="preserve">igure </w:t>
      </w:r>
      <w:r>
        <w:rPr>
          <w:b/>
          <w:bCs/>
        </w:rPr>
        <w:t>2</w:t>
      </w:r>
      <w:r w:rsidR="00491988">
        <w:rPr>
          <w:b/>
          <w:bCs/>
        </w:rPr>
        <w:t>.</w:t>
      </w:r>
      <w:r w:rsidRPr="005244F5">
        <w:rPr>
          <w:b/>
          <w:bCs/>
        </w:rPr>
        <w:t xml:space="preserve"> </w:t>
      </w:r>
      <w:r>
        <w:rPr>
          <w:b/>
          <w:bCs/>
        </w:rPr>
        <w:t xml:space="preserve">Manual review </w:t>
      </w:r>
      <w:r w:rsidR="001751FC">
        <w:rPr>
          <w:b/>
          <w:bCs/>
        </w:rPr>
        <w:t>of the nucleated red cell population after identification</w:t>
      </w:r>
      <w:r w:rsidR="0017763F">
        <w:rPr>
          <w:b/>
          <w:bCs/>
        </w:rPr>
        <w:t xml:space="preserve"> </w:t>
      </w:r>
      <w:r w:rsidR="00A40F22">
        <w:rPr>
          <w:b/>
          <w:bCs/>
        </w:rPr>
        <w:t xml:space="preserve">by </w:t>
      </w:r>
      <w:r w:rsidR="00EC6CBE">
        <w:rPr>
          <w:b/>
          <w:bCs/>
        </w:rPr>
        <w:t xml:space="preserve">AG&amp;I: </w:t>
      </w:r>
      <w:r w:rsidR="001C50EC">
        <w:rPr>
          <w:b/>
          <w:bCs/>
        </w:rPr>
        <w:t>(</w:t>
      </w:r>
      <w:r w:rsidR="00F12145">
        <w:rPr>
          <w:b/>
          <w:bCs/>
        </w:rPr>
        <w:t>A</w:t>
      </w:r>
      <w:r w:rsidR="001C50EC">
        <w:rPr>
          <w:b/>
          <w:bCs/>
        </w:rPr>
        <w:t>)</w:t>
      </w:r>
      <w:r w:rsidR="00EC6CBE">
        <w:t xml:space="preserve"> </w:t>
      </w:r>
      <w:r w:rsidR="00570C20" w:rsidRPr="00570C20">
        <w:rPr>
          <w:b/>
          <w:bCs/>
        </w:rPr>
        <w:t>G</w:t>
      </w:r>
      <w:r w:rsidR="00EC6CBE" w:rsidRPr="00570C20">
        <w:rPr>
          <w:b/>
          <w:bCs/>
        </w:rPr>
        <w:t xml:space="preserve">ating of residual </w:t>
      </w:r>
      <w:r w:rsidR="00F059ED" w:rsidRPr="00570C20">
        <w:rPr>
          <w:b/>
          <w:bCs/>
        </w:rPr>
        <w:t>nucleated red cell events</w:t>
      </w:r>
      <w:r w:rsidR="00F12145" w:rsidRPr="00570C20">
        <w:rPr>
          <w:b/>
          <w:bCs/>
        </w:rPr>
        <w:t>.</w:t>
      </w:r>
      <w:r w:rsidR="00F12145">
        <w:t xml:space="preserve"> </w:t>
      </w:r>
      <w:r w:rsidR="00153077">
        <w:t>When</w:t>
      </w:r>
      <w:r w:rsidR="00B05D8B">
        <w:t xml:space="preserve"> reviewing results of the AG&amp;I feature it is important to </w:t>
      </w:r>
      <w:r w:rsidR="006308E4">
        <w:t>be aware of events</w:t>
      </w:r>
      <w:r w:rsidR="00B05D8B">
        <w:t xml:space="preserve"> </w:t>
      </w:r>
      <w:r w:rsidR="00600A2E">
        <w:t>that may</w:t>
      </w:r>
      <w:r w:rsidR="006308E4">
        <w:t xml:space="preserve"> have</w:t>
      </w:r>
      <w:r w:rsidR="00600A2E">
        <w:t xml:space="preserve"> be</w:t>
      </w:r>
      <w:r w:rsidR="006308E4">
        <w:t>en</w:t>
      </w:r>
      <w:r w:rsidR="00600A2E">
        <w:t xml:space="preserve"> mislabeled</w:t>
      </w:r>
      <w:r w:rsidR="006308E4">
        <w:t xml:space="preserve">. </w:t>
      </w:r>
      <w:r w:rsidR="003A621E">
        <w:t xml:space="preserve">The figure show </w:t>
      </w:r>
      <w:r w:rsidR="008105D8">
        <w:t xml:space="preserve">gating of residual nucleated cells using the </w:t>
      </w:r>
      <w:r w:rsidR="00567A40">
        <w:t xml:space="preserve">nucleated red cell population identified by the AG&amp;I tool as reference. </w:t>
      </w:r>
      <w:r w:rsidR="001C50EC">
        <w:rPr>
          <w:b/>
          <w:bCs/>
        </w:rPr>
        <w:t>(</w:t>
      </w:r>
      <w:r w:rsidR="00C73CD1">
        <w:rPr>
          <w:b/>
          <w:bCs/>
        </w:rPr>
        <w:t>B</w:t>
      </w:r>
      <w:r w:rsidR="001C50EC">
        <w:rPr>
          <w:b/>
          <w:bCs/>
        </w:rPr>
        <w:t>)</w:t>
      </w:r>
      <w:r w:rsidR="00C73CD1">
        <w:rPr>
          <w:b/>
          <w:bCs/>
        </w:rPr>
        <w:t xml:space="preserve"> </w:t>
      </w:r>
      <w:r w:rsidR="00570C20">
        <w:rPr>
          <w:b/>
          <w:bCs/>
        </w:rPr>
        <w:t>Excluding residual debris</w:t>
      </w:r>
      <w:r w:rsidR="009C01E4">
        <w:rPr>
          <w:b/>
          <w:bCs/>
        </w:rPr>
        <w:t xml:space="preserve"> from nucleated red cells. </w:t>
      </w:r>
      <w:r w:rsidR="00D06EF0">
        <w:t>When identifying n</w:t>
      </w:r>
      <w:r w:rsidR="009837D9">
        <w:t xml:space="preserve">ucleated red </w:t>
      </w:r>
      <w:proofErr w:type="gramStart"/>
      <w:r w:rsidR="009837D9">
        <w:t>cells</w:t>
      </w:r>
      <w:proofErr w:type="gramEnd"/>
      <w:r w:rsidR="00D06EF0">
        <w:t xml:space="preserve"> it is important to consider that </w:t>
      </w:r>
      <w:r w:rsidR="00184EEA">
        <w:t>the population is</w:t>
      </w:r>
      <w:r w:rsidR="009837D9">
        <w:t xml:space="preserve"> defined by negative expression and low SSC and </w:t>
      </w:r>
      <w:r w:rsidR="009465E3">
        <w:t>can therefore be difficult to discriminate from debri</w:t>
      </w:r>
      <w:r w:rsidR="00567A40">
        <w:t>s</w:t>
      </w:r>
      <w:r w:rsidR="009F5DF8">
        <w:t xml:space="preserve">. In addition to debris exclusion on </w:t>
      </w:r>
      <w:r w:rsidR="00F60865">
        <w:t xml:space="preserve">FSC-A vs </w:t>
      </w:r>
      <w:r w:rsidR="00120D3B">
        <w:t>S</w:t>
      </w:r>
      <w:r w:rsidR="00F60865">
        <w:t>SC-</w:t>
      </w:r>
      <w:r w:rsidR="00120D3B">
        <w:t>A</w:t>
      </w:r>
      <w:r w:rsidR="00071B99">
        <w:t xml:space="preserve">, </w:t>
      </w:r>
      <w:r w:rsidR="0001222C">
        <w:t>gating on</w:t>
      </w:r>
      <w:r w:rsidR="003557B5">
        <w:t xml:space="preserve"> FSC-A </w:t>
      </w:r>
      <w:r w:rsidR="001B0AB8">
        <w:t>vs</w:t>
      </w:r>
      <w:r w:rsidR="003557B5">
        <w:t xml:space="preserve"> F</w:t>
      </w:r>
      <w:r w:rsidR="00120D3B">
        <w:t>SC-H can aid in identifying</w:t>
      </w:r>
      <w:r w:rsidR="0001222C">
        <w:t xml:space="preserve"> </w:t>
      </w:r>
      <w:r w:rsidR="003557B5">
        <w:t xml:space="preserve">residual </w:t>
      </w:r>
      <w:r w:rsidR="005E7407">
        <w:t>debris</w:t>
      </w:r>
      <w:r w:rsidR="0019793D">
        <w:t>,</w:t>
      </w:r>
      <w:r w:rsidR="00120D3B">
        <w:t xml:space="preserve"> as shown in the </w:t>
      </w:r>
      <w:r w:rsidR="00B500C7">
        <w:t>figure</w:t>
      </w:r>
      <w:r w:rsidR="00A43BF3">
        <w:t xml:space="preserve"> on the left (the figure on the right shows gated events on </w:t>
      </w:r>
      <w:proofErr w:type="gramStart"/>
      <w:r w:rsidR="00A43BF3">
        <w:t>a</w:t>
      </w:r>
      <w:proofErr w:type="gramEnd"/>
      <w:r w:rsidR="00A43BF3">
        <w:t xml:space="preserve"> FSC-A vs SSC-A for reference)</w:t>
      </w:r>
      <w:r w:rsidR="007B627E">
        <w:t>.</w:t>
      </w:r>
      <w:r w:rsidR="00B500C7">
        <w:t xml:space="preserve"> This gate can be emphasized </w:t>
      </w:r>
      <w:r w:rsidR="006863FC">
        <w:t xml:space="preserve">using a zoom function, such as available </w:t>
      </w:r>
      <w:r w:rsidR="00D10592">
        <w:t xml:space="preserve">in the </w:t>
      </w:r>
      <w:proofErr w:type="spellStart"/>
      <w:r w:rsidR="00D10592">
        <w:t>Infinicyt</w:t>
      </w:r>
      <w:proofErr w:type="spellEnd"/>
      <w:r w:rsidR="00D10592">
        <w:t xml:space="preserve"> software.</w:t>
      </w:r>
      <w:r w:rsidR="00895856">
        <w:t xml:space="preserve"> </w:t>
      </w:r>
    </w:p>
    <w:p w14:paraId="724BDFF8" w14:textId="0C4F4D91" w:rsidR="0088005F" w:rsidRDefault="0088005F">
      <w:r>
        <w:rPr>
          <w:noProof/>
        </w:rPr>
        <w:drawing>
          <wp:inline distT="0" distB="0" distL="0" distR="0" wp14:anchorId="7D1C42EE" wp14:editId="15B3FAEA">
            <wp:extent cx="5937250" cy="5956300"/>
            <wp:effectExtent l="0" t="0" r="6350" b="6350"/>
            <wp:docPr id="6635750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595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D8750" w14:textId="1027F210" w:rsidR="00461D5B" w:rsidRDefault="007B67EF">
      <w:r>
        <w:rPr>
          <w:b/>
          <w:bCs/>
        </w:rPr>
        <w:lastRenderedPageBreak/>
        <w:t>Supplemental figure 2</w:t>
      </w:r>
      <w:r w:rsidR="00757A3E">
        <w:rPr>
          <w:b/>
          <w:bCs/>
        </w:rPr>
        <w:t>.</w:t>
      </w:r>
      <w:r w:rsidR="000D7434">
        <w:rPr>
          <w:b/>
          <w:bCs/>
        </w:rPr>
        <w:t xml:space="preserve"> </w:t>
      </w:r>
      <w:r w:rsidR="009E6745">
        <w:rPr>
          <w:b/>
          <w:bCs/>
        </w:rPr>
        <w:t xml:space="preserve">Virtual dilution analysis of BM </w:t>
      </w:r>
      <w:r w:rsidR="00BB511C">
        <w:rPr>
          <w:b/>
          <w:bCs/>
        </w:rPr>
        <w:t>and PB samples</w:t>
      </w:r>
      <w:r w:rsidR="00B2207B">
        <w:rPr>
          <w:b/>
          <w:bCs/>
        </w:rPr>
        <w:t xml:space="preserve">: </w:t>
      </w:r>
      <w:r w:rsidR="00853B2D">
        <w:rPr>
          <w:b/>
          <w:bCs/>
        </w:rPr>
        <w:t>Assessing the cellular and volumetric impacts of varying degrees of BM hemodilution on the</w:t>
      </w:r>
      <w:r w:rsidR="00831B9C">
        <w:rPr>
          <w:b/>
          <w:bCs/>
        </w:rPr>
        <w:t xml:space="preserve"> bone marrow quality index</w:t>
      </w:r>
      <w:r w:rsidR="00853B2D">
        <w:rPr>
          <w:b/>
          <w:bCs/>
        </w:rPr>
        <w:t xml:space="preserve"> </w:t>
      </w:r>
      <w:r w:rsidR="00831B9C">
        <w:rPr>
          <w:b/>
          <w:bCs/>
        </w:rPr>
        <w:t>(</w:t>
      </w:r>
      <w:r w:rsidR="00853B2D">
        <w:rPr>
          <w:b/>
          <w:bCs/>
        </w:rPr>
        <w:t>BMQI</w:t>
      </w:r>
      <w:r w:rsidR="00831B9C">
        <w:rPr>
          <w:b/>
          <w:bCs/>
        </w:rPr>
        <w:t>)</w:t>
      </w:r>
      <w:r w:rsidR="00853B2D">
        <w:rPr>
          <w:b/>
          <w:bCs/>
        </w:rPr>
        <w:t xml:space="preserve">. (A) </w:t>
      </w:r>
      <w:r w:rsidR="00A434A1">
        <w:t>I</w:t>
      </w:r>
      <w:r w:rsidR="000468CD" w:rsidRPr="00590B46">
        <w:t>mpact of increasing</w:t>
      </w:r>
      <w:r w:rsidR="000A369A" w:rsidRPr="00590B46">
        <w:t xml:space="preserve"> </w:t>
      </w:r>
      <w:r w:rsidR="00590B46">
        <w:t xml:space="preserve">proportion of </w:t>
      </w:r>
      <w:r w:rsidR="00392237">
        <w:t>nucleated cells derived from the bone marrow sample (as percentage of total) on the BMQI across the dilution series.</w:t>
      </w:r>
      <w:r w:rsidR="00151AC3">
        <w:t xml:space="preserve"> Median BMQI </w:t>
      </w:r>
      <w:r w:rsidR="0046591A">
        <w:t xml:space="preserve">of </w:t>
      </w:r>
      <w:r w:rsidR="00257484">
        <w:t>0.018</w:t>
      </w:r>
      <w:r w:rsidR="00041907">
        <w:t xml:space="preserve">, 0.16, 0.32, 0.48, 0.64, </w:t>
      </w:r>
      <w:r w:rsidR="00716E0E">
        <w:t>0.80, 0.96, 1.1</w:t>
      </w:r>
      <w:r w:rsidR="009D4EB2">
        <w:t>3</w:t>
      </w:r>
      <w:r w:rsidR="00716E0E">
        <w:t xml:space="preserve">, </w:t>
      </w:r>
      <w:r w:rsidR="00845FC1">
        <w:t>1.</w:t>
      </w:r>
      <w:r w:rsidR="009D4EB2">
        <w:t>27</w:t>
      </w:r>
      <w:r w:rsidR="00845FC1">
        <w:t>, 1.45, and 1.62</w:t>
      </w:r>
      <w:r w:rsidR="002D2694">
        <w:t>,</w:t>
      </w:r>
      <w:r w:rsidR="009D4EB2">
        <w:t xml:space="preserve"> from 0% to 100% BM sample </w:t>
      </w:r>
      <w:r w:rsidR="00C5452E">
        <w:t>nucleated cells, respectively</w:t>
      </w:r>
      <w:r w:rsidR="00A14E7D">
        <w:t xml:space="preserve"> (r=0.92; p&lt;0.001)</w:t>
      </w:r>
      <w:r w:rsidR="00392237">
        <w:t xml:space="preserve"> </w:t>
      </w:r>
      <w:r w:rsidR="00461D5B">
        <w:rPr>
          <w:b/>
          <w:bCs/>
        </w:rPr>
        <w:t>(B)</w:t>
      </w:r>
      <w:r w:rsidR="001F05FA">
        <w:rPr>
          <w:b/>
          <w:bCs/>
        </w:rPr>
        <w:t xml:space="preserve"> </w:t>
      </w:r>
      <w:r w:rsidR="009F33F8">
        <w:t>I</w:t>
      </w:r>
      <w:r w:rsidR="000468CD" w:rsidRPr="00590B46">
        <w:t xml:space="preserve">mpact of increasing </w:t>
      </w:r>
      <w:r w:rsidR="009F33F8">
        <w:t>proportion of the bone marrow sample volume</w:t>
      </w:r>
      <w:r w:rsidR="00476AB0">
        <w:t xml:space="preserve"> (as percentage of the total) on the BMQI across the dilution series.</w:t>
      </w:r>
      <w:r w:rsidR="007B505D">
        <w:t xml:space="preserve"> </w:t>
      </w:r>
      <w:r w:rsidR="005F039D">
        <w:rPr>
          <w:b/>
          <w:bCs/>
        </w:rPr>
        <w:t xml:space="preserve">(C) </w:t>
      </w:r>
      <w:r w:rsidR="00A434A1">
        <w:t>Relationship</w:t>
      </w:r>
      <w:r w:rsidR="00920B27" w:rsidRPr="00590B46">
        <w:t xml:space="preserve"> </w:t>
      </w:r>
      <w:r w:rsidR="00C0544C" w:rsidRPr="00590B46">
        <w:t xml:space="preserve">between </w:t>
      </w:r>
      <w:r w:rsidR="00513134" w:rsidRPr="002D2694">
        <w:t xml:space="preserve">the cellular and volumetric proportions of </w:t>
      </w:r>
      <w:r w:rsidR="00D00D2F" w:rsidRPr="002D2694">
        <w:t xml:space="preserve">the original </w:t>
      </w:r>
      <w:r w:rsidR="00513134" w:rsidRPr="002D2694">
        <w:t>bone marrow sample</w:t>
      </w:r>
      <w:r w:rsidR="0072553F" w:rsidRPr="002D2694">
        <w:t xml:space="preserve"> </w:t>
      </w:r>
      <w:r w:rsidR="00476AB0" w:rsidRPr="002D2694">
        <w:t>across</w:t>
      </w:r>
      <w:r w:rsidR="00D00D2F" w:rsidRPr="002D2694">
        <w:t xml:space="preserve"> </w:t>
      </w:r>
      <w:r w:rsidR="005F039D" w:rsidRPr="002D2694">
        <w:t>the dilution series.</w:t>
      </w:r>
      <w:r w:rsidR="007B505D" w:rsidRPr="002D2694">
        <w:t xml:space="preserve"> Median </w:t>
      </w:r>
      <w:r w:rsidR="0083245D" w:rsidRPr="002D2694">
        <w:t>% BM</w:t>
      </w:r>
      <w:r w:rsidR="002D2694" w:rsidRPr="002D2694">
        <w:t xml:space="preserve"> sample</w:t>
      </w:r>
      <w:r w:rsidR="0083245D" w:rsidRPr="002D2694">
        <w:t xml:space="preserve"> volume</w:t>
      </w:r>
      <w:r w:rsidR="007B505D" w:rsidRPr="002D2694">
        <w:t xml:space="preserve"> of 0.0, 0.</w:t>
      </w:r>
      <w:r w:rsidR="00E603F3" w:rsidRPr="002D2694">
        <w:t>79</w:t>
      </w:r>
      <w:r w:rsidR="007B505D" w:rsidRPr="002D2694">
        <w:t xml:space="preserve">, </w:t>
      </w:r>
      <w:r w:rsidR="00E603F3" w:rsidRPr="002D2694">
        <w:t>1</w:t>
      </w:r>
      <w:r w:rsidR="007B505D" w:rsidRPr="002D2694">
        <w:t>.</w:t>
      </w:r>
      <w:r w:rsidR="00E603F3" w:rsidRPr="002D2694">
        <w:t>76</w:t>
      </w:r>
      <w:r w:rsidR="007B505D" w:rsidRPr="002D2694">
        <w:t xml:space="preserve">, </w:t>
      </w:r>
      <w:r w:rsidR="003A385B" w:rsidRPr="002D2694">
        <w:t>2</w:t>
      </w:r>
      <w:r w:rsidR="007B505D" w:rsidRPr="002D2694">
        <w:t>.</w:t>
      </w:r>
      <w:r w:rsidR="003A385B" w:rsidRPr="002D2694">
        <w:t>98</w:t>
      </w:r>
      <w:r w:rsidR="007B505D" w:rsidRPr="002D2694">
        <w:t xml:space="preserve">, </w:t>
      </w:r>
      <w:r w:rsidR="003A385B" w:rsidRPr="002D2694">
        <w:t>4</w:t>
      </w:r>
      <w:r w:rsidR="007B505D" w:rsidRPr="002D2694">
        <w:t>.</w:t>
      </w:r>
      <w:r w:rsidR="00DE2E10" w:rsidRPr="002D2694">
        <w:t>55</w:t>
      </w:r>
      <w:r w:rsidR="007B505D" w:rsidRPr="002D2694">
        <w:t xml:space="preserve">, </w:t>
      </w:r>
      <w:r w:rsidR="00DE2E10" w:rsidRPr="002D2694">
        <w:t>6.68</w:t>
      </w:r>
      <w:r w:rsidR="007B505D" w:rsidRPr="002D2694">
        <w:t xml:space="preserve">, </w:t>
      </w:r>
      <w:r w:rsidR="00DE2E10" w:rsidRPr="002D2694">
        <w:t>9.96</w:t>
      </w:r>
      <w:r w:rsidR="007B505D" w:rsidRPr="002D2694">
        <w:t xml:space="preserve">, </w:t>
      </w:r>
      <w:r w:rsidR="00977601" w:rsidRPr="002D2694">
        <w:t>14</w:t>
      </w:r>
      <w:r w:rsidR="007B505D" w:rsidRPr="002D2694">
        <w:t>.</w:t>
      </w:r>
      <w:r w:rsidR="00977601" w:rsidRPr="002D2694">
        <w:t>31</w:t>
      </w:r>
      <w:r w:rsidR="007B505D" w:rsidRPr="002D2694">
        <w:t xml:space="preserve">, </w:t>
      </w:r>
      <w:r w:rsidR="00977601" w:rsidRPr="002D2694">
        <w:t>22</w:t>
      </w:r>
      <w:r w:rsidR="007B505D" w:rsidRPr="002D2694">
        <w:t>.2</w:t>
      </w:r>
      <w:r w:rsidR="00977601" w:rsidRPr="002D2694">
        <w:t>5</w:t>
      </w:r>
      <w:r w:rsidR="007B505D" w:rsidRPr="002D2694">
        <w:t xml:space="preserve">, </w:t>
      </w:r>
      <w:r w:rsidR="00977601" w:rsidRPr="002D2694">
        <w:t>39</w:t>
      </w:r>
      <w:r w:rsidR="007B505D" w:rsidRPr="002D2694">
        <w:t>.</w:t>
      </w:r>
      <w:r w:rsidR="00977601" w:rsidRPr="002D2694">
        <w:t>17</w:t>
      </w:r>
      <w:r w:rsidR="007B505D" w:rsidRPr="002D2694">
        <w:t xml:space="preserve">, and </w:t>
      </w:r>
      <w:r w:rsidR="00977601" w:rsidRPr="002D2694">
        <w:t>100</w:t>
      </w:r>
      <w:r w:rsidR="002D2694" w:rsidRPr="002D2694">
        <w:t>,</w:t>
      </w:r>
      <w:r w:rsidR="007B505D" w:rsidRPr="002D2694">
        <w:t xml:space="preserve"> from 0% to 100% BM sample nucleated cells, respectively</w:t>
      </w:r>
      <w:r w:rsidR="005F039D" w:rsidRPr="002D2694">
        <w:rPr>
          <w:b/>
          <w:bCs/>
        </w:rPr>
        <w:t xml:space="preserve"> (D)</w:t>
      </w:r>
      <w:r w:rsidR="00A44388" w:rsidRPr="002D2694">
        <w:rPr>
          <w:b/>
          <w:bCs/>
        </w:rPr>
        <w:t xml:space="preserve"> </w:t>
      </w:r>
      <w:r w:rsidR="006031C1">
        <w:t>Correlation</w:t>
      </w:r>
      <w:r w:rsidR="00A44388" w:rsidRPr="002D2694">
        <w:t xml:space="preserve"> between </w:t>
      </w:r>
      <w:r w:rsidR="00A1478E" w:rsidRPr="002D2694">
        <w:t>the proportion of the BMQI and the percentage of total plasma cells in the dilution series</w:t>
      </w:r>
      <w:r w:rsidR="00A44388" w:rsidRPr="002D2694">
        <w:t>, relative to the undiluted bone marrow sample</w:t>
      </w:r>
      <w:r w:rsidR="004744BA">
        <w:t xml:space="preserve"> (</w:t>
      </w:r>
      <w:r w:rsidR="005A789A">
        <w:t>r=0.</w:t>
      </w:r>
      <w:r w:rsidR="00B66570">
        <w:t>99</w:t>
      </w:r>
      <w:r w:rsidR="005A789A">
        <w:t>; p&lt;0.001)</w:t>
      </w:r>
      <w:r w:rsidR="007B505D" w:rsidRPr="002D2694">
        <w:t xml:space="preserve">. </w:t>
      </w:r>
      <w:r w:rsidR="00A44388" w:rsidRPr="002D2694">
        <w:t>Each</w:t>
      </w:r>
      <w:r w:rsidR="00A44388">
        <w:t xml:space="preserve"> graph is presented as a scatterplot</w:t>
      </w:r>
      <w:r w:rsidR="005E177C">
        <w:t xml:space="preserve"> with data points for each dilution sequentially connected, representing individual donors</w:t>
      </w:r>
      <w:r w:rsidR="00073931" w:rsidRPr="00590B46">
        <w:t>.</w:t>
      </w:r>
    </w:p>
    <w:p w14:paraId="46074D0B" w14:textId="77777777" w:rsidR="002D7849" w:rsidRPr="00590B46" w:rsidRDefault="002D7849"/>
    <w:p w14:paraId="26EA5358" w14:textId="4ED7DEE0" w:rsidR="00522AF8" w:rsidRDefault="00522AF8">
      <w:pPr>
        <w:rPr>
          <w:b/>
          <w:bCs/>
        </w:rPr>
      </w:pPr>
      <w:r>
        <w:rPr>
          <w:b/>
          <w:bCs/>
        </w:rPr>
        <w:t>Supplemental methods</w:t>
      </w:r>
    </w:p>
    <w:p w14:paraId="2FE30DA4" w14:textId="6F4C0542" w:rsidR="00321106" w:rsidRDefault="00430394">
      <w:pPr>
        <w:rPr>
          <w:b/>
          <w:bCs/>
        </w:rPr>
      </w:pPr>
      <w:r w:rsidRPr="00E26E47">
        <w:rPr>
          <w:b/>
          <w:bCs/>
        </w:rPr>
        <w:t>Virtual dilut</w:t>
      </w:r>
      <w:r w:rsidR="00D70DD2">
        <w:rPr>
          <w:b/>
          <w:bCs/>
        </w:rPr>
        <w:t>ion of</w:t>
      </w:r>
      <w:r w:rsidR="00127E49" w:rsidRPr="00E26E47">
        <w:rPr>
          <w:b/>
          <w:bCs/>
        </w:rPr>
        <w:t xml:space="preserve"> bone marrow</w:t>
      </w:r>
      <w:r w:rsidR="00F80D70" w:rsidRPr="00E26E47">
        <w:rPr>
          <w:b/>
          <w:bCs/>
        </w:rPr>
        <w:t xml:space="preserve"> sample</w:t>
      </w:r>
      <w:r w:rsidR="00E26E47" w:rsidRPr="00E26E47">
        <w:rPr>
          <w:b/>
          <w:bCs/>
        </w:rPr>
        <w:t>s</w:t>
      </w:r>
    </w:p>
    <w:p w14:paraId="10B0180C" w14:textId="3508648D" w:rsidR="00073B7B" w:rsidRPr="00BC02ED" w:rsidRDefault="00BC02ED">
      <w:r>
        <w:t xml:space="preserve">Virtual dilutions were performed using prospectively collected </w:t>
      </w:r>
      <w:r w:rsidR="000C4E89">
        <w:t>paired bone marrow (BM) and peripheral blood (PB) samples</w:t>
      </w:r>
      <w:r w:rsidR="00764247">
        <w:t xml:space="preserve"> </w:t>
      </w:r>
      <w:r w:rsidR="00512D08">
        <w:t>from 10 individuals</w:t>
      </w:r>
      <w:r w:rsidR="000C4E89">
        <w:t>. The dilutions</w:t>
      </w:r>
      <w:r w:rsidR="002E3049">
        <w:t xml:space="preserve"> were simulated based on the pre-determined number of nucleated cellular events in </w:t>
      </w:r>
      <w:r w:rsidR="00674D8C">
        <w:t>the paired samples, obtained f</w:t>
      </w:r>
      <w:r w:rsidR="00512D08">
        <w:t>rom</w:t>
      </w:r>
      <w:r w:rsidR="00674D8C">
        <w:t xml:space="preserve"> participants of the Iceland Screens, Treats, or Prevents Multiple Myeloma study (</w:t>
      </w:r>
      <w:proofErr w:type="spellStart"/>
      <w:r w:rsidR="00674D8C">
        <w:t>iStopMM</w:t>
      </w:r>
      <w:proofErr w:type="spellEnd"/>
      <w:r w:rsidR="00674D8C">
        <w:t>)</w:t>
      </w:r>
      <w:r w:rsidR="00637BD1">
        <w:t>, diagnosed with monoclonal gammopathy of undetermined significance (MGUS; n=3), smoldering multiple myeloma (SMM; n=4), and multiple myeloma (MM; n=3). Initially, BM and PB samples were</w:t>
      </w:r>
      <w:r w:rsidR="00B62709">
        <w:t xml:space="preserve"> prepared and</w:t>
      </w:r>
      <w:r w:rsidR="00637BD1">
        <w:t xml:space="preserve"> stained separately using the antibody combination </w:t>
      </w:r>
      <w:r w:rsidR="001F0996">
        <w:t xml:space="preserve">from the </w:t>
      </w:r>
      <w:proofErr w:type="spellStart"/>
      <w:r w:rsidR="001F0996">
        <w:t>EuroFlow</w:t>
      </w:r>
      <w:proofErr w:type="spellEnd"/>
      <w:r w:rsidR="001F0996">
        <w:t xml:space="preserve"> – minimal residual disease (MRD) panel</w:t>
      </w:r>
      <w:r w:rsidR="00FE4519">
        <w:t xml:space="preserve"> </w:t>
      </w:r>
      <w:r w:rsidR="00B62709">
        <w:t xml:space="preserve">according to </w:t>
      </w:r>
      <w:proofErr w:type="spellStart"/>
      <w:r w:rsidR="00B62709">
        <w:t>EuroFlow</w:t>
      </w:r>
      <w:proofErr w:type="spellEnd"/>
      <w:r w:rsidR="00B62709">
        <w:t xml:space="preserve"> protocols as </w:t>
      </w:r>
      <w:r w:rsidR="002D7BD3">
        <w:t>described in</w:t>
      </w:r>
      <w:r w:rsidR="00B62709">
        <w:t xml:space="preserve"> the paper. </w:t>
      </w:r>
      <w:r w:rsidR="0046453B">
        <w:t xml:space="preserve">Subsequently, dilutions were simulated in the </w:t>
      </w:r>
      <w:proofErr w:type="spellStart"/>
      <w:r w:rsidR="0046453B">
        <w:t>Infinicyt</w:t>
      </w:r>
      <w:proofErr w:type="spellEnd"/>
      <w:r w:rsidR="0046453B">
        <w:t xml:space="preserve"> software by merging a specified number of nucleated cellular events</w:t>
      </w:r>
      <w:r w:rsidR="008771FC">
        <w:t xml:space="preserve"> from the paired BM and PB flow cytometry standard (FCS) files. This produced a series of FCS files, each containing a predetermined percenta</w:t>
      </w:r>
      <w:r w:rsidR="008F47A2">
        <w:t xml:space="preserve">ge of nucleated cellular events from the original BM </w:t>
      </w:r>
      <w:r w:rsidR="003C20BC">
        <w:t>FCS file, ranging from 0% to 100% in 10% increments (11 files in total)</w:t>
      </w:r>
      <w:r w:rsidR="00D337CA">
        <w:t>. For each donor, the series was merged into a single file, with distinct identification for individual files.</w:t>
      </w:r>
      <w:r w:rsidR="00DF566A">
        <w:t xml:space="preserve"> The merged files were gated manually </w:t>
      </w:r>
      <w:r w:rsidR="000666B6">
        <w:t xml:space="preserve">in full, </w:t>
      </w:r>
      <w:r w:rsidR="00D337CA">
        <w:t>ensuring consist</w:t>
      </w:r>
      <w:r w:rsidR="00512D08">
        <w:t>ent</w:t>
      </w:r>
      <w:r w:rsidR="00D337CA">
        <w:t xml:space="preserve"> gating across all dilutions in the series for each donor.</w:t>
      </w:r>
      <w:r w:rsidR="00CB148F">
        <w:t xml:space="preserve"> Population percentages were determined for each file in the dilutions series separately and used to calculate the bone marrow quality index (BMQI). Additionally, </w:t>
      </w:r>
      <w:r w:rsidR="00073B7B">
        <w:t>nucleated cellular events from BM and PB in each file were used to compute the corresponding sample volume</w:t>
      </w:r>
      <w:r w:rsidR="00765E27">
        <w:t xml:space="preserve">. This was achieved using a dual-platform approach that utilized the pre-analytical white blood cell </w:t>
      </w:r>
      <w:r w:rsidR="00A33BEC">
        <w:t>(WBC) count of the BM and PB samples.</w:t>
      </w:r>
      <w:r w:rsidR="005A789A">
        <w:t xml:space="preserve"> Pearson</w:t>
      </w:r>
      <w:r w:rsidR="00663354">
        <w:t xml:space="preserve">’s correlation was used to assess the </w:t>
      </w:r>
      <w:r w:rsidR="00E7364F">
        <w:t>relationship between two variables in the dilution series.</w:t>
      </w:r>
    </w:p>
    <w:p w14:paraId="791685D8" w14:textId="719FF501" w:rsidR="00E903A7" w:rsidRDefault="00E903A7"/>
    <w:p w14:paraId="109FB2B1" w14:textId="76D50835" w:rsidR="00E903A7" w:rsidRDefault="00E903A7"/>
    <w:sectPr w:rsidR="00E903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3A7"/>
    <w:rsid w:val="00003D9F"/>
    <w:rsid w:val="0001222C"/>
    <w:rsid w:val="00036C98"/>
    <w:rsid w:val="00041907"/>
    <w:rsid w:val="000468CD"/>
    <w:rsid w:val="000666B6"/>
    <w:rsid w:val="000703FE"/>
    <w:rsid w:val="00071B99"/>
    <w:rsid w:val="00073931"/>
    <w:rsid w:val="00073B7B"/>
    <w:rsid w:val="0008281D"/>
    <w:rsid w:val="00083551"/>
    <w:rsid w:val="000A369A"/>
    <w:rsid w:val="000C4E89"/>
    <w:rsid w:val="000D7434"/>
    <w:rsid w:val="000E3987"/>
    <w:rsid w:val="00120D3B"/>
    <w:rsid w:val="00124255"/>
    <w:rsid w:val="001269AF"/>
    <w:rsid w:val="00127E49"/>
    <w:rsid w:val="00132872"/>
    <w:rsid w:val="00141E85"/>
    <w:rsid w:val="00151AC3"/>
    <w:rsid w:val="00152E3F"/>
    <w:rsid w:val="00153077"/>
    <w:rsid w:val="00155FF3"/>
    <w:rsid w:val="00163441"/>
    <w:rsid w:val="00163F9A"/>
    <w:rsid w:val="00166D62"/>
    <w:rsid w:val="001751FC"/>
    <w:rsid w:val="0017763F"/>
    <w:rsid w:val="00184EEA"/>
    <w:rsid w:val="00195081"/>
    <w:rsid w:val="0019793D"/>
    <w:rsid w:val="001A4392"/>
    <w:rsid w:val="001B09A1"/>
    <w:rsid w:val="001B0AB8"/>
    <w:rsid w:val="001B26F9"/>
    <w:rsid w:val="001C50EC"/>
    <w:rsid w:val="001C6BE7"/>
    <w:rsid w:val="001E2427"/>
    <w:rsid w:val="001F05FA"/>
    <w:rsid w:val="001F0996"/>
    <w:rsid w:val="001F64FA"/>
    <w:rsid w:val="00210B12"/>
    <w:rsid w:val="00217CD6"/>
    <w:rsid w:val="00252694"/>
    <w:rsid w:val="00257484"/>
    <w:rsid w:val="002633B3"/>
    <w:rsid w:val="00287500"/>
    <w:rsid w:val="002B551D"/>
    <w:rsid w:val="002C14DF"/>
    <w:rsid w:val="002D2694"/>
    <w:rsid w:val="002D7849"/>
    <w:rsid w:val="002D7BD3"/>
    <w:rsid w:val="002E3049"/>
    <w:rsid w:val="002E4735"/>
    <w:rsid w:val="002F72E6"/>
    <w:rsid w:val="00311B86"/>
    <w:rsid w:val="00321106"/>
    <w:rsid w:val="003461C9"/>
    <w:rsid w:val="0035403F"/>
    <w:rsid w:val="003557B5"/>
    <w:rsid w:val="003737CE"/>
    <w:rsid w:val="00392237"/>
    <w:rsid w:val="003A385B"/>
    <w:rsid w:val="003A4C87"/>
    <w:rsid w:val="003A621E"/>
    <w:rsid w:val="003C20BC"/>
    <w:rsid w:val="003C2FA9"/>
    <w:rsid w:val="003C4CD5"/>
    <w:rsid w:val="00411AA5"/>
    <w:rsid w:val="00430394"/>
    <w:rsid w:val="00452915"/>
    <w:rsid w:val="00457BFE"/>
    <w:rsid w:val="00461D5B"/>
    <w:rsid w:val="0046453B"/>
    <w:rsid w:val="0046591A"/>
    <w:rsid w:val="004663C9"/>
    <w:rsid w:val="004726FE"/>
    <w:rsid w:val="004744BA"/>
    <w:rsid w:val="00476AB0"/>
    <w:rsid w:val="00491988"/>
    <w:rsid w:val="004C788D"/>
    <w:rsid w:val="004D1416"/>
    <w:rsid w:val="004D50E6"/>
    <w:rsid w:val="004D7D19"/>
    <w:rsid w:val="004F0C4C"/>
    <w:rsid w:val="004F7CDE"/>
    <w:rsid w:val="00512D08"/>
    <w:rsid w:val="00513134"/>
    <w:rsid w:val="00514027"/>
    <w:rsid w:val="00522AF8"/>
    <w:rsid w:val="0052354D"/>
    <w:rsid w:val="005244F5"/>
    <w:rsid w:val="00530826"/>
    <w:rsid w:val="00530B25"/>
    <w:rsid w:val="00530D5F"/>
    <w:rsid w:val="00561250"/>
    <w:rsid w:val="00567A40"/>
    <w:rsid w:val="00570C20"/>
    <w:rsid w:val="00590B46"/>
    <w:rsid w:val="0059294B"/>
    <w:rsid w:val="005A789A"/>
    <w:rsid w:val="005B1F3F"/>
    <w:rsid w:val="005E177C"/>
    <w:rsid w:val="005E7407"/>
    <w:rsid w:val="005F039D"/>
    <w:rsid w:val="005F4E9A"/>
    <w:rsid w:val="00600A2E"/>
    <w:rsid w:val="006031C1"/>
    <w:rsid w:val="006308E4"/>
    <w:rsid w:val="0063380E"/>
    <w:rsid w:val="00633DA4"/>
    <w:rsid w:val="006350EE"/>
    <w:rsid w:val="00637BD1"/>
    <w:rsid w:val="00646841"/>
    <w:rsid w:val="00663354"/>
    <w:rsid w:val="00674D8C"/>
    <w:rsid w:val="006863FC"/>
    <w:rsid w:val="006941F2"/>
    <w:rsid w:val="006B079A"/>
    <w:rsid w:val="006B58F2"/>
    <w:rsid w:val="006D1C2D"/>
    <w:rsid w:val="006E1190"/>
    <w:rsid w:val="006E3915"/>
    <w:rsid w:val="006F1E7E"/>
    <w:rsid w:val="00701302"/>
    <w:rsid w:val="00703785"/>
    <w:rsid w:val="00710CF2"/>
    <w:rsid w:val="00716E0E"/>
    <w:rsid w:val="0072553F"/>
    <w:rsid w:val="007301F5"/>
    <w:rsid w:val="00735B5B"/>
    <w:rsid w:val="00757A3E"/>
    <w:rsid w:val="00760231"/>
    <w:rsid w:val="00760D68"/>
    <w:rsid w:val="00764247"/>
    <w:rsid w:val="00765E27"/>
    <w:rsid w:val="00782708"/>
    <w:rsid w:val="00791E48"/>
    <w:rsid w:val="007925F1"/>
    <w:rsid w:val="007A52EC"/>
    <w:rsid w:val="007B505D"/>
    <w:rsid w:val="007B627E"/>
    <w:rsid w:val="007B67EF"/>
    <w:rsid w:val="008105D8"/>
    <w:rsid w:val="00815F09"/>
    <w:rsid w:val="00831B9C"/>
    <w:rsid w:val="0083245D"/>
    <w:rsid w:val="00845FC1"/>
    <w:rsid w:val="00853B2D"/>
    <w:rsid w:val="008771FC"/>
    <w:rsid w:val="0088005F"/>
    <w:rsid w:val="00890980"/>
    <w:rsid w:val="00891E2A"/>
    <w:rsid w:val="00895856"/>
    <w:rsid w:val="008B1043"/>
    <w:rsid w:val="008B4358"/>
    <w:rsid w:val="008B527E"/>
    <w:rsid w:val="008B77C9"/>
    <w:rsid w:val="008E48F2"/>
    <w:rsid w:val="008F47A2"/>
    <w:rsid w:val="00920B27"/>
    <w:rsid w:val="0092134A"/>
    <w:rsid w:val="0092220F"/>
    <w:rsid w:val="00922CBF"/>
    <w:rsid w:val="00941633"/>
    <w:rsid w:val="009434A8"/>
    <w:rsid w:val="009465E3"/>
    <w:rsid w:val="009504ED"/>
    <w:rsid w:val="00964C46"/>
    <w:rsid w:val="00967B04"/>
    <w:rsid w:val="00977601"/>
    <w:rsid w:val="009837D9"/>
    <w:rsid w:val="00990D17"/>
    <w:rsid w:val="009C01E4"/>
    <w:rsid w:val="009C3CFD"/>
    <w:rsid w:val="009C5DFD"/>
    <w:rsid w:val="009D4EB2"/>
    <w:rsid w:val="009E6745"/>
    <w:rsid w:val="009E7D25"/>
    <w:rsid w:val="009F33F8"/>
    <w:rsid w:val="009F4988"/>
    <w:rsid w:val="009F4EB7"/>
    <w:rsid w:val="009F5DF8"/>
    <w:rsid w:val="00A11679"/>
    <w:rsid w:val="00A1478E"/>
    <w:rsid w:val="00A14E7D"/>
    <w:rsid w:val="00A32F32"/>
    <w:rsid w:val="00A33BEC"/>
    <w:rsid w:val="00A40ABC"/>
    <w:rsid w:val="00A40F22"/>
    <w:rsid w:val="00A428D9"/>
    <w:rsid w:val="00A434A1"/>
    <w:rsid w:val="00A43BF3"/>
    <w:rsid w:val="00A44388"/>
    <w:rsid w:val="00A52488"/>
    <w:rsid w:val="00A7568F"/>
    <w:rsid w:val="00A76EC9"/>
    <w:rsid w:val="00AA453C"/>
    <w:rsid w:val="00AA5C3E"/>
    <w:rsid w:val="00AC329A"/>
    <w:rsid w:val="00AD7250"/>
    <w:rsid w:val="00AF2F00"/>
    <w:rsid w:val="00AF441B"/>
    <w:rsid w:val="00B05D8B"/>
    <w:rsid w:val="00B21BDA"/>
    <w:rsid w:val="00B2207B"/>
    <w:rsid w:val="00B37BFB"/>
    <w:rsid w:val="00B500C7"/>
    <w:rsid w:val="00B5101F"/>
    <w:rsid w:val="00B51A6D"/>
    <w:rsid w:val="00B62709"/>
    <w:rsid w:val="00B63B0A"/>
    <w:rsid w:val="00B66570"/>
    <w:rsid w:val="00B80F8C"/>
    <w:rsid w:val="00BA44D3"/>
    <w:rsid w:val="00BA536F"/>
    <w:rsid w:val="00BB511C"/>
    <w:rsid w:val="00BC02ED"/>
    <w:rsid w:val="00BF2C81"/>
    <w:rsid w:val="00BF3479"/>
    <w:rsid w:val="00C0544C"/>
    <w:rsid w:val="00C1081C"/>
    <w:rsid w:val="00C12687"/>
    <w:rsid w:val="00C266E7"/>
    <w:rsid w:val="00C32BC1"/>
    <w:rsid w:val="00C37404"/>
    <w:rsid w:val="00C5452E"/>
    <w:rsid w:val="00C55DAB"/>
    <w:rsid w:val="00C6767F"/>
    <w:rsid w:val="00C676AD"/>
    <w:rsid w:val="00C73CD1"/>
    <w:rsid w:val="00C7409A"/>
    <w:rsid w:val="00CB148F"/>
    <w:rsid w:val="00CB73A8"/>
    <w:rsid w:val="00CC1CFB"/>
    <w:rsid w:val="00CC39D5"/>
    <w:rsid w:val="00CE6F47"/>
    <w:rsid w:val="00CF4656"/>
    <w:rsid w:val="00D00D2F"/>
    <w:rsid w:val="00D06EF0"/>
    <w:rsid w:val="00D10592"/>
    <w:rsid w:val="00D30A17"/>
    <w:rsid w:val="00D337CA"/>
    <w:rsid w:val="00D43EB5"/>
    <w:rsid w:val="00D70DD2"/>
    <w:rsid w:val="00D83776"/>
    <w:rsid w:val="00D8787F"/>
    <w:rsid w:val="00D92FF1"/>
    <w:rsid w:val="00D938AE"/>
    <w:rsid w:val="00DA5C62"/>
    <w:rsid w:val="00DC5D3E"/>
    <w:rsid w:val="00DE2E10"/>
    <w:rsid w:val="00DF566A"/>
    <w:rsid w:val="00DF63E8"/>
    <w:rsid w:val="00DF7A3B"/>
    <w:rsid w:val="00E1374C"/>
    <w:rsid w:val="00E26E47"/>
    <w:rsid w:val="00E600C6"/>
    <w:rsid w:val="00E603F3"/>
    <w:rsid w:val="00E7364F"/>
    <w:rsid w:val="00E77B80"/>
    <w:rsid w:val="00E903A7"/>
    <w:rsid w:val="00EA43CF"/>
    <w:rsid w:val="00EB17F7"/>
    <w:rsid w:val="00EB1DCE"/>
    <w:rsid w:val="00EB32FC"/>
    <w:rsid w:val="00EC6CBE"/>
    <w:rsid w:val="00ED72D3"/>
    <w:rsid w:val="00EE5CBD"/>
    <w:rsid w:val="00EF4DFD"/>
    <w:rsid w:val="00F02E49"/>
    <w:rsid w:val="00F059ED"/>
    <w:rsid w:val="00F12145"/>
    <w:rsid w:val="00F22E80"/>
    <w:rsid w:val="00F60865"/>
    <w:rsid w:val="00F6599A"/>
    <w:rsid w:val="00F80D70"/>
    <w:rsid w:val="00FA1C27"/>
    <w:rsid w:val="00FB1A85"/>
    <w:rsid w:val="00FC4AFA"/>
    <w:rsid w:val="00FD59F6"/>
    <w:rsid w:val="00FE4519"/>
    <w:rsid w:val="00FE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01930"/>
  <w15:chartTrackingRefBased/>
  <w15:docId w15:val="{95265075-75F3-4A73-A386-EE9043556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824</Words>
  <Characters>4700</Characters>
  <Application>Microsoft Office Word</Application>
  <DocSecurity>0</DocSecurity>
  <Lines>39</Lines>
  <Paragraphs>11</Paragraphs>
  <ScaleCrop>false</ScaleCrop>
  <Company/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Jón Þórir Óskarsson - HI</dc:creator>
  <cp:keywords/>
  <dc:description/>
  <cp:lastModifiedBy>Jón Þórir Óskarsson - HI</cp:lastModifiedBy>
  <cp:revision>200</cp:revision>
  <dcterms:created xsi:type="dcterms:W3CDTF">2023-09-06T15:01:00Z</dcterms:created>
  <dcterms:modified xsi:type="dcterms:W3CDTF">2023-11-14T14:38:00Z</dcterms:modified>
</cp:coreProperties>
</file>