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76FB2" w14:textId="6F3ED27F" w:rsidR="00EF2460" w:rsidRPr="00D612ED" w:rsidRDefault="00D612ED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>Supplemental Figure Legends</w:t>
      </w:r>
    </w:p>
    <w:p w14:paraId="4611254E" w14:textId="2197C0E9" w:rsidR="006468BE" w:rsidRPr="00D612ED" w:rsidRDefault="006468BE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>Supplemental Figure 1. Determination of karyotype and absence of MLL rearrangement o</w:t>
      </w:r>
      <w:r w:rsidR="00C31251" w:rsidRPr="00D612ED">
        <w:rPr>
          <w:rFonts w:ascii="Arial" w:hAnsi="Arial" w:cs="Arial"/>
          <w:b/>
          <w:bCs/>
          <w:sz w:val="23"/>
          <w:szCs w:val="23"/>
        </w:rPr>
        <w:t>r</w:t>
      </w:r>
      <w:r w:rsidRPr="00D612ED">
        <w:rPr>
          <w:rFonts w:ascii="Arial" w:hAnsi="Arial" w:cs="Arial"/>
          <w:b/>
          <w:bCs/>
          <w:sz w:val="23"/>
          <w:szCs w:val="23"/>
        </w:rPr>
        <w:t xml:space="preserve"> MYC amplification </w:t>
      </w:r>
      <w:r w:rsidR="00C31251" w:rsidRPr="00D612ED">
        <w:rPr>
          <w:rFonts w:ascii="Arial" w:hAnsi="Arial" w:cs="Arial"/>
          <w:b/>
          <w:bCs/>
          <w:sz w:val="23"/>
          <w:szCs w:val="23"/>
        </w:rPr>
        <w:t>in GMR-AML1 cells. A</w:t>
      </w:r>
      <w:r w:rsidRPr="00D612ED">
        <w:rPr>
          <w:rFonts w:ascii="Arial" w:hAnsi="Arial" w:cs="Arial"/>
          <w:b/>
          <w:bCs/>
          <w:sz w:val="23"/>
          <w:szCs w:val="23"/>
        </w:rPr>
        <w:t>.</w:t>
      </w:r>
      <w:r w:rsidR="00824AFD">
        <w:rPr>
          <w:rFonts w:ascii="Arial" w:hAnsi="Arial" w:cs="Arial"/>
          <w:b/>
          <w:bCs/>
          <w:sz w:val="23"/>
          <w:szCs w:val="23"/>
        </w:rPr>
        <w:t xml:space="preserve"> </w:t>
      </w:r>
      <w:r w:rsidR="00824AFD">
        <w:rPr>
          <w:rFonts w:ascii="Arial" w:hAnsi="Arial" w:cs="Arial"/>
          <w:sz w:val="23"/>
          <w:szCs w:val="23"/>
        </w:rPr>
        <w:t>Pedigree chart of the patient and progeny for Runx1 mutation and disease state.</w:t>
      </w:r>
      <w:r w:rsidR="00824AFD">
        <w:rPr>
          <w:rFonts w:ascii="Arial" w:hAnsi="Arial" w:cs="Arial"/>
          <w:b/>
          <w:bCs/>
          <w:sz w:val="23"/>
          <w:szCs w:val="23"/>
        </w:rPr>
        <w:t xml:space="preserve"> B.</w:t>
      </w:r>
      <w:r w:rsidRPr="00D612ED">
        <w:rPr>
          <w:rFonts w:ascii="Arial" w:hAnsi="Arial" w:cs="Arial"/>
          <w:sz w:val="23"/>
          <w:szCs w:val="23"/>
        </w:rPr>
        <w:t xml:space="preserve"> Karyotype analysis of GMR-AML1 cells. </w:t>
      </w:r>
      <w:r w:rsidR="00824AFD">
        <w:rPr>
          <w:rFonts w:ascii="Arial" w:hAnsi="Arial" w:cs="Arial"/>
          <w:b/>
          <w:bCs/>
          <w:sz w:val="23"/>
          <w:szCs w:val="23"/>
        </w:rPr>
        <w:t>C</w:t>
      </w:r>
      <w:r w:rsidRPr="00D612ED">
        <w:rPr>
          <w:rFonts w:ascii="Arial" w:hAnsi="Arial" w:cs="Arial"/>
          <w:b/>
          <w:bCs/>
          <w:sz w:val="23"/>
          <w:szCs w:val="23"/>
        </w:rPr>
        <w:t>.</w:t>
      </w:r>
      <w:r w:rsidRPr="00D612ED">
        <w:rPr>
          <w:rFonts w:ascii="Arial" w:hAnsi="Arial" w:cs="Arial"/>
          <w:sz w:val="23"/>
          <w:szCs w:val="23"/>
        </w:rPr>
        <w:t xml:space="preserve"> FISH analysis for MLL rearrangement and MYC amplification. </w:t>
      </w:r>
      <w:r w:rsidR="00824AFD">
        <w:rPr>
          <w:rFonts w:ascii="Arial" w:hAnsi="Arial" w:cs="Arial"/>
          <w:b/>
          <w:bCs/>
          <w:sz w:val="23"/>
          <w:szCs w:val="23"/>
        </w:rPr>
        <w:t>D</w:t>
      </w:r>
      <w:r w:rsidRPr="00D612ED">
        <w:rPr>
          <w:rFonts w:ascii="Arial" w:hAnsi="Arial" w:cs="Arial"/>
          <w:b/>
          <w:bCs/>
          <w:sz w:val="23"/>
          <w:szCs w:val="23"/>
        </w:rPr>
        <w:t>.</w:t>
      </w:r>
      <w:r w:rsidRPr="00D612ED">
        <w:rPr>
          <w:rFonts w:ascii="Arial" w:hAnsi="Arial" w:cs="Arial"/>
          <w:sz w:val="23"/>
          <w:szCs w:val="23"/>
        </w:rPr>
        <w:t xml:space="preserve"> Epigenetic mutations identified by whole exome sequencing in GMR-AML1 cells.</w:t>
      </w:r>
      <w:r w:rsidR="00C31251" w:rsidRPr="00D612ED">
        <w:rPr>
          <w:rFonts w:ascii="Arial" w:hAnsi="Arial" w:cs="Arial"/>
          <w:sz w:val="23"/>
          <w:szCs w:val="23"/>
        </w:rPr>
        <w:t xml:space="preserve"> </w:t>
      </w:r>
      <w:r w:rsidR="00824AFD">
        <w:rPr>
          <w:rFonts w:ascii="Arial" w:hAnsi="Arial" w:cs="Arial"/>
          <w:b/>
          <w:bCs/>
          <w:sz w:val="23"/>
          <w:szCs w:val="23"/>
        </w:rPr>
        <w:t>E</w:t>
      </w:r>
      <w:r w:rsidR="00C31251" w:rsidRPr="00D612ED">
        <w:rPr>
          <w:rFonts w:ascii="Arial" w:hAnsi="Arial" w:cs="Arial"/>
          <w:b/>
          <w:bCs/>
          <w:sz w:val="23"/>
          <w:szCs w:val="23"/>
        </w:rPr>
        <w:t>.</w:t>
      </w:r>
      <w:r w:rsidR="00C31251" w:rsidRPr="00D612ED">
        <w:rPr>
          <w:rFonts w:ascii="Arial" w:hAnsi="Arial" w:cs="Arial"/>
          <w:sz w:val="23"/>
          <w:szCs w:val="23"/>
        </w:rPr>
        <w:t xml:space="preserve"> The log2 fold-decrease (&gt; 1.25-fold) in accessibility of genes in FPD-MM vs. FPD as identified by ATAC-Seq analysis.</w:t>
      </w:r>
      <w:r w:rsidR="0069455D" w:rsidRPr="00D612ED">
        <w:rPr>
          <w:rFonts w:ascii="Arial" w:hAnsi="Arial" w:cs="Arial"/>
          <w:sz w:val="23"/>
          <w:szCs w:val="23"/>
        </w:rPr>
        <w:t xml:space="preserve"> </w:t>
      </w:r>
      <w:r w:rsidR="00824AFD">
        <w:rPr>
          <w:rFonts w:ascii="Arial" w:hAnsi="Arial" w:cs="Arial"/>
          <w:b/>
          <w:bCs/>
          <w:sz w:val="23"/>
          <w:szCs w:val="23"/>
        </w:rPr>
        <w:t>F</w:t>
      </w:r>
      <w:r w:rsidR="0069455D" w:rsidRPr="00D612ED">
        <w:rPr>
          <w:rFonts w:ascii="Arial" w:hAnsi="Arial" w:cs="Arial"/>
          <w:b/>
          <w:bCs/>
          <w:sz w:val="23"/>
          <w:szCs w:val="23"/>
        </w:rPr>
        <w:t>.</w:t>
      </w:r>
      <w:r w:rsidR="0069455D" w:rsidRPr="00D612ED">
        <w:rPr>
          <w:rFonts w:ascii="Arial" w:hAnsi="Arial" w:cs="Arial"/>
          <w:sz w:val="23"/>
          <w:szCs w:val="23"/>
        </w:rPr>
        <w:t xml:space="preserve"> Three longitudinal samples of FPD or FPD-MM were </w:t>
      </w:r>
      <w:proofErr w:type="gramStart"/>
      <w:r w:rsidR="0069455D" w:rsidRPr="00D612ED">
        <w:rPr>
          <w:rFonts w:ascii="Arial" w:hAnsi="Arial" w:cs="Arial"/>
          <w:sz w:val="23"/>
          <w:szCs w:val="23"/>
        </w:rPr>
        <w:t>harvested</w:t>
      </w:r>
      <w:proofErr w:type="gramEnd"/>
      <w:r w:rsidR="0069455D" w:rsidRPr="00D612ED">
        <w:rPr>
          <w:rFonts w:ascii="Arial" w:hAnsi="Arial" w:cs="Arial"/>
          <w:sz w:val="23"/>
          <w:szCs w:val="23"/>
        </w:rPr>
        <w:t xml:space="preserve"> and RNA was extracted. RNA-Seq analyses were performed. The heatmap shows mRNAs up or down-regulated ≥ 1.25-fold and p value &lt; 0.05 in the FPD-MM relative to the FPD samples. </w:t>
      </w:r>
      <w:r w:rsidR="00824AFD">
        <w:rPr>
          <w:rFonts w:ascii="Arial" w:hAnsi="Arial" w:cs="Arial"/>
          <w:b/>
          <w:bCs/>
          <w:sz w:val="23"/>
          <w:szCs w:val="23"/>
        </w:rPr>
        <w:t>G</w:t>
      </w:r>
      <w:r w:rsidR="0069455D" w:rsidRPr="00D612ED">
        <w:rPr>
          <w:rFonts w:ascii="Arial" w:hAnsi="Arial" w:cs="Arial"/>
          <w:b/>
          <w:bCs/>
          <w:sz w:val="23"/>
          <w:szCs w:val="23"/>
        </w:rPr>
        <w:t>.</w:t>
      </w:r>
      <w:r w:rsidR="0069455D" w:rsidRPr="00D612ED">
        <w:rPr>
          <w:rFonts w:ascii="Arial" w:hAnsi="Arial" w:cs="Arial"/>
          <w:sz w:val="23"/>
          <w:szCs w:val="23"/>
        </w:rPr>
        <w:t xml:space="preserve"> mRNA expression of leukemia relevant genes in FPD-MM relative to FPD assessed by qPCR.</w:t>
      </w:r>
    </w:p>
    <w:p w14:paraId="51A2EA38" w14:textId="77777777" w:rsidR="00D612ED" w:rsidRDefault="00D612ED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76733775" w14:textId="6CBA0469" w:rsidR="00A02264" w:rsidRPr="00D612ED" w:rsidRDefault="00463BBF" w:rsidP="00D612ED">
      <w:pPr>
        <w:jc w:val="both"/>
        <w:rPr>
          <w:rFonts w:ascii="Arial" w:hAnsi="Arial" w:cs="Arial"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>Supplemental</w:t>
      </w:r>
      <w:r w:rsidR="00A02264" w:rsidRPr="00D612ED">
        <w:rPr>
          <w:rFonts w:ascii="Arial" w:hAnsi="Arial" w:cs="Arial"/>
          <w:b/>
          <w:bCs/>
          <w:sz w:val="23"/>
          <w:szCs w:val="23"/>
        </w:rPr>
        <w:t xml:space="preserve"> Figure 2. Differential Sensitivity of GMR-AML1 cells to chemotherapeutic and targeted agents.</w:t>
      </w:r>
      <w:r w:rsidR="00A02264" w:rsidRPr="00D612ED">
        <w:rPr>
          <w:rFonts w:ascii="Arial" w:hAnsi="Arial" w:cs="Arial"/>
          <w:sz w:val="23"/>
          <w:szCs w:val="23"/>
        </w:rPr>
        <w:t xml:space="preserve"> </w:t>
      </w:r>
      <w:r w:rsidR="00A02264" w:rsidRPr="00D612ED">
        <w:rPr>
          <w:rFonts w:ascii="Arial" w:hAnsi="Arial" w:cs="Arial"/>
          <w:b/>
          <w:bCs/>
          <w:sz w:val="23"/>
          <w:szCs w:val="23"/>
        </w:rPr>
        <w:t>A.</w:t>
      </w:r>
      <w:r w:rsidR="00A548AE">
        <w:rPr>
          <w:rFonts w:ascii="Arial" w:hAnsi="Arial" w:cs="Arial"/>
          <w:b/>
          <w:bCs/>
          <w:sz w:val="23"/>
          <w:szCs w:val="23"/>
        </w:rPr>
        <w:t xml:space="preserve"> </w:t>
      </w:r>
      <w:r w:rsidR="00A548AE" w:rsidRPr="00A548AE">
        <w:rPr>
          <w:rFonts w:ascii="Arial" w:hAnsi="Arial" w:cs="Arial"/>
          <w:sz w:val="23"/>
          <w:szCs w:val="23"/>
        </w:rPr>
        <w:t xml:space="preserve">GMR-AML1/Cas9 cells were transduced with lentivirus expressing </w:t>
      </w:r>
      <w:r w:rsidR="00A548AE">
        <w:rPr>
          <w:rFonts w:ascii="Arial" w:hAnsi="Arial" w:cs="Arial"/>
          <w:sz w:val="23"/>
          <w:szCs w:val="23"/>
        </w:rPr>
        <w:t>sgRNA control (</w:t>
      </w:r>
      <w:proofErr w:type="spellStart"/>
      <w:r w:rsidR="00A548AE">
        <w:rPr>
          <w:rFonts w:ascii="Arial" w:hAnsi="Arial" w:cs="Arial"/>
          <w:sz w:val="23"/>
          <w:szCs w:val="23"/>
        </w:rPr>
        <w:t>tdTomato</w:t>
      </w:r>
      <w:proofErr w:type="spellEnd"/>
      <w:r w:rsidR="00A548AE">
        <w:rPr>
          <w:rFonts w:ascii="Arial" w:hAnsi="Arial" w:cs="Arial"/>
          <w:sz w:val="23"/>
          <w:szCs w:val="23"/>
        </w:rPr>
        <w:t xml:space="preserve">) or </w:t>
      </w:r>
      <w:r w:rsidR="00A548AE" w:rsidRPr="00A548AE">
        <w:rPr>
          <w:rFonts w:ascii="Arial" w:hAnsi="Arial" w:cs="Arial"/>
          <w:sz w:val="23"/>
          <w:szCs w:val="23"/>
        </w:rPr>
        <w:t xml:space="preserve">Runx1 guide RNAs </w:t>
      </w:r>
      <w:r w:rsidR="00A548AE">
        <w:rPr>
          <w:rFonts w:ascii="Arial" w:hAnsi="Arial" w:cs="Arial"/>
          <w:sz w:val="23"/>
          <w:szCs w:val="23"/>
        </w:rPr>
        <w:t>(</w:t>
      </w:r>
      <w:proofErr w:type="spellStart"/>
      <w:r w:rsidR="00A548AE" w:rsidRPr="00A548AE">
        <w:rPr>
          <w:rFonts w:ascii="Arial" w:hAnsi="Arial" w:cs="Arial"/>
          <w:sz w:val="23"/>
          <w:szCs w:val="23"/>
        </w:rPr>
        <w:t>eGFP</w:t>
      </w:r>
      <w:proofErr w:type="spellEnd"/>
      <w:r w:rsidR="00A548AE">
        <w:rPr>
          <w:rFonts w:ascii="Arial" w:hAnsi="Arial" w:cs="Arial"/>
          <w:sz w:val="23"/>
          <w:szCs w:val="23"/>
        </w:rPr>
        <w:t>)</w:t>
      </w:r>
      <w:r w:rsidR="00A548AE" w:rsidRPr="00A548AE">
        <w:rPr>
          <w:rFonts w:ascii="Arial" w:hAnsi="Arial" w:cs="Arial"/>
          <w:sz w:val="23"/>
          <w:szCs w:val="23"/>
        </w:rPr>
        <w:t xml:space="preserve"> for 72 hrs. Cells were sorted by FACS into </w:t>
      </w:r>
      <w:proofErr w:type="spellStart"/>
      <w:r w:rsidR="00A548AE">
        <w:rPr>
          <w:rFonts w:ascii="Arial" w:hAnsi="Arial" w:cs="Arial"/>
          <w:sz w:val="23"/>
          <w:szCs w:val="23"/>
        </w:rPr>
        <w:t>tdTomato</w:t>
      </w:r>
      <w:proofErr w:type="spellEnd"/>
      <w:r w:rsidR="00A548AE">
        <w:rPr>
          <w:rFonts w:ascii="Arial" w:hAnsi="Arial" w:cs="Arial"/>
          <w:sz w:val="23"/>
          <w:szCs w:val="23"/>
        </w:rPr>
        <w:t xml:space="preserve"> or </w:t>
      </w:r>
      <w:r w:rsidR="00A548AE" w:rsidRPr="00A548AE">
        <w:rPr>
          <w:rFonts w:ascii="Arial" w:hAnsi="Arial" w:cs="Arial"/>
          <w:sz w:val="23"/>
          <w:szCs w:val="23"/>
        </w:rPr>
        <w:t xml:space="preserve">GFP positive populations and cultured for an additional </w:t>
      </w:r>
      <w:r w:rsidR="00A548AE">
        <w:rPr>
          <w:rFonts w:ascii="Arial" w:hAnsi="Arial" w:cs="Arial"/>
          <w:sz w:val="23"/>
          <w:szCs w:val="23"/>
        </w:rPr>
        <w:t>four</w:t>
      </w:r>
      <w:r w:rsidR="00A548AE" w:rsidRPr="00A548AE">
        <w:rPr>
          <w:rFonts w:ascii="Arial" w:hAnsi="Arial" w:cs="Arial"/>
          <w:sz w:val="23"/>
          <w:szCs w:val="23"/>
        </w:rPr>
        <w:t xml:space="preserve"> days. Following this</w:t>
      </w:r>
      <w:r w:rsidR="00A548AE">
        <w:rPr>
          <w:rFonts w:ascii="Arial" w:hAnsi="Arial" w:cs="Arial"/>
          <w:sz w:val="23"/>
          <w:szCs w:val="23"/>
        </w:rPr>
        <w:t>,</w:t>
      </w:r>
      <w:r w:rsidR="00A548AE" w:rsidRPr="00A548AE">
        <w:rPr>
          <w:rFonts w:ascii="Arial" w:hAnsi="Arial" w:cs="Arial"/>
          <w:sz w:val="23"/>
          <w:szCs w:val="23"/>
        </w:rPr>
        <w:t xml:space="preserve"> immunoblot analyses were conducted on total cell lysates. The expression of </w:t>
      </w:r>
      <w:r w:rsidR="00A548AE">
        <w:rPr>
          <w:rFonts w:ascii="Arial" w:hAnsi="Arial" w:cs="Arial"/>
          <w:sz w:val="23"/>
          <w:szCs w:val="23"/>
        </w:rPr>
        <w:t>GAPDH</w:t>
      </w:r>
      <w:r w:rsidR="00A548AE" w:rsidRPr="00A548AE">
        <w:rPr>
          <w:rFonts w:ascii="Arial" w:hAnsi="Arial" w:cs="Arial"/>
          <w:sz w:val="23"/>
          <w:szCs w:val="23"/>
        </w:rPr>
        <w:t xml:space="preserve"> in the lysates served as the loading control.</w:t>
      </w:r>
      <w:r w:rsidR="00A548AE">
        <w:rPr>
          <w:rFonts w:ascii="Arial" w:hAnsi="Arial" w:cs="Arial"/>
          <w:sz w:val="23"/>
          <w:szCs w:val="23"/>
        </w:rPr>
        <w:t xml:space="preserve"> </w:t>
      </w:r>
      <w:r w:rsidR="00A02264" w:rsidRPr="00D612ED">
        <w:rPr>
          <w:rFonts w:ascii="Arial" w:hAnsi="Arial" w:cs="Arial"/>
          <w:b/>
          <w:bCs/>
          <w:sz w:val="23"/>
          <w:szCs w:val="23"/>
        </w:rPr>
        <w:t>B.</w:t>
      </w:r>
      <w:r w:rsidR="00A02264" w:rsidRPr="00D612ED">
        <w:rPr>
          <w:rFonts w:ascii="Arial" w:hAnsi="Arial" w:cs="Arial"/>
          <w:sz w:val="23"/>
          <w:szCs w:val="23"/>
        </w:rPr>
        <w:t xml:space="preserve"> GMR-AML1 cells were treated with the indicated concentrations of panobinostat (</w:t>
      </w:r>
      <w:proofErr w:type="spellStart"/>
      <w:r w:rsidR="00A02264" w:rsidRPr="00D612ED">
        <w:rPr>
          <w:rFonts w:ascii="Arial" w:hAnsi="Arial" w:cs="Arial"/>
          <w:sz w:val="23"/>
          <w:szCs w:val="23"/>
        </w:rPr>
        <w:t>HDACi</w:t>
      </w:r>
      <w:proofErr w:type="spellEnd"/>
      <w:r w:rsidR="00A02264" w:rsidRPr="00D612ED">
        <w:rPr>
          <w:rFonts w:ascii="Arial" w:hAnsi="Arial" w:cs="Arial"/>
          <w:sz w:val="23"/>
          <w:szCs w:val="23"/>
        </w:rPr>
        <w:t>), A-1155463 (BCL-</w:t>
      </w:r>
      <w:proofErr w:type="spellStart"/>
      <w:r w:rsidR="00A02264" w:rsidRPr="00D612ED">
        <w:rPr>
          <w:rFonts w:ascii="Arial" w:hAnsi="Arial" w:cs="Arial"/>
          <w:sz w:val="23"/>
          <w:szCs w:val="23"/>
        </w:rPr>
        <w:t>x</w:t>
      </w:r>
      <w:r w:rsidR="00A02264" w:rsidRPr="00D612ED">
        <w:rPr>
          <w:rFonts w:ascii="Arial" w:hAnsi="Arial" w:cs="Arial"/>
          <w:sz w:val="23"/>
          <w:szCs w:val="23"/>
          <w:vertAlign w:val="subscript"/>
        </w:rPr>
        <w:t>L</w:t>
      </w:r>
      <w:r w:rsidR="00A02264" w:rsidRPr="00D612ED">
        <w:rPr>
          <w:rFonts w:ascii="Arial" w:hAnsi="Arial" w:cs="Arial"/>
          <w:sz w:val="23"/>
          <w:szCs w:val="23"/>
        </w:rPr>
        <w:t>i</w:t>
      </w:r>
      <w:proofErr w:type="spellEnd"/>
      <w:r w:rsidR="00A02264" w:rsidRPr="00D612ED">
        <w:rPr>
          <w:rFonts w:ascii="Arial" w:hAnsi="Arial" w:cs="Arial"/>
          <w:sz w:val="23"/>
          <w:szCs w:val="23"/>
        </w:rPr>
        <w:t>), AZD 5991 (MCL1i), daunorubicin, etoposide, and cytarabine (Ara-C) for 48 hrs. Then</w:t>
      </w:r>
      <w:r w:rsidR="004F5D9E">
        <w:rPr>
          <w:rFonts w:ascii="Arial" w:hAnsi="Arial" w:cs="Arial"/>
          <w:sz w:val="23"/>
          <w:szCs w:val="23"/>
        </w:rPr>
        <w:t>,</w:t>
      </w:r>
      <w:r w:rsidR="00A02264" w:rsidRPr="00D612ED">
        <w:rPr>
          <w:rFonts w:ascii="Arial" w:hAnsi="Arial" w:cs="Arial"/>
          <w:sz w:val="23"/>
          <w:szCs w:val="23"/>
        </w:rPr>
        <w:t xml:space="preserve"> the percentage non-viable cells w</w:t>
      </w:r>
      <w:r w:rsidR="004F5D9E">
        <w:rPr>
          <w:rFonts w:ascii="Arial" w:hAnsi="Arial" w:cs="Arial"/>
          <w:sz w:val="23"/>
          <w:szCs w:val="23"/>
        </w:rPr>
        <w:t>as</w:t>
      </w:r>
      <w:r w:rsidR="00A02264" w:rsidRPr="00D612ED">
        <w:rPr>
          <w:rFonts w:ascii="Arial" w:hAnsi="Arial" w:cs="Arial"/>
          <w:sz w:val="23"/>
          <w:szCs w:val="23"/>
        </w:rPr>
        <w:t xml:space="preserve"> determined by TOPRO-3 iodide staining and flow cytometry. </w:t>
      </w:r>
      <w:r w:rsidR="00A548AE">
        <w:rPr>
          <w:rFonts w:ascii="Arial" w:hAnsi="Arial" w:cs="Arial"/>
          <w:b/>
          <w:bCs/>
          <w:sz w:val="23"/>
          <w:szCs w:val="23"/>
        </w:rPr>
        <w:t>C</w:t>
      </w:r>
      <w:r w:rsidR="00A02264" w:rsidRPr="00D612ED">
        <w:rPr>
          <w:rFonts w:ascii="Arial" w:hAnsi="Arial" w:cs="Arial"/>
          <w:b/>
          <w:bCs/>
          <w:sz w:val="23"/>
          <w:szCs w:val="23"/>
        </w:rPr>
        <w:t>.</w:t>
      </w:r>
      <w:r w:rsidR="00A02264" w:rsidRPr="00D612ED">
        <w:rPr>
          <w:rFonts w:ascii="Arial" w:hAnsi="Arial" w:cs="Arial"/>
          <w:sz w:val="23"/>
          <w:szCs w:val="23"/>
        </w:rPr>
        <w:t xml:space="preserve"> Oncoplot of mutations identified by NGS in PD, FPD and FPD-MM samples utilized in these studies. </w:t>
      </w:r>
      <w:r w:rsidR="00824AFD">
        <w:rPr>
          <w:rFonts w:ascii="Arial" w:hAnsi="Arial" w:cs="Arial"/>
          <w:b/>
          <w:bCs/>
          <w:sz w:val="23"/>
          <w:szCs w:val="23"/>
        </w:rPr>
        <w:t>D</w:t>
      </w:r>
      <w:r w:rsidR="00A02264" w:rsidRPr="00D612ED">
        <w:rPr>
          <w:rFonts w:ascii="Arial" w:hAnsi="Arial" w:cs="Arial"/>
          <w:b/>
          <w:bCs/>
          <w:sz w:val="23"/>
          <w:szCs w:val="23"/>
        </w:rPr>
        <w:t>.</w:t>
      </w:r>
      <w:r w:rsidR="00A02264" w:rsidRPr="00D612ED">
        <w:rPr>
          <w:rFonts w:ascii="Arial" w:hAnsi="Arial" w:cs="Arial"/>
          <w:sz w:val="23"/>
          <w:szCs w:val="23"/>
        </w:rPr>
        <w:t xml:space="preserve"> NGS-identified Runx1 mutation(s) in PD, FPD and FPD-MM samples.</w:t>
      </w:r>
    </w:p>
    <w:p w14:paraId="11881BC5" w14:textId="77777777" w:rsidR="00D612ED" w:rsidRDefault="00D612ED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025FDD0A" w14:textId="72005349" w:rsidR="005B1B43" w:rsidRPr="00D612ED" w:rsidRDefault="005B1B43" w:rsidP="00D612ED">
      <w:pPr>
        <w:jc w:val="both"/>
        <w:rPr>
          <w:rFonts w:ascii="Arial" w:hAnsi="Arial" w:cs="Arial"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 xml:space="preserve">Supplemental Figure 3. Treatment with HHT </w:t>
      </w:r>
      <w:r w:rsidR="000C2A61" w:rsidRPr="00D612ED">
        <w:rPr>
          <w:rFonts w:ascii="Arial" w:hAnsi="Arial" w:cs="Arial"/>
          <w:b/>
          <w:bCs/>
          <w:sz w:val="23"/>
          <w:szCs w:val="23"/>
        </w:rPr>
        <w:t xml:space="preserve">concordantly depletes ATAC accessibility and </w:t>
      </w:r>
      <w:r w:rsidRPr="00D612ED">
        <w:rPr>
          <w:rFonts w:ascii="Arial" w:hAnsi="Arial" w:cs="Arial"/>
          <w:b/>
          <w:bCs/>
          <w:sz w:val="23"/>
          <w:szCs w:val="23"/>
        </w:rPr>
        <w:t>mRNA expression of REACTOME</w:t>
      </w:r>
      <w:r w:rsidR="000C2A61" w:rsidRPr="00D612ED">
        <w:rPr>
          <w:rFonts w:ascii="Arial" w:hAnsi="Arial" w:cs="Arial"/>
          <w:b/>
          <w:bCs/>
          <w:sz w:val="23"/>
          <w:szCs w:val="23"/>
        </w:rPr>
        <w:t xml:space="preserve"> RNAPII transcription</w:t>
      </w:r>
      <w:r w:rsidRPr="00D612ED">
        <w:rPr>
          <w:rFonts w:ascii="Arial" w:hAnsi="Arial" w:cs="Arial"/>
          <w:b/>
          <w:bCs/>
          <w:sz w:val="23"/>
          <w:szCs w:val="23"/>
        </w:rPr>
        <w:t xml:space="preserve"> </w:t>
      </w:r>
      <w:r w:rsidR="000C2A61" w:rsidRPr="00D612ED">
        <w:rPr>
          <w:rFonts w:ascii="Arial" w:hAnsi="Arial" w:cs="Arial"/>
          <w:b/>
          <w:bCs/>
          <w:sz w:val="23"/>
          <w:szCs w:val="23"/>
        </w:rPr>
        <w:t>gene set</w:t>
      </w:r>
      <w:r w:rsidRPr="00D612ED">
        <w:rPr>
          <w:rFonts w:ascii="Arial" w:hAnsi="Arial" w:cs="Arial"/>
          <w:b/>
          <w:bCs/>
          <w:sz w:val="23"/>
          <w:szCs w:val="23"/>
        </w:rPr>
        <w:t xml:space="preserve"> in GMR-AML1 cells. </w:t>
      </w:r>
      <w:r w:rsidRPr="00D612ED">
        <w:rPr>
          <w:rFonts w:ascii="Arial" w:hAnsi="Arial" w:cs="Arial"/>
          <w:sz w:val="23"/>
          <w:szCs w:val="23"/>
        </w:rPr>
        <w:t xml:space="preserve">GMR-AML1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eight hours and ATAC-Seq and RNA-Seq analyses were performed. Log2 fold-change of selected concordant ATAC-Seq and mRNA expression alterations </w:t>
      </w:r>
      <w:r w:rsidR="0070345A" w:rsidRPr="00D612ED">
        <w:rPr>
          <w:rFonts w:ascii="Arial" w:hAnsi="Arial" w:cs="Arial"/>
          <w:sz w:val="23"/>
          <w:szCs w:val="23"/>
        </w:rPr>
        <w:t xml:space="preserve">compared to REACTOME RNAPII Transcription </w:t>
      </w:r>
      <w:r w:rsidRPr="00D612ED">
        <w:rPr>
          <w:rFonts w:ascii="Arial" w:hAnsi="Arial" w:cs="Arial"/>
          <w:sz w:val="23"/>
          <w:szCs w:val="23"/>
        </w:rPr>
        <w:t>in HHT</w:t>
      </w:r>
      <w:r w:rsidR="0070345A" w:rsidRPr="00D612ED">
        <w:rPr>
          <w:rFonts w:ascii="Arial" w:hAnsi="Arial" w:cs="Arial"/>
          <w:sz w:val="23"/>
          <w:szCs w:val="23"/>
        </w:rPr>
        <w:t>-</w:t>
      </w:r>
      <w:r w:rsidRPr="00D612ED">
        <w:rPr>
          <w:rFonts w:ascii="Arial" w:hAnsi="Arial" w:cs="Arial"/>
          <w:sz w:val="23"/>
          <w:szCs w:val="23"/>
        </w:rPr>
        <w:t>treated GMR-AML1 cells.</w:t>
      </w:r>
      <w:r w:rsidR="0070345A" w:rsidRPr="00D612ED">
        <w:rPr>
          <w:rFonts w:ascii="Arial" w:hAnsi="Arial" w:cs="Arial"/>
          <w:sz w:val="23"/>
          <w:szCs w:val="23"/>
        </w:rPr>
        <w:t xml:space="preserve"> </w:t>
      </w:r>
    </w:p>
    <w:p w14:paraId="2616F819" w14:textId="77777777" w:rsidR="00D612ED" w:rsidRDefault="00D612ED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346E9983" w14:textId="15ECFB13" w:rsidR="004F682B" w:rsidRPr="00D612ED" w:rsidRDefault="004F682B" w:rsidP="00D612ED">
      <w:pPr>
        <w:jc w:val="both"/>
        <w:rPr>
          <w:rFonts w:ascii="Arial" w:hAnsi="Arial" w:cs="Arial"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 xml:space="preserve">Supplemental Figure 4. Treatment with HHT depletes mRNA expressions of cell cycle and MYC HALLMARK and REACTOME pathways in PD FPD-MM samples. A. </w:t>
      </w:r>
      <w:r w:rsidRPr="00D612ED">
        <w:rPr>
          <w:rFonts w:ascii="Arial" w:hAnsi="Arial" w:cs="Arial"/>
          <w:sz w:val="23"/>
          <w:szCs w:val="23"/>
        </w:rPr>
        <w:t xml:space="preserve">Primary FPD-MM18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16 hours and single cell RNA-Seq (</w:t>
      </w:r>
      <w:proofErr w:type="spellStart"/>
      <w:r w:rsidRPr="00D612ED">
        <w:rPr>
          <w:rFonts w:ascii="Arial" w:hAnsi="Arial" w:cs="Arial"/>
          <w:sz w:val="23"/>
          <w:szCs w:val="23"/>
        </w:rPr>
        <w:t>scRNA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-Seq) analysis was performed. </w:t>
      </w:r>
      <w:proofErr w:type="spellStart"/>
      <w:r w:rsidRPr="00D612ED">
        <w:rPr>
          <w:rFonts w:ascii="Arial" w:hAnsi="Arial" w:cs="Arial"/>
          <w:sz w:val="23"/>
          <w:szCs w:val="23"/>
        </w:rPr>
        <w:t>SingleR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analysis was utilized to define cell clusters. Relative cell population represented in each cluster from untreated and HHT treated FPD-MM18 cells. </w:t>
      </w:r>
      <w:r w:rsidRPr="00D612ED">
        <w:rPr>
          <w:rFonts w:ascii="Arial" w:hAnsi="Arial" w:cs="Arial"/>
          <w:b/>
          <w:bCs/>
          <w:sz w:val="23"/>
          <w:szCs w:val="23"/>
        </w:rPr>
        <w:t>B-C.</w:t>
      </w:r>
      <w:r w:rsidRPr="00D612ED">
        <w:rPr>
          <w:rFonts w:ascii="Arial" w:hAnsi="Arial" w:cs="Arial"/>
          <w:sz w:val="23"/>
          <w:szCs w:val="23"/>
        </w:rPr>
        <w:t xml:space="preserve"> Primary FPD-MM18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16 hours and bulk RNA-Seq analysis was performed. Gene set enrichment analysis (GSEA) in HHT treated cells compared with HALLMARK and REACTOME pathway datasets. </w:t>
      </w:r>
      <w:r w:rsidRPr="00D612ED">
        <w:rPr>
          <w:rFonts w:ascii="Arial" w:hAnsi="Arial" w:cs="Arial"/>
          <w:b/>
          <w:bCs/>
          <w:sz w:val="23"/>
          <w:szCs w:val="23"/>
        </w:rPr>
        <w:t>D.</w:t>
      </w:r>
      <w:r w:rsidRPr="00D612ED">
        <w:rPr>
          <w:rFonts w:ascii="Arial" w:hAnsi="Arial" w:cs="Arial"/>
          <w:sz w:val="23"/>
          <w:szCs w:val="23"/>
        </w:rPr>
        <w:t xml:space="preserve"> Primary FPD-MM18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16 hours and bulk RNA-Seq analysis was performed. The volcano plot shows significance and Log2 fold expression changes of </w:t>
      </w:r>
      <w:r w:rsidRPr="00D612ED">
        <w:rPr>
          <w:rFonts w:ascii="Arial" w:hAnsi="Arial" w:cs="Arial"/>
          <w:sz w:val="23"/>
          <w:szCs w:val="23"/>
        </w:rPr>
        <w:lastRenderedPageBreak/>
        <w:t xml:space="preserve">selected mRNAs. </w:t>
      </w:r>
      <w:r w:rsidRPr="00D612ED">
        <w:rPr>
          <w:rFonts w:ascii="Arial" w:hAnsi="Arial" w:cs="Arial"/>
          <w:b/>
          <w:bCs/>
          <w:sz w:val="23"/>
          <w:szCs w:val="23"/>
        </w:rPr>
        <w:t>G-I.</w:t>
      </w:r>
      <w:r w:rsidRPr="00D612ED">
        <w:rPr>
          <w:rFonts w:ascii="Arial" w:hAnsi="Arial" w:cs="Arial"/>
          <w:sz w:val="23"/>
          <w:szCs w:val="23"/>
        </w:rPr>
        <w:t xml:space="preserve"> Primary FPD-MM17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16 hours and bulk RNA-Seq analysis was performed. Gene set enrichment analysis (GSEA) in HHT treated FPD-MM17 cells compared with HALLMARK and REACTOME pathway datasets. </w:t>
      </w:r>
      <w:r w:rsidRPr="00D612ED">
        <w:rPr>
          <w:rFonts w:ascii="Arial" w:hAnsi="Arial" w:cs="Arial"/>
          <w:b/>
          <w:bCs/>
          <w:sz w:val="23"/>
          <w:szCs w:val="23"/>
        </w:rPr>
        <w:t>J.</w:t>
      </w:r>
      <w:r w:rsidRPr="00D612ED">
        <w:rPr>
          <w:rFonts w:ascii="Arial" w:hAnsi="Arial" w:cs="Arial"/>
          <w:sz w:val="23"/>
          <w:szCs w:val="23"/>
        </w:rPr>
        <w:t xml:space="preserve"> Primary FPD-MM17 cells were treated with 100 </w:t>
      </w:r>
      <w:proofErr w:type="spellStart"/>
      <w:r w:rsidRPr="00D612ED">
        <w:rPr>
          <w:rFonts w:ascii="Arial" w:hAnsi="Arial" w:cs="Arial"/>
          <w:sz w:val="23"/>
          <w:szCs w:val="23"/>
        </w:rPr>
        <w:t>nM</w:t>
      </w:r>
      <w:proofErr w:type="spellEnd"/>
      <w:r w:rsidRPr="00D612ED">
        <w:rPr>
          <w:rFonts w:ascii="Arial" w:hAnsi="Arial" w:cs="Arial"/>
          <w:sz w:val="23"/>
          <w:szCs w:val="23"/>
        </w:rPr>
        <w:t xml:space="preserve"> of HHT for 16 hours and bulk RNA-Seq analysis was performed. The volca</w:t>
      </w:r>
      <w:r w:rsidR="00106411">
        <w:rPr>
          <w:rFonts w:ascii="Arial" w:hAnsi="Arial" w:cs="Arial"/>
          <w:sz w:val="23"/>
          <w:szCs w:val="23"/>
        </w:rPr>
        <w:t>no plot shows significance and l</w:t>
      </w:r>
      <w:r w:rsidRPr="00D612ED">
        <w:rPr>
          <w:rFonts w:ascii="Arial" w:hAnsi="Arial" w:cs="Arial"/>
          <w:sz w:val="23"/>
          <w:szCs w:val="23"/>
        </w:rPr>
        <w:t>og2 fold expression changes of selected mRNAs.</w:t>
      </w:r>
      <w:r w:rsidR="00D75D4E">
        <w:rPr>
          <w:rFonts w:ascii="Arial" w:hAnsi="Arial" w:cs="Arial"/>
          <w:sz w:val="23"/>
          <w:szCs w:val="23"/>
        </w:rPr>
        <w:t xml:space="preserve"> </w:t>
      </w:r>
      <w:r w:rsidR="00D75D4E" w:rsidRPr="00D75D4E">
        <w:rPr>
          <w:rFonts w:ascii="Arial" w:hAnsi="Arial" w:cs="Arial"/>
          <w:b/>
          <w:bCs/>
          <w:sz w:val="23"/>
          <w:szCs w:val="23"/>
        </w:rPr>
        <w:t>K.</w:t>
      </w:r>
      <w:r w:rsidR="00D75D4E">
        <w:rPr>
          <w:rFonts w:ascii="Arial" w:hAnsi="Arial" w:cs="Arial"/>
          <w:sz w:val="23"/>
          <w:szCs w:val="23"/>
        </w:rPr>
        <w:t xml:space="preserve"> Comparison of baseline mRNA expression signature in GMR-AML1 vs. FPD-MM17 or FPD-MM18</w:t>
      </w:r>
      <w:r w:rsidR="00063729">
        <w:rPr>
          <w:rFonts w:ascii="Arial" w:hAnsi="Arial" w:cs="Arial"/>
          <w:sz w:val="23"/>
          <w:szCs w:val="23"/>
        </w:rPr>
        <w:t xml:space="preserve">. Similar equals p value greater than 0.05; Less or greater indicates differential expression in FPD-MM17 or FPD-MM18 at p &lt; 0.05. </w:t>
      </w:r>
      <w:r w:rsidR="00063729" w:rsidRPr="00D75D4E">
        <w:rPr>
          <w:rFonts w:ascii="Arial" w:hAnsi="Arial" w:cs="Arial"/>
          <w:b/>
          <w:bCs/>
          <w:sz w:val="23"/>
          <w:szCs w:val="23"/>
        </w:rPr>
        <w:t>L.</w:t>
      </w:r>
      <w:r w:rsidR="00063729">
        <w:rPr>
          <w:rFonts w:ascii="Arial" w:hAnsi="Arial" w:cs="Arial"/>
          <w:sz w:val="23"/>
          <w:szCs w:val="23"/>
        </w:rPr>
        <w:t xml:space="preserve"> Comparison of HHT-treated mRNA expression signature</w:t>
      </w:r>
      <w:r w:rsidR="00063729">
        <w:rPr>
          <w:rFonts w:ascii="Arial" w:hAnsi="Arial" w:cs="Arial"/>
          <w:sz w:val="23"/>
          <w:szCs w:val="23"/>
        </w:rPr>
        <w:t xml:space="preserve"> (1.25-fold up or down and a p &lt; 0.05)</w:t>
      </w:r>
      <w:r w:rsidR="00063729">
        <w:rPr>
          <w:rFonts w:ascii="Arial" w:hAnsi="Arial" w:cs="Arial"/>
          <w:sz w:val="23"/>
          <w:szCs w:val="23"/>
        </w:rPr>
        <w:t xml:space="preserve"> in GMR-AML1 vs. FPD-MM17 </w:t>
      </w:r>
      <w:r w:rsidR="00063729">
        <w:rPr>
          <w:rFonts w:ascii="Arial" w:hAnsi="Arial" w:cs="Arial"/>
          <w:sz w:val="23"/>
          <w:szCs w:val="23"/>
        </w:rPr>
        <w:t>vs.</w:t>
      </w:r>
      <w:r w:rsidR="00063729">
        <w:rPr>
          <w:rFonts w:ascii="Arial" w:hAnsi="Arial" w:cs="Arial"/>
          <w:sz w:val="23"/>
          <w:szCs w:val="23"/>
        </w:rPr>
        <w:t xml:space="preserve"> FPD-MM18. </w:t>
      </w:r>
    </w:p>
    <w:p w14:paraId="46D4D9DD" w14:textId="77777777" w:rsidR="00D612ED" w:rsidRDefault="00D612ED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</w:p>
    <w:p w14:paraId="1AADCBEB" w14:textId="2C9AF105" w:rsidR="00C33A9F" w:rsidRPr="00D612ED" w:rsidRDefault="002832D9" w:rsidP="00D612ED">
      <w:pPr>
        <w:jc w:val="both"/>
        <w:rPr>
          <w:rFonts w:ascii="Arial" w:hAnsi="Arial" w:cs="Arial"/>
          <w:sz w:val="23"/>
          <w:szCs w:val="23"/>
        </w:rPr>
      </w:pPr>
      <w:r w:rsidRPr="00D612ED">
        <w:rPr>
          <w:rFonts w:ascii="Arial" w:hAnsi="Arial" w:cs="Arial"/>
          <w:b/>
          <w:bCs/>
          <w:sz w:val="23"/>
          <w:szCs w:val="23"/>
        </w:rPr>
        <w:t xml:space="preserve">Supplemental Figure </w:t>
      </w:r>
      <w:r w:rsidR="004F682B" w:rsidRPr="00D612ED">
        <w:rPr>
          <w:rFonts w:ascii="Arial" w:hAnsi="Arial" w:cs="Arial"/>
          <w:b/>
          <w:bCs/>
          <w:sz w:val="23"/>
          <w:szCs w:val="23"/>
        </w:rPr>
        <w:t>5</w:t>
      </w:r>
      <w:r w:rsidRPr="00D612ED">
        <w:rPr>
          <w:rFonts w:ascii="Arial" w:hAnsi="Arial" w:cs="Arial"/>
          <w:b/>
          <w:bCs/>
          <w:sz w:val="23"/>
          <w:szCs w:val="23"/>
        </w:rPr>
        <w:t>.</w:t>
      </w:r>
      <w:r w:rsidR="00FB1AFB" w:rsidRPr="00D612ED">
        <w:rPr>
          <w:rFonts w:ascii="Arial" w:hAnsi="Arial" w:cs="Arial"/>
          <w:b/>
          <w:bCs/>
          <w:sz w:val="23"/>
          <w:szCs w:val="23"/>
        </w:rPr>
        <w:t xml:space="preserve"> </w:t>
      </w:r>
      <w:r w:rsidR="00A330D4" w:rsidRPr="00D612ED">
        <w:rPr>
          <w:rFonts w:ascii="Arial" w:hAnsi="Arial" w:cs="Arial"/>
          <w:b/>
          <w:bCs/>
          <w:sz w:val="23"/>
          <w:szCs w:val="23"/>
        </w:rPr>
        <w:t>Treatment with Mebendazole is relatively sparing of normal CD34+ progenitor cells</w:t>
      </w:r>
      <w:r w:rsidR="00FB1AFB" w:rsidRPr="00D612ED">
        <w:rPr>
          <w:rFonts w:ascii="Arial" w:hAnsi="Arial" w:cs="Arial"/>
          <w:b/>
          <w:bCs/>
          <w:sz w:val="23"/>
          <w:szCs w:val="23"/>
        </w:rPr>
        <w:t xml:space="preserve">. </w:t>
      </w:r>
      <w:r w:rsidR="00145B0D" w:rsidRPr="00D612ED">
        <w:rPr>
          <w:rFonts w:ascii="Arial" w:hAnsi="Arial" w:cs="Arial"/>
          <w:sz w:val="23"/>
          <w:szCs w:val="23"/>
        </w:rPr>
        <w:t>Normal CD34+ HPCs were treated with the indicated con</w:t>
      </w:r>
      <w:r w:rsidR="00106411">
        <w:rPr>
          <w:rFonts w:ascii="Arial" w:hAnsi="Arial" w:cs="Arial"/>
          <w:sz w:val="23"/>
          <w:szCs w:val="23"/>
        </w:rPr>
        <w:t>centrations of Mebendazole (MB)</w:t>
      </w:r>
      <w:r w:rsidR="00145B0D" w:rsidRPr="00D612ED">
        <w:rPr>
          <w:rFonts w:ascii="Arial" w:hAnsi="Arial" w:cs="Arial"/>
          <w:sz w:val="23"/>
          <w:szCs w:val="23"/>
        </w:rPr>
        <w:t xml:space="preserve"> for 96 hrs. At the end of </w:t>
      </w:r>
      <w:r w:rsidR="00987ECA" w:rsidRPr="00D612ED">
        <w:rPr>
          <w:rFonts w:ascii="Arial" w:hAnsi="Arial" w:cs="Arial"/>
          <w:sz w:val="23"/>
          <w:szCs w:val="23"/>
        </w:rPr>
        <w:t>treatment,</w:t>
      </w:r>
      <w:r w:rsidR="00145B0D" w:rsidRPr="00D612ED">
        <w:rPr>
          <w:rFonts w:ascii="Arial" w:hAnsi="Arial" w:cs="Arial"/>
          <w:sz w:val="23"/>
          <w:szCs w:val="23"/>
        </w:rPr>
        <w:t xml:space="preserve"> the </w:t>
      </w:r>
      <w:r w:rsidR="00106411">
        <w:rPr>
          <w:rFonts w:ascii="Arial" w:hAnsi="Arial" w:cs="Arial"/>
          <w:sz w:val="23"/>
          <w:szCs w:val="23"/>
        </w:rPr>
        <w:t xml:space="preserve">percentage non-viable cells </w:t>
      </w:r>
      <w:proofErr w:type="gramStart"/>
      <w:r w:rsidR="00106411">
        <w:rPr>
          <w:rFonts w:ascii="Arial" w:hAnsi="Arial" w:cs="Arial"/>
          <w:sz w:val="23"/>
          <w:szCs w:val="23"/>
        </w:rPr>
        <w:t>was</w:t>
      </w:r>
      <w:proofErr w:type="gramEnd"/>
      <w:r w:rsidR="00145B0D" w:rsidRPr="00D612ED">
        <w:rPr>
          <w:rFonts w:ascii="Arial" w:hAnsi="Arial" w:cs="Arial"/>
          <w:sz w:val="23"/>
          <w:szCs w:val="23"/>
        </w:rPr>
        <w:t xml:space="preserve"> determined by TO</w:t>
      </w:r>
      <w:r w:rsidR="00106411">
        <w:rPr>
          <w:rFonts w:ascii="Arial" w:hAnsi="Arial" w:cs="Arial"/>
          <w:sz w:val="23"/>
          <w:szCs w:val="23"/>
        </w:rPr>
        <w:t>-</w:t>
      </w:r>
      <w:r w:rsidR="00145B0D" w:rsidRPr="00D612ED">
        <w:rPr>
          <w:rFonts w:ascii="Arial" w:hAnsi="Arial" w:cs="Arial"/>
          <w:sz w:val="23"/>
          <w:szCs w:val="23"/>
        </w:rPr>
        <w:t>PRO-3 iodide staining and flow cytometry</w:t>
      </w:r>
      <w:r w:rsidR="00987ECA" w:rsidRPr="00D612ED">
        <w:rPr>
          <w:rFonts w:ascii="Arial" w:hAnsi="Arial" w:cs="Arial"/>
          <w:sz w:val="23"/>
          <w:szCs w:val="23"/>
        </w:rPr>
        <w:t>.</w:t>
      </w:r>
    </w:p>
    <w:p w14:paraId="1227BC53" w14:textId="197082BD" w:rsidR="00AE44ED" w:rsidRPr="00D612ED" w:rsidRDefault="00AE44ED" w:rsidP="00D612ED">
      <w:pPr>
        <w:jc w:val="both"/>
        <w:rPr>
          <w:rFonts w:ascii="Arial" w:hAnsi="Arial" w:cs="Arial"/>
          <w:sz w:val="23"/>
          <w:szCs w:val="23"/>
        </w:rPr>
      </w:pPr>
    </w:p>
    <w:p w14:paraId="0C54442F" w14:textId="1040C9F6" w:rsidR="00AE44ED" w:rsidRPr="00D612ED" w:rsidRDefault="00106411" w:rsidP="00D612ED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Supplemental</w:t>
      </w:r>
      <w:r w:rsidR="00AE44ED" w:rsidRPr="00D612ED">
        <w:rPr>
          <w:rFonts w:ascii="Arial" w:hAnsi="Arial" w:cs="Arial"/>
          <w:b/>
          <w:bCs/>
          <w:sz w:val="23"/>
          <w:szCs w:val="23"/>
        </w:rPr>
        <w:t xml:space="preserve"> Figure </w:t>
      </w:r>
      <w:r w:rsidR="004F682B" w:rsidRPr="00D612ED">
        <w:rPr>
          <w:rFonts w:ascii="Arial" w:hAnsi="Arial" w:cs="Arial"/>
          <w:b/>
          <w:bCs/>
          <w:sz w:val="23"/>
          <w:szCs w:val="23"/>
        </w:rPr>
        <w:t>6</w:t>
      </w:r>
      <w:r w:rsidR="00AE44ED" w:rsidRPr="00D612ED">
        <w:rPr>
          <w:rFonts w:ascii="Arial" w:hAnsi="Arial" w:cs="Arial"/>
          <w:b/>
          <w:bCs/>
          <w:sz w:val="23"/>
          <w:szCs w:val="23"/>
        </w:rPr>
        <w:t xml:space="preserve">. Treatment with MB negatively enriches MYC targets and rRNA processing gene sets. </w:t>
      </w:r>
      <w:r w:rsidR="009D4989" w:rsidRPr="00D612ED">
        <w:rPr>
          <w:rFonts w:ascii="Arial" w:hAnsi="Arial" w:cs="Arial"/>
          <w:b/>
          <w:bCs/>
          <w:sz w:val="23"/>
          <w:szCs w:val="23"/>
        </w:rPr>
        <w:t>A-B</w:t>
      </w:r>
      <w:r w:rsidR="00AE44ED" w:rsidRPr="00D612ED">
        <w:rPr>
          <w:rFonts w:ascii="Arial" w:hAnsi="Arial" w:cs="Arial"/>
          <w:b/>
          <w:bCs/>
          <w:sz w:val="23"/>
          <w:szCs w:val="23"/>
        </w:rPr>
        <w:t>.</w:t>
      </w:r>
      <w:r w:rsidR="00AE44ED" w:rsidRPr="00D612ED">
        <w:rPr>
          <w:rFonts w:ascii="Arial" w:hAnsi="Arial" w:cs="Arial"/>
          <w:sz w:val="23"/>
          <w:szCs w:val="23"/>
        </w:rPr>
        <w:t xml:space="preserve"> GMR-AML1 cells were treated with 1,000 </w:t>
      </w:r>
      <w:proofErr w:type="spellStart"/>
      <w:r w:rsidR="00AE44ED" w:rsidRPr="00D612ED">
        <w:rPr>
          <w:rFonts w:ascii="Arial" w:hAnsi="Arial" w:cs="Arial"/>
          <w:sz w:val="23"/>
          <w:szCs w:val="23"/>
        </w:rPr>
        <w:t>nM</w:t>
      </w:r>
      <w:proofErr w:type="spellEnd"/>
      <w:r w:rsidR="00AE44ED" w:rsidRPr="00D612ED">
        <w:rPr>
          <w:rFonts w:ascii="Arial" w:hAnsi="Arial" w:cs="Arial"/>
          <w:sz w:val="23"/>
          <w:szCs w:val="23"/>
        </w:rPr>
        <w:t xml:space="preserve"> of MB for 16 hours and bulk RNA-Seq analysis was performed. Gene set enrichment analysis (GSEA) in MB treated cells compared with HALLMARK and REACTOME pathway datasets. </w:t>
      </w:r>
      <w:r w:rsidR="00063729" w:rsidRPr="00D612ED">
        <w:rPr>
          <w:rFonts w:ascii="Arial" w:hAnsi="Arial" w:cs="Arial"/>
          <w:b/>
          <w:bCs/>
          <w:sz w:val="23"/>
          <w:szCs w:val="23"/>
        </w:rPr>
        <w:t>C.</w:t>
      </w:r>
      <w:r w:rsidR="00063729">
        <w:rPr>
          <w:rFonts w:ascii="Arial" w:hAnsi="Arial" w:cs="Arial"/>
          <w:b/>
          <w:bCs/>
          <w:sz w:val="23"/>
          <w:szCs w:val="23"/>
        </w:rPr>
        <w:t xml:space="preserve"> </w:t>
      </w:r>
      <w:r w:rsidR="00063729" w:rsidRPr="00063729">
        <w:rPr>
          <w:rFonts w:ascii="Arial" w:hAnsi="Arial" w:cs="Arial"/>
          <w:sz w:val="23"/>
          <w:szCs w:val="23"/>
        </w:rPr>
        <w:t xml:space="preserve">GMR-AML1 cells were treated with the indicated concentrations of MB and/or </w:t>
      </w:r>
      <w:proofErr w:type="spellStart"/>
      <w:r w:rsidR="00063729">
        <w:rPr>
          <w:rFonts w:ascii="Arial" w:hAnsi="Arial" w:cs="Arial"/>
          <w:sz w:val="23"/>
          <w:szCs w:val="23"/>
        </w:rPr>
        <w:t>Plogo</w:t>
      </w:r>
      <w:r w:rsidR="00063729" w:rsidRPr="00063729">
        <w:rPr>
          <w:rFonts w:ascii="Arial" w:hAnsi="Arial" w:cs="Arial"/>
          <w:sz w:val="23"/>
          <w:szCs w:val="23"/>
        </w:rPr>
        <w:t>sertib</w:t>
      </w:r>
      <w:proofErr w:type="spellEnd"/>
      <w:r w:rsidR="00063729" w:rsidRPr="00063729">
        <w:rPr>
          <w:rFonts w:ascii="Arial" w:hAnsi="Arial" w:cs="Arial"/>
          <w:sz w:val="23"/>
          <w:szCs w:val="23"/>
        </w:rPr>
        <w:t xml:space="preserve"> for 48 hrs. Then the percentage annexin V-positive apoptotic cells were determined by flow cytometry. Delta synergy scores (ZIP) were determined using </w:t>
      </w:r>
      <w:proofErr w:type="spellStart"/>
      <w:r w:rsidR="00063729" w:rsidRPr="00063729">
        <w:rPr>
          <w:rFonts w:ascii="Arial" w:hAnsi="Arial" w:cs="Arial"/>
          <w:sz w:val="23"/>
          <w:szCs w:val="23"/>
        </w:rPr>
        <w:t>SynergyFinder</w:t>
      </w:r>
      <w:proofErr w:type="spellEnd"/>
      <w:r w:rsidR="00063729" w:rsidRPr="00063729">
        <w:rPr>
          <w:rFonts w:ascii="Arial" w:hAnsi="Arial" w:cs="Arial"/>
          <w:sz w:val="23"/>
          <w:szCs w:val="23"/>
        </w:rPr>
        <w:t xml:space="preserve"> v3.0.</w:t>
      </w:r>
      <w:r w:rsidR="00063729" w:rsidRPr="00063729">
        <w:rPr>
          <w:rFonts w:ascii="Arial" w:hAnsi="Arial" w:cs="Arial"/>
          <w:b/>
          <w:bCs/>
          <w:sz w:val="23"/>
          <w:szCs w:val="23"/>
        </w:rPr>
        <w:t xml:space="preserve"> </w:t>
      </w:r>
      <w:r w:rsidR="00063729">
        <w:rPr>
          <w:rFonts w:ascii="Arial" w:hAnsi="Arial" w:cs="Arial"/>
          <w:b/>
          <w:bCs/>
          <w:sz w:val="23"/>
          <w:szCs w:val="23"/>
        </w:rPr>
        <w:t>D</w:t>
      </w:r>
      <w:r w:rsidR="00063729" w:rsidRPr="00D612ED">
        <w:rPr>
          <w:rFonts w:ascii="Arial" w:hAnsi="Arial" w:cs="Arial"/>
          <w:b/>
          <w:bCs/>
          <w:sz w:val="23"/>
          <w:szCs w:val="23"/>
        </w:rPr>
        <w:t>.</w:t>
      </w:r>
      <w:r w:rsidR="00AE44ED" w:rsidRPr="00D612ED">
        <w:rPr>
          <w:rFonts w:ascii="Arial" w:hAnsi="Arial" w:cs="Arial"/>
          <w:sz w:val="23"/>
          <w:szCs w:val="23"/>
        </w:rPr>
        <w:t xml:space="preserve"> Normal CD34+ HPCs were treated with the indicated concentrations of </w:t>
      </w:r>
      <w:r w:rsidR="009D4989" w:rsidRPr="00D612ED">
        <w:rPr>
          <w:rFonts w:ascii="Arial" w:hAnsi="Arial" w:cs="Arial"/>
          <w:sz w:val="23"/>
          <w:szCs w:val="23"/>
        </w:rPr>
        <w:t>Volasertib</w:t>
      </w:r>
      <w:r w:rsidR="00AE44ED" w:rsidRPr="00D612ED">
        <w:rPr>
          <w:rFonts w:ascii="Arial" w:hAnsi="Arial" w:cs="Arial"/>
          <w:sz w:val="23"/>
          <w:szCs w:val="23"/>
        </w:rPr>
        <w:t xml:space="preserve"> for </w:t>
      </w:r>
      <w:r w:rsidR="009D4989" w:rsidRPr="00D612ED">
        <w:rPr>
          <w:rFonts w:ascii="Arial" w:hAnsi="Arial" w:cs="Arial"/>
          <w:sz w:val="23"/>
          <w:szCs w:val="23"/>
        </w:rPr>
        <w:t>96</w:t>
      </w:r>
      <w:r w:rsidR="00AE44ED" w:rsidRPr="00D612ED">
        <w:rPr>
          <w:rFonts w:ascii="Arial" w:hAnsi="Arial" w:cs="Arial"/>
          <w:sz w:val="23"/>
          <w:szCs w:val="23"/>
        </w:rPr>
        <w:t xml:space="preserve"> hrs. At the end of treatment, the </w:t>
      </w:r>
      <w:r w:rsidR="004F5D9E">
        <w:rPr>
          <w:rFonts w:ascii="Arial" w:hAnsi="Arial" w:cs="Arial"/>
          <w:sz w:val="23"/>
          <w:szCs w:val="23"/>
        </w:rPr>
        <w:t xml:space="preserve">percentage non-viable cells </w:t>
      </w:r>
      <w:proofErr w:type="gramStart"/>
      <w:r w:rsidR="004F5D9E">
        <w:rPr>
          <w:rFonts w:ascii="Arial" w:hAnsi="Arial" w:cs="Arial"/>
          <w:sz w:val="23"/>
          <w:szCs w:val="23"/>
        </w:rPr>
        <w:t>was</w:t>
      </w:r>
      <w:proofErr w:type="gramEnd"/>
      <w:r w:rsidR="00AE44ED" w:rsidRPr="00D612ED">
        <w:rPr>
          <w:rFonts w:ascii="Arial" w:hAnsi="Arial" w:cs="Arial"/>
          <w:sz w:val="23"/>
          <w:szCs w:val="23"/>
        </w:rPr>
        <w:t xml:space="preserve"> determined by TO</w:t>
      </w:r>
      <w:r>
        <w:rPr>
          <w:rFonts w:ascii="Arial" w:hAnsi="Arial" w:cs="Arial"/>
          <w:sz w:val="23"/>
          <w:szCs w:val="23"/>
        </w:rPr>
        <w:t>-</w:t>
      </w:r>
      <w:r w:rsidR="00AE44ED" w:rsidRPr="00D612ED">
        <w:rPr>
          <w:rFonts w:ascii="Arial" w:hAnsi="Arial" w:cs="Arial"/>
          <w:sz w:val="23"/>
          <w:szCs w:val="23"/>
        </w:rPr>
        <w:t>PRO-3 iodide staining and flow cytometry.</w:t>
      </w:r>
      <w:r w:rsidR="009D4989" w:rsidRPr="00D612ED">
        <w:rPr>
          <w:rFonts w:ascii="Arial" w:hAnsi="Arial" w:cs="Arial"/>
          <w:sz w:val="23"/>
          <w:szCs w:val="23"/>
        </w:rPr>
        <w:t xml:space="preserve"> </w:t>
      </w:r>
      <w:r w:rsidR="00063729">
        <w:rPr>
          <w:rFonts w:ascii="Arial" w:hAnsi="Arial" w:cs="Arial"/>
          <w:b/>
          <w:bCs/>
          <w:sz w:val="23"/>
          <w:szCs w:val="23"/>
        </w:rPr>
        <w:t>E</w:t>
      </w:r>
      <w:r w:rsidR="009D4989" w:rsidRPr="00D612ED">
        <w:rPr>
          <w:rFonts w:ascii="Arial" w:hAnsi="Arial" w:cs="Arial"/>
          <w:b/>
          <w:bCs/>
          <w:sz w:val="23"/>
          <w:szCs w:val="23"/>
        </w:rPr>
        <w:t>.</w:t>
      </w:r>
      <w:r w:rsidR="009D4989" w:rsidRPr="00D612ED">
        <w:rPr>
          <w:rFonts w:ascii="Arial" w:hAnsi="Arial" w:cs="Arial"/>
          <w:sz w:val="23"/>
          <w:szCs w:val="23"/>
        </w:rPr>
        <w:t xml:space="preserve"> Normal CD34+ HPCs were treated with the indicated concentrations of Mebendazole (MB) and/or Volasertib for 96 hrs. At the end of treatment, the percentage non-viable cells </w:t>
      </w:r>
      <w:proofErr w:type="gramStart"/>
      <w:r w:rsidR="009D4989" w:rsidRPr="00D612ED">
        <w:rPr>
          <w:rFonts w:ascii="Arial" w:hAnsi="Arial" w:cs="Arial"/>
          <w:sz w:val="23"/>
          <w:szCs w:val="23"/>
        </w:rPr>
        <w:t>w</w:t>
      </w:r>
      <w:r w:rsidR="004F5D9E">
        <w:rPr>
          <w:rFonts w:ascii="Arial" w:hAnsi="Arial" w:cs="Arial"/>
          <w:sz w:val="23"/>
          <w:szCs w:val="23"/>
        </w:rPr>
        <w:t>as</w:t>
      </w:r>
      <w:proofErr w:type="gramEnd"/>
      <w:r w:rsidR="009D4989" w:rsidRPr="00D612ED">
        <w:rPr>
          <w:rFonts w:ascii="Arial" w:hAnsi="Arial" w:cs="Arial"/>
          <w:sz w:val="23"/>
          <w:szCs w:val="23"/>
        </w:rPr>
        <w:t xml:space="preserve"> determined by TO</w:t>
      </w:r>
      <w:r>
        <w:rPr>
          <w:rFonts w:ascii="Arial" w:hAnsi="Arial" w:cs="Arial"/>
          <w:sz w:val="23"/>
          <w:szCs w:val="23"/>
        </w:rPr>
        <w:t>-</w:t>
      </w:r>
      <w:r w:rsidR="009D4989" w:rsidRPr="00D612ED">
        <w:rPr>
          <w:rFonts w:ascii="Arial" w:hAnsi="Arial" w:cs="Arial"/>
          <w:sz w:val="23"/>
          <w:szCs w:val="23"/>
        </w:rPr>
        <w:t>PRO-3 iodide staining and flow cytometry.</w:t>
      </w:r>
    </w:p>
    <w:p w14:paraId="09F6C3CF" w14:textId="6EA3EC16" w:rsidR="00C33A9F" w:rsidRPr="00D612ED" w:rsidRDefault="00C33A9F" w:rsidP="00D612ED">
      <w:pPr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C33A9F" w:rsidRPr="00D612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60"/>
    <w:rsid w:val="00014DFC"/>
    <w:rsid w:val="00063729"/>
    <w:rsid w:val="00081ACB"/>
    <w:rsid w:val="00086AF8"/>
    <w:rsid w:val="000C2A61"/>
    <w:rsid w:val="00106411"/>
    <w:rsid w:val="00135D32"/>
    <w:rsid w:val="00145B0D"/>
    <w:rsid w:val="001D2EBE"/>
    <w:rsid w:val="00245C51"/>
    <w:rsid w:val="002832D9"/>
    <w:rsid w:val="004373A9"/>
    <w:rsid w:val="00463BBF"/>
    <w:rsid w:val="004F5D9E"/>
    <w:rsid w:val="004F682B"/>
    <w:rsid w:val="00556FDE"/>
    <w:rsid w:val="0056373D"/>
    <w:rsid w:val="005B1B43"/>
    <w:rsid w:val="006468BE"/>
    <w:rsid w:val="0069455D"/>
    <w:rsid w:val="006E246B"/>
    <w:rsid w:val="0070345A"/>
    <w:rsid w:val="007D3BDF"/>
    <w:rsid w:val="007E36C4"/>
    <w:rsid w:val="00824AFD"/>
    <w:rsid w:val="00985FF6"/>
    <w:rsid w:val="00987ECA"/>
    <w:rsid w:val="009D4989"/>
    <w:rsid w:val="00A02264"/>
    <w:rsid w:val="00A330D4"/>
    <w:rsid w:val="00A548AE"/>
    <w:rsid w:val="00AE44ED"/>
    <w:rsid w:val="00BB548C"/>
    <w:rsid w:val="00C31251"/>
    <w:rsid w:val="00C33A9F"/>
    <w:rsid w:val="00CB4EAC"/>
    <w:rsid w:val="00D56157"/>
    <w:rsid w:val="00D612ED"/>
    <w:rsid w:val="00D75D4E"/>
    <w:rsid w:val="00EF2460"/>
    <w:rsid w:val="00FB1AFB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DFB8F"/>
  <w15:chartTrackingRefBased/>
  <w15:docId w15:val="{53D8500E-344A-4DBF-8C23-A3356A8E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Mill,Christopher P</dc:creator>
  <cp:keywords/>
  <dc:description/>
  <cp:lastModifiedBy>Mill,Christopher P</cp:lastModifiedBy>
  <cp:revision>3</cp:revision>
  <dcterms:created xsi:type="dcterms:W3CDTF">2023-10-25T21:44:00Z</dcterms:created>
  <dcterms:modified xsi:type="dcterms:W3CDTF">2023-10-25T21:54:00Z</dcterms:modified>
</cp:coreProperties>
</file>