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DDB407" w14:textId="587CB018" w:rsidR="009F28A5" w:rsidRPr="000D0554" w:rsidRDefault="00C51DA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0554">
        <w:rPr>
          <w:rFonts w:ascii="Times New Roman" w:hAnsi="Times New Roman" w:cs="Times New Roman"/>
          <w:b/>
          <w:bCs/>
          <w:sz w:val="24"/>
          <w:szCs w:val="24"/>
        </w:rPr>
        <w:t>Statistical Methods</w:t>
      </w:r>
    </w:p>
    <w:p w14:paraId="3C982EAF" w14:textId="77777777" w:rsidR="00C51DA9" w:rsidRPr="000D0554" w:rsidRDefault="00C51DA9">
      <w:pPr>
        <w:rPr>
          <w:rFonts w:ascii="Times New Roman" w:hAnsi="Times New Roman" w:cs="Times New Roman"/>
          <w:sz w:val="24"/>
          <w:szCs w:val="24"/>
        </w:rPr>
      </w:pPr>
    </w:p>
    <w:p w14:paraId="24091C47" w14:textId="77777777" w:rsidR="006E37DA" w:rsidRPr="000D0554" w:rsidRDefault="006E37DA" w:rsidP="006E37D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0554">
        <w:rPr>
          <w:rFonts w:ascii="Times New Roman" w:hAnsi="Times New Roman" w:cs="Times New Roman"/>
          <w:color w:val="000000" w:themeColor="text1"/>
          <w:sz w:val="24"/>
          <w:szCs w:val="24"/>
        </w:rPr>
        <w:t>Table S1. Contingency table for drug-AE pairs in the spontaneous reporting system</w:t>
      </w: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7"/>
        <w:gridCol w:w="2526"/>
      </w:tblGrid>
      <w:tr w:rsidR="000D0554" w:rsidRPr="000D0554" w14:paraId="05833667" w14:textId="77777777" w:rsidTr="004511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0C8E8A17" w14:textId="77777777" w:rsidR="006E37DA" w:rsidRPr="000D0554" w:rsidRDefault="006E37DA" w:rsidP="00451179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0D0554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Counts</w:t>
            </w:r>
          </w:p>
        </w:tc>
        <w:tc>
          <w:tcPr>
            <w:tcW w:w="2337" w:type="dxa"/>
            <w:vAlign w:val="center"/>
          </w:tcPr>
          <w:p w14:paraId="535453F8" w14:textId="77777777" w:rsidR="006E37DA" w:rsidRPr="000D0554" w:rsidRDefault="006E37DA" w:rsidP="00451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0D0554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AE (j)</w:t>
            </w:r>
          </w:p>
        </w:tc>
        <w:tc>
          <w:tcPr>
            <w:tcW w:w="2526" w:type="dxa"/>
            <w:vAlign w:val="center"/>
          </w:tcPr>
          <w:p w14:paraId="65263319" w14:textId="77777777" w:rsidR="006E37DA" w:rsidRPr="000D0554" w:rsidRDefault="006E37DA" w:rsidP="00451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0D0554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All other AEs</w:t>
            </w:r>
          </w:p>
        </w:tc>
      </w:tr>
      <w:tr w:rsidR="000D0554" w:rsidRPr="000D0554" w14:paraId="3A35B512" w14:textId="77777777" w:rsidTr="00451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bottom w:val="nil"/>
            </w:tcBorders>
            <w:vAlign w:val="center"/>
          </w:tcPr>
          <w:p w14:paraId="15CACB9D" w14:textId="77777777" w:rsidR="006E37DA" w:rsidRPr="000D0554" w:rsidRDefault="006E37DA" w:rsidP="00451179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0D0554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Drug (</w:t>
            </w:r>
            <w:proofErr w:type="spellStart"/>
            <w:r w:rsidRPr="000D0554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i</w:t>
            </w:r>
            <w:proofErr w:type="spellEnd"/>
            <w:r w:rsidRPr="000D0554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)</w:t>
            </w:r>
          </w:p>
        </w:tc>
        <w:tc>
          <w:tcPr>
            <w:tcW w:w="2337" w:type="dxa"/>
            <w:tcBorders>
              <w:bottom w:val="nil"/>
            </w:tcBorders>
            <w:vAlign w:val="center"/>
          </w:tcPr>
          <w:p w14:paraId="1FF1F05F" w14:textId="77777777" w:rsidR="006E37DA" w:rsidRPr="000D0554" w:rsidRDefault="006E37DA" w:rsidP="00451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</w:rPr>
                  <m:t>a</m:t>
                </m:r>
              </m:oMath>
            </m:oMathPara>
          </w:p>
        </w:tc>
        <w:tc>
          <w:tcPr>
            <w:tcW w:w="2526" w:type="dxa"/>
            <w:tcBorders>
              <w:bottom w:val="nil"/>
            </w:tcBorders>
            <w:vAlign w:val="center"/>
          </w:tcPr>
          <w:p w14:paraId="1F9F380B" w14:textId="77777777" w:rsidR="006E37DA" w:rsidRPr="000D0554" w:rsidRDefault="006E37DA" w:rsidP="00451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</w:rPr>
                  <m:t>b</m:t>
                </m:r>
              </m:oMath>
            </m:oMathPara>
          </w:p>
        </w:tc>
      </w:tr>
      <w:tr w:rsidR="000D0554" w:rsidRPr="000D0554" w14:paraId="425A4332" w14:textId="77777777" w:rsidTr="0045117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bottom w:val="single" w:sz="4" w:space="0" w:color="auto"/>
            </w:tcBorders>
            <w:vAlign w:val="center"/>
          </w:tcPr>
          <w:p w14:paraId="39703A6C" w14:textId="77777777" w:rsidR="006E37DA" w:rsidRPr="000D0554" w:rsidRDefault="006E37DA" w:rsidP="00451179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0D0554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All other Drugs</w:t>
            </w:r>
          </w:p>
        </w:tc>
        <w:tc>
          <w:tcPr>
            <w:tcW w:w="2337" w:type="dxa"/>
            <w:tcBorders>
              <w:top w:val="nil"/>
              <w:bottom w:val="single" w:sz="4" w:space="0" w:color="auto"/>
            </w:tcBorders>
            <w:vAlign w:val="center"/>
          </w:tcPr>
          <w:p w14:paraId="217E14A2" w14:textId="77777777" w:rsidR="006E37DA" w:rsidRPr="000D0554" w:rsidRDefault="006E37DA" w:rsidP="00451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</w:rPr>
                  <m:t>c</m:t>
                </m:r>
              </m:oMath>
            </m:oMathPara>
          </w:p>
        </w:tc>
        <w:tc>
          <w:tcPr>
            <w:tcW w:w="2526" w:type="dxa"/>
            <w:tcBorders>
              <w:top w:val="nil"/>
              <w:bottom w:val="single" w:sz="4" w:space="0" w:color="auto"/>
            </w:tcBorders>
            <w:vAlign w:val="center"/>
          </w:tcPr>
          <w:p w14:paraId="7CEA44B1" w14:textId="77777777" w:rsidR="006E37DA" w:rsidRPr="000D0554" w:rsidRDefault="006E37DA" w:rsidP="00451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D0554">
              <w:rPr>
                <w:rFonts w:ascii="Times New Roman" w:hAnsi="Times New Roman" w:cs="Times New Roman"/>
                <w:color w:val="000000" w:themeColor="text1"/>
              </w:rPr>
              <w:t>d</w:t>
            </w:r>
          </w:p>
        </w:tc>
      </w:tr>
    </w:tbl>
    <w:p w14:paraId="1BD0A99C" w14:textId="77777777" w:rsidR="006E37DA" w:rsidRPr="000D0554" w:rsidRDefault="006E37DA" w:rsidP="006E37D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079459" w14:textId="77777777" w:rsidR="006E37DA" w:rsidRPr="000D0554" w:rsidRDefault="00DC77F5" w:rsidP="006E37D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>ROR</m:t>
              </m:r>
            </m:e>
            <m:sub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>ij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>Pr</m:t>
              </m:r>
              <m:d>
                <m:dPr>
                  <m:ctrl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AE</m:t>
                  </m: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Drug</m:t>
                  </m:r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>Pr</m:t>
              </m:r>
              <m:d>
                <m:dPr>
                  <m:ctrl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AE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~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Drug</m:t>
                  </m:r>
                </m:e>
              </m:d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</m:ctrlPr>
            </m:fPr>
            <m:num>
              <m:f>
                <m:fPr>
                  <m:type m:val="lin"/>
                  <m:ctrl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a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c</m:t>
                  </m:r>
                </m:den>
              </m:f>
            </m:num>
            <m:den>
              <m:f>
                <m:fPr>
                  <m:type m:val="lin"/>
                  <m:ctrl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b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d</m:t>
                  </m:r>
                </m:den>
              </m:f>
            </m:den>
          </m:f>
        </m:oMath>
      </m:oMathPara>
    </w:p>
    <w:p w14:paraId="50D2E988" w14:textId="77777777" w:rsidR="006E37DA" w:rsidRPr="000D0554" w:rsidRDefault="00DC77F5" w:rsidP="00C325E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 xml:space="preserve">Confidence Interval </m:t>
            </m:r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of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ROR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ij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e</m:t>
            </m:r>
          </m:e>
          <m:sup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ln⁡(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R</m:t>
                </m:r>
                <m:sSub>
                  <m:sSub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OR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ij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)±</m:t>
                </m:r>
                <m:sSub>
                  <m:sSub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1-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α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b>
                </m:sSub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a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b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c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d</m:t>
                        </m:r>
                      </m:den>
                    </m:f>
                  </m:e>
                </m:rad>
              </m:e>
            </m:d>
          </m:sup>
        </m:sSup>
      </m:oMath>
      <w:r w:rsidR="006E37DA" w:rsidRPr="000D05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α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=0.05</m:t>
        </m:r>
      </m:oMath>
      <w:r w:rsidR="006E37DA" w:rsidRPr="000D05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655E005" w14:textId="77777777" w:rsidR="006E37DA" w:rsidRPr="000D0554" w:rsidRDefault="006E37DA" w:rsidP="00C325E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8002F2" w14:textId="57B398DD" w:rsidR="006E37DA" w:rsidRPr="000D0554" w:rsidRDefault="006E37DA" w:rsidP="000D0554">
      <w:pPr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05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where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a</m:t>
        </m:r>
      </m:oMath>
      <w:r w:rsidRPr="000D05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represents the number of a specific AE (j) associated with a specific drug (i);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b</m:t>
        </m:r>
      </m:oMath>
      <w:r w:rsidRPr="000D05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represents the number of AE cases other than j that are associated with the drug (i);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c</m:t>
        </m:r>
      </m:oMath>
      <w:r w:rsidRPr="000D05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represents the number of the AE (j) that are caused by other drugs (not the specific drug (i)); and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d</m:t>
        </m:r>
      </m:oMath>
      <w:r w:rsidRPr="000D05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represents the number of other AE cases that are associated with any other drugs other than drug (i). </w:t>
      </w:r>
    </w:p>
    <w:p w14:paraId="3818A1EF" w14:textId="77777777" w:rsidR="006E37DA" w:rsidRPr="000D0554" w:rsidRDefault="006E37DA">
      <w:pPr>
        <w:rPr>
          <w:rFonts w:ascii="Times New Roman" w:hAnsi="Times New Roman" w:cs="Times New Roman"/>
          <w:sz w:val="24"/>
          <w:szCs w:val="24"/>
        </w:rPr>
      </w:pPr>
    </w:p>
    <w:p w14:paraId="36E7CB2F" w14:textId="66B021F8" w:rsidR="00C214CB" w:rsidRPr="000D0554" w:rsidRDefault="00C1681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0554">
        <w:rPr>
          <w:rFonts w:ascii="Times New Roman" w:hAnsi="Times New Roman" w:cs="Times New Roman"/>
          <w:b/>
          <w:bCs/>
          <w:sz w:val="24"/>
          <w:szCs w:val="24"/>
        </w:rPr>
        <w:t>Methodology</w:t>
      </w:r>
    </w:p>
    <w:p w14:paraId="17C3BA72" w14:textId="002AB5C7" w:rsidR="004228F7" w:rsidRPr="000D0554" w:rsidRDefault="00EB596F" w:rsidP="000D05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54">
        <w:rPr>
          <w:rFonts w:ascii="Times New Roman" w:hAnsi="Times New Roman" w:cs="Times New Roman"/>
          <w:sz w:val="24"/>
          <w:szCs w:val="24"/>
        </w:rPr>
        <w:t xml:space="preserve">We have published a series of papers demonstrating how to extract adverse event (AE) reports from </w:t>
      </w:r>
      <w:proofErr w:type="spellStart"/>
      <w:r w:rsidRPr="000D0554">
        <w:rPr>
          <w:rFonts w:ascii="Times New Roman" w:hAnsi="Times New Roman" w:cs="Times New Roman"/>
          <w:sz w:val="24"/>
          <w:szCs w:val="24"/>
        </w:rPr>
        <w:t>openFDA</w:t>
      </w:r>
      <w:proofErr w:type="spellEnd"/>
      <w:r w:rsidRPr="000D0554">
        <w:rPr>
          <w:rFonts w:ascii="Times New Roman" w:hAnsi="Times New Roman" w:cs="Times New Roman"/>
          <w:sz w:val="24"/>
          <w:szCs w:val="24"/>
        </w:rPr>
        <w:t xml:space="preserve"> and apply appropriate statistical methods based on the study's purpose and scope. First, we used classic disproportionality analysis to assess a targeted set of pulmonary AEs in patients with type II diabetes. Second, we conducted a comprehensive statistical analysis of a large cohort of hypertensive patients regarding severe AEs, utilizing multi-stage statistical techniques and graphical visualization to validate significant findings. Finally, we reviewed the methodologies used in pharmacovigilance, demonstrating the reliability of data-driven approaches in helping healthcare providers and pharmaceutical companies design etiological studies and identify causal mechanisms for specific AEs.</w:t>
      </w:r>
    </w:p>
    <w:p w14:paraId="42AB861A" w14:textId="77777777" w:rsidR="000D0554" w:rsidRDefault="000D0554" w:rsidP="00C46FEF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14:paraId="1DD33972" w14:textId="77777777" w:rsidR="009C7AE6" w:rsidRDefault="009C7AE6" w:rsidP="00C46FE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39B6B9" w14:textId="57A28069" w:rsidR="00C46FEF" w:rsidRDefault="009C7AE6" w:rsidP="00C46FE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References </w:t>
      </w:r>
    </w:p>
    <w:p w14:paraId="79E3150D" w14:textId="77777777" w:rsidR="009C7AE6" w:rsidRPr="000D0554" w:rsidRDefault="009C7AE6" w:rsidP="00C46FE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6F5BC6" w14:textId="77777777" w:rsidR="0077108A" w:rsidRDefault="0077108A" w:rsidP="0077108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108A">
        <w:rPr>
          <w:rFonts w:ascii="Times New Roman" w:hAnsi="Times New Roman" w:cs="Times New Roman"/>
        </w:rPr>
        <w:t>S</w:t>
      </w:r>
      <w:r w:rsidRPr="0077108A">
        <w:rPr>
          <w:rFonts w:ascii="Times New Roman" w:hAnsi="Times New Roman" w:cs="Times New Roman"/>
          <w:sz w:val="24"/>
          <w:szCs w:val="24"/>
        </w:rPr>
        <w:t xml:space="preserve">tafford EG, Riviere JE, Xu X, Kawakami J, Wyckoff GJ, Jaberi-Douraki M. Pharmacovigilance in patients with diabetes: A data-driven analysis identifying specific RAS antagonists with adverse pulmonary safety profiles that have implications for COVID-19 morbidity and mortality. </w:t>
      </w:r>
      <w:r w:rsidRPr="0077108A">
        <w:rPr>
          <w:rFonts w:ascii="Times New Roman" w:hAnsi="Times New Roman" w:cs="Times New Roman"/>
          <w:i/>
          <w:iCs/>
          <w:sz w:val="24"/>
          <w:szCs w:val="24"/>
        </w:rPr>
        <w:t>Journal of the American Pharmacists Association</w:t>
      </w:r>
      <w:r w:rsidRPr="0077108A">
        <w:rPr>
          <w:rFonts w:ascii="Times New Roman" w:hAnsi="Times New Roman" w:cs="Times New Roman"/>
          <w:sz w:val="24"/>
          <w:szCs w:val="24"/>
        </w:rPr>
        <w:t xml:space="preserve"> 2020; </w:t>
      </w:r>
      <w:r w:rsidRPr="0077108A">
        <w:rPr>
          <w:rFonts w:ascii="Times New Roman" w:hAnsi="Times New Roman" w:cs="Times New Roman"/>
          <w:b/>
          <w:bCs/>
          <w:sz w:val="24"/>
          <w:szCs w:val="24"/>
        </w:rPr>
        <w:t>60</w:t>
      </w:r>
      <w:r w:rsidRPr="0077108A">
        <w:rPr>
          <w:rFonts w:ascii="Times New Roman" w:hAnsi="Times New Roman" w:cs="Times New Roman"/>
          <w:sz w:val="24"/>
          <w:szCs w:val="24"/>
        </w:rPr>
        <w:t>: e145–e152.</w:t>
      </w:r>
    </w:p>
    <w:p w14:paraId="0B706EE1" w14:textId="77777777" w:rsidR="0077108A" w:rsidRPr="0077108A" w:rsidRDefault="0077108A" w:rsidP="0077108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A0AFB8E" w14:textId="1F66CF65" w:rsidR="0077108A" w:rsidRDefault="00D7234A" w:rsidP="0077108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108A">
        <w:rPr>
          <w:rFonts w:ascii="Times New Roman" w:hAnsi="Times New Roman" w:cs="Times New Roman"/>
          <w:sz w:val="24"/>
          <w:szCs w:val="24"/>
        </w:rPr>
        <w:t>Xu</w:t>
      </w:r>
      <w:r w:rsidR="00DC6982" w:rsidRPr="0077108A">
        <w:rPr>
          <w:rFonts w:ascii="Times New Roman" w:hAnsi="Times New Roman" w:cs="Times New Roman"/>
          <w:sz w:val="24"/>
          <w:szCs w:val="24"/>
        </w:rPr>
        <w:t xml:space="preserve"> </w:t>
      </w:r>
      <w:r w:rsidRPr="0077108A">
        <w:rPr>
          <w:rFonts w:ascii="Times New Roman" w:hAnsi="Times New Roman" w:cs="Times New Roman"/>
          <w:sz w:val="24"/>
          <w:szCs w:val="24"/>
        </w:rPr>
        <w:t xml:space="preserve">X, Kawakami J, Gedara NIM, Riviere JE, Meyer E, Wyckoff GJ </w:t>
      </w:r>
      <w:r w:rsidRPr="0077108A">
        <w:rPr>
          <w:rFonts w:ascii="Times New Roman" w:hAnsi="Times New Roman" w:cs="Times New Roman"/>
          <w:i/>
          <w:iCs/>
          <w:sz w:val="24"/>
          <w:szCs w:val="24"/>
        </w:rPr>
        <w:t>et al.</w:t>
      </w:r>
      <w:r w:rsidRPr="0077108A">
        <w:rPr>
          <w:rFonts w:ascii="Times New Roman" w:hAnsi="Times New Roman" w:cs="Times New Roman"/>
          <w:sz w:val="24"/>
          <w:szCs w:val="24"/>
        </w:rPr>
        <w:t xml:space="preserve"> Data mining methodology for response to hypertension symptomology—application to COVID-19-related pharmacovigilance. </w:t>
      </w:r>
      <w:r w:rsidRPr="0077108A">
        <w:rPr>
          <w:rFonts w:ascii="Times New Roman" w:hAnsi="Times New Roman" w:cs="Times New Roman"/>
          <w:i/>
          <w:iCs/>
          <w:sz w:val="24"/>
          <w:szCs w:val="24"/>
        </w:rPr>
        <w:t>Elife</w:t>
      </w:r>
      <w:r w:rsidRPr="0077108A">
        <w:rPr>
          <w:rFonts w:ascii="Times New Roman" w:hAnsi="Times New Roman" w:cs="Times New Roman"/>
          <w:sz w:val="24"/>
          <w:szCs w:val="24"/>
        </w:rPr>
        <w:t xml:space="preserve"> 2021; </w:t>
      </w:r>
      <w:r w:rsidRPr="0077108A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77108A">
        <w:rPr>
          <w:rFonts w:ascii="Times New Roman" w:hAnsi="Times New Roman" w:cs="Times New Roman"/>
          <w:sz w:val="24"/>
          <w:szCs w:val="24"/>
        </w:rPr>
        <w:t>: e70734.</w:t>
      </w:r>
    </w:p>
    <w:p w14:paraId="56584340" w14:textId="77777777" w:rsidR="0077108A" w:rsidRPr="0077108A" w:rsidRDefault="0077108A" w:rsidP="0077108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74893BC" w14:textId="77777777" w:rsidR="0077108A" w:rsidRPr="0077108A" w:rsidRDefault="0077108A" w:rsidP="0077108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D47CB92" w14:textId="467E2F94" w:rsidR="006042C8" w:rsidRPr="0077108A" w:rsidRDefault="006042C8" w:rsidP="0077108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108A">
        <w:rPr>
          <w:rFonts w:ascii="Times New Roman" w:hAnsi="Times New Roman" w:cs="Times New Roman"/>
          <w:sz w:val="24"/>
          <w:szCs w:val="24"/>
        </w:rPr>
        <w:t>Xu</w:t>
      </w:r>
      <w:r w:rsidR="00DC6982" w:rsidRPr="0077108A">
        <w:rPr>
          <w:rFonts w:ascii="Times New Roman" w:hAnsi="Times New Roman" w:cs="Times New Roman"/>
          <w:sz w:val="24"/>
          <w:szCs w:val="24"/>
        </w:rPr>
        <w:t xml:space="preserve"> </w:t>
      </w:r>
      <w:r w:rsidRPr="0077108A">
        <w:rPr>
          <w:rFonts w:ascii="Times New Roman" w:hAnsi="Times New Roman" w:cs="Times New Roman"/>
          <w:sz w:val="24"/>
          <w:szCs w:val="24"/>
        </w:rPr>
        <w:t xml:space="preserve">X., Riviere, J.E., Raza, S., Millagaha Gedara, N.I., Ampadi Ramachandran, R., Tell, L.A., </w:t>
      </w:r>
      <w:r w:rsidRPr="0077108A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Pr="0077108A">
        <w:rPr>
          <w:rFonts w:ascii="Times New Roman" w:hAnsi="Times New Roman" w:cs="Times New Roman"/>
          <w:sz w:val="24"/>
          <w:szCs w:val="24"/>
        </w:rPr>
        <w:t xml:space="preserve">. In-silico approaches to assessing multiple high-level drug-drug and drug-disease adverse drug effects. </w:t>
      </w:r>
      <w:r w:rsidRPr="0077108A">
        <w:rPr>
          <w:rFonts w:ascii="Times New Roman" w:hAnsi="Times New Roman" w:cs="Times New Roman"/>
          <w:i/>
          <w:iCs/>
          <w:sz w:val="24"/>
          <w:szCs w:val="24"/>
        </w:rPr>
        <w:t xml:space="preserve">Expert </w:t>
      </w:r>
      <w:proofErr w:type="spellStart"/>
      <w:r w:rsidRPr="0077108A">
        <w:rPr>
          <w:rFonts w:ascii="Times New Roman" w:hAnsi="Times New Roman" w:cs="Times New Roman"/>
          <w:i/>
          <w:iCs/>
          <w:sz w:val="24"/>
          <w:szCs w:val="24"/>
        </w:rPr>
        <w:t>Opin</w:t>
      </w:r>
      <w:proofErr w:type="spellEnd"/>
      <w:r w:rsidRPr="0077108A">
        <w:rPr>
          <w:rFonts w:ascii="Times New Roman" w:hAnsi="Times New Roman" w:cs="Times New Roman"/>
          <w:i/>
          <w:iCs/>
          <w:sz w:val="24"/>
          <w:szCs w:val="24"/>
        </w:rPr>
        <w:t xml:space="preserve"> Drug </w:t>
      </w:r>
      <w:proofErr w:type="spellStart"/>
      <w:r w:rsidRPr="0077108A">
        <w:rPr>
          <w:rFonts w:ascii="Times New Roman" w:hAnsi="Times New Roman" w:cs="Times New Roman"/>
          <w:i/>
          <w:iCs/>
          <w:sz w:val="24"/>
          <w:szCs w:val="24"/>
        </w:rPr>
        <w:t>Metab</w:t>
      </w:r>
      <w:proofErr w:type="spellEnd"/>
      <w:r w:rsidRPr="0077108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7108A">
        <w:rPr>
          <w:rFonts w:ascii="Times New Roman" w:hAnsi="Times New Roman" w:cs="Times New Roman"/>
          <w:i/>
          <w:iCs/>
          <w:sz w:val="24"/>
          <w:szCs w:val="24"/>
        </w:rPr>
        <w:t>Toxicol</w:t>
      </w:r>
      <w:proofErr w:type="spellEnd"/>
      <w:r w:rsidRPr="0077108A">
        <w:rPr>
          <w:rFonts w:ascii="Times New Roman" w:hAnsi="Times New Roman" w:cs="Times New Roman"/>
          <w:sz w:val="24"/>
          <w:szCs w:val="24"/>
        </w:rPr>
        <w:t>. 2024;</w:t>
      </w:r>
      <w:r w:rsidR="00C16780" w:rsidRPr="0077108A">
        <w:rPr>
          <w:rFonts w:ascii="Times New Roman" w:hAnsi="Times New Roman" w:cs="Times New Roman"/>
          <w:sz w:val="24"/>
          <w:szCs w:val="24"/>
        </w:rPr>
        <w:t xml:space="preserve"> </w:t>
      </w:r>
      <w:r w:rsidRPr="0077108A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77108A">
        <w:rPr>
          <w:rFonts w:ascii="Times New Roman" w:hAnsi="Times New Roman" w:cs="Times New Roman"/>
          <w:sz w:val="24"/>
          <w:szCs w:val="24"/>
        </w:rPr>
        <w:t>: 579-592</w:t>
      </w:r>
      <w:r w:rsidRPr="007710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814B7B" w14:textId="77777777" w:rsidR="00C46FEF" w:rsidRPr="000D0554" w:rsidRDefault="00C46FEF">
      <w:pPr>
        <w:rPr>
          <w:rFonts w:ascii="Times New Roman" w:hAnsi="Times New Roman" w:cs="Times New Roman"/>
          <w:sz w:val="24"/>
          <w:szCs w:val="24"/>
        </w:rPr>
      </w:pPr>
    </w:p>
    <w:p w14:paraId="7A2F384B" w14:textId="77777777" w:rsidR="00C16819" w:rsidRPr="000D0554" w:rsidRDefault="00C16819">
      <w:pPr>
        <w:rPr>
          <w:rFonts w:ascii="Times New Roman" w:hAnsi="Times New Roman" w:cs="Times New Roman"/>
          <w:sz w:val="24"/>
          <w:szCs w:val="24"/>
        </w:rPr>
      </w:pPr>
    </w:p>
    <w:sectPr w:rsidR="00C16819" w:rsidRPr="000D0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843E1"/>
    <w:multiLevelType w:val="hybridMultilevel"/>
    <w:tmpl w:val="93407F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235B40"/>
    <w:multiLevelType w:val="hybridMultilevel"/>
    <w:tmpl w:val="58F63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322090">
    <w:abstractNumId w:val="0"/>
  </w:num>
  <w:num w:numId="2" w16cid:durableId="209807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E0N7SwNLQwtLQwMDdS0lEKTi0uzszPAykwrAUAanQPHCwAAAA="/>
  </w:docVars>
  <w:rsids>
    <w:rsidRoot w:val="00C51DA9"/>
    <w:rsid w:val="000C468F"/>
    <w:rsid w:val="000D0554"/>
    <w:rsid w:val="000F5136"/>
    <w:rsid w:val="00106289"/>
    <w:rsid w:val="00117F38"/>
    <w:rsid w:val="00131364"/>
    <w:rsid w:val="00133671"/>
    <w:rsid w:val="0013707C"/>
    <w:rsid w:val="001B03B4"/>
    <w:rsid w:val="001F3972"/>
    <w:rsid w:val="0022030A"/>
    <w:rsid w:val="00230DDA"/>
    <w:rsid w:val="0023402D"/>
    <w:rsid w:val="002625A9"/>
    <w:rsid w:val="00275E0B"/>
    <w:rsid w:val="00281B0C"/>
    <w:rsid w:val="002C4729"/>
    <w:rsid w:val="002F2230"/>
    <w:rsid w:val="003F68B2"/>
    <w:rsid w:val="004228F7"/>
    <w:rsid w:val="00547929"/>
    <w:rsid w:val="00587D68"/>
    <w:rsid w:val="005902DC"/>
    <w:rsid w:val="005E277D"/>
    <w:rsid w:val="006042C8"/>
    <w:rsid w:val="00636531"/>
    <w:rsid w:val="00663ECC"/>
    <w:rsid w:val="00684C0C"/>
    <w:rsid w:val="0069149E"/>
    <w:rsid w:val="006A7376"/>
    <w:rsid w:val="006E3677"/>
    <w:rsid w:val="006E37DA"/>
    <w:rsid w:val="00706D51"/>
    <w:rsid w:val="0077108A"/>
    <w:rsid w:val="0078367A"/>
    <w:rsid w:val="007E2995"/>
    <w:rsid w:val="00851F70"/>
    <w:rsid w:val="0088710E"/>
    <w:rsid w:val="00895900"/>
    <w:rsid w:val="008B0B16"/>
    <w:rsid w:val="009406C8"/>
    <w:rsid w:val="0095230D"/>
    <w:rsid w:val="009639ED"/>
    <w:rsid w:val="00984F23"/>
    <w:rsid w:val="009B389A"/>
    <w:rsid w:val="009C7AE6"/>
    <w:rsid w:val="009E4538"/>
    <w:rsid w:val="009F28A5"/>
    <w:rsid w:val="00AB31C6"/>
    <w:rsid w:val="00AE262E"/>
    <w:rsid w:val="00B60790"/>
    <w:rsid w:val="00B85E0D"/>
    <w:rsid w:val="00B91B42"/>
    <w:rsid w:val="00C16780"/>
    <w:rsid w:val="00C16819"/>
    <w:rsid w:val="00C214CB"/>
    <w:rsid w:val="00C325E1"/>
    <w:rsid w:val="00C46FEF"/>
    <w:rsid w:val="00C51DA9"/>
    <w:rsid w:val="00CC3003"/>
    <w:rsid w:val="00D06C26"/>
    <w:rsid w:val="00D7234A"/>
    <w:rsid w:val="00D77622"/>
    <w:rsid w:val="00DC6982"/>
    <w:rsid w:val="00DC77F5"/>
    <w:rsid w:val="00E043FD"/>
    <w:rsid w:val="00EB596F"/>
    <w:rsid w:val="00F3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24247"/>
  <w15:chartTrackingRefBased/>
  <w15:docId w15:val="{698ADA44-FC77-495E-8E9D-C945D2117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1D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D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D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D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D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D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D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D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D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D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D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D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D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D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D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D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D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D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D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D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D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D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D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D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D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D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D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D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DA9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6E37DA"/>
    <w:pPr>
      <w:spacing w:after="0" w:line="240" w:lineRule="auto"/>
    </w:pPr>
    <w:rPr>
      <w:rFonts w:eastAsiaTheme="minorEastAsia"/>
      <w:sz w:val="24"/>
      <w:szCs w:val="24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E37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37DA"/>
    <w:pPr>
      <w:spacing w:after="0" w:line="480" w:lineRule="auto"/>
      <w:jc w:val="both"/>
    </w:pPr>
    <w:rPr>
      <w:rFonts w:asciiTheme="majorBidi" w:eastAsiaTheme="minorEastAsia" w:hAnsiTheme="majorBidi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37DA"/>
    <w:rPr>
      <w:rFonts w:asciiTheme="majorBidi" w:eastAsiaTheme="minorEastAsia" w:hAnsiTheme="majorBidi"/>
      <w:sz w:val="20"/>
      <w:szCs w:val="20"/>
      <w:lang w:eastAsia="zh-CN"/>
    </w:rPr>
  </w:style>
  <w:style w:type="paragraph" w:styleId="Bibliography">
    <w:name w:val="Bibliography"/>
    <w:basedOn w:val="Normal"/>
    <w:next w:val="Normal"/>
    <w:uiPriority w:val="37"/>
    <w:unhideWhenUsed/>
    <w:rsid w:val="00C46FEF"/>
  </w:style>
  <w:style w:type="paragraph" w:styleId="Revision">
    <w:name w:val="Revision"/>
    <w:hidden/>
    <w:uiPriority w:val="99"/>
    <w:semiHidden/>
    <w:rsid w:val="00281B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Clinic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Raza, Shahzad</dc:creator>
  <cp:keywords/>
  <dc:description/>
  <cp:lastModifiedBy>Raza, Shahzad</cp:lastModifiedBy>
  <cp:revision>2</cp:revision>
  <dcterms:created xsi:type="dcterms:W3CDTF">2024-12-01T06:34:00Z</dcterms:created>
  <dcterms:modified xsi:type="dcterms:W3CDTF">2024-12-01T06:34:00Z</dcterms:modified>
</cp:coreProperties>
</file>