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1383D" w14:textId="4A6404AB" w:rsidR="0057664B" w:rsidRDefault="0057664B">
      <w:r>
        <w:t xml:space="preserve">Legend </w:t>
      </w:r>
    </w:p>
    <w:p w14:paraId="5A14DABA" w14:textId="77777777" w:rsidR="0057664B" w:rsidRDefault="0057664B">
      <w:r>
        <w:t xml:space="preserve">Supplemental Figure </w:t>
      </w:r>
      <w:r>
        <w:t>S</w:t>
      </w:r>
      <w:r>
        <w:t>1. Quantitative changes in MRD burden after ASCT in patients with MRD</w:t>
      </w:r>
      <w:r>
        <w:sym w:font="Symbol" w:char="F0B3"/>
      </w:r>
      <w:r>
        <w:t>10-5 post induction according to use of standard (200 mg/m</w:t>
      </w:r>
      <w:proofErr w:type="gramStart"/>
      <w:r>
        <w:t>2 )</w:t>
      </w:r>
      <w:proofErr w:type="gramEnd"/>
      <w:r>
        <w:t xml:space="preserve"> or reduced dose (140 mg/m2 ) melphalan as ASCT conditioning regimen. </w:t>
      </w:r>
    </w:p>
    <w:p w14:paraId="3E5424AA" w14:textId="6D17F021" w:rsidR="0057664B" w:rsidRDefault="0057664B">
      <w:r>
        <w:t xml:space="preserve">Supplemental Figure </w:t>
      </w:r>
      <w:r>
        <w:t>S</w:t>
      </w:r>
      <w:r>
        <w:t>2. International Myeloma Working Group best response following triplet and quadruplet induction as well as after ASCT.</w:t>
      </w:r>
    </w:p>
    <w:sectPr w:rsidR="00576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4B"/>
    <w:rsid w:val="0057664B"/>
    <w:rsid w:val="00C2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E98D1"/>
  <w15:chartTrackingRefBased/>
  <w15:docId w15:val="{83EFD3F3-8401-415F-8657-0DDF8E4F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6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Bal</dc:creator>
  <cp:keywords/>
  <dc:description/>
  <cp:lastModifiedBy>Susan Bal</cp:lastModifiedBy>
  <cp:revision>1</cp:revision>
  <dcterms:created xsi:type="dcterms:W3CDTF">2025-01-15T22:59:00Z</dcterms:created>
  <dcterms:modified xsi:type="dcterms:W3CDTF">2025-01-15T23:00:00Z</dcterms:modified>
</cp:coreProperties>
</file>