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FEBA" w14:textId="77777777" w:rsidR="00E32C79" w:rsidRPr="0031153B" w:rsidRDefault="00E32C79" w:rsidP="00E32C79">
      <w:pPr>
        <w:pStyle w:val="Heading2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31153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Supplementary Table S1</w:t>
      </w:r>
      <w:r w:rsidRPr="003115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Infection Prophylaxis Strategies in Patients Treated with </w:t>
      </w:r>
      <w:proofErr w:type="spellStart"/>
      <w:r w:rsidRPr="0031153B">
        <w:rPr>
          <w:rFonts w:ascii="Times New Roman" w:hAnsi="Times New Roman" w:cs="Times New Roman"/>
          <w:color w:val="000000" w:themeColor="text1"/>
          <w:sz w:val="22"/>
          <w:szCs w:val="22"/>
        </w:rPr>
        <w:t>Talquetamab</w:t>
      </w:r>
      <w:proofErr w:type="spellEnd"/>
      <w:r w:rsidRPr="0031153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(N = 114)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8"/>
        <w:gridCol w:w="3042"/>
      </w:tblGrid>
      <w:tr w:rsidR="00E32C79" w:rsidRPr="0031153B" w14:paraId="68D35DCE" w14:textId="77777777" w:rsidTr="00E32C79">
        <w:tc>
          <w:tcPr>
            <w:tcW w:w="5598" w:type="dxa"/>
            <w:shd w:val="clear" w:color="auto" w:fill="0B769F" w:themeFill="accent4" w:themeFillShade="BF"/>
          </w:tcPr>
          <w:p w14:paraId="3DD3CDBB" w14:textId="77777777" w:rsidR="00E32C79" w:rsidRPr="0031153B" w:rsidRDefault="00E32C79" w:rsidP="00B064B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Prophylaxis Type</w:t>
            </w:r>
          </w:p>
        </w:tc>
        <w:tc>
          <w:tcPr>
            <w:tcW w:w="3042" w:type="dxa"/>
            <w:shd w:val="clear" w:color="auto" w:fill="0B769F" w:themeFill="accent4" w:themeFillShade="BF"/>
          </w:tcPr>
          <w:p w14:paraId="01886690" w14:textId="77777777" w:rsidR="00E32C79" w:rsidRPr="0031153B" w:rsidRDefault="00E32C79" w:rsidP="00B064B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 (%)</w:t>
            </w:r>
          </w:p>
        </w:tc>
      </w:tr>
      <w:tr w:rsidR="00E32C79" w:rsidRPr="0031153B" w14:paraId="0D6F0A75" w14:textId="77777777" w:rsidTr="00B064BC">
        <w:tc>
          <w:tcPr>
            <w:tcW w:w="5598" w:type="dxa"/>
          </w:tcPr>
          <w:p w14:paraId="0FC28A39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 xml:space="preserve">Pneumocystis </w:t>
            </w:r>
            <w:proofErr w:type="spellStart"/>
            <w:r w:rsidRPr="0031153B">
              <w:rPr>
                <w:rFonts w:ascii="Times New Roman" w:hAnsi="Times New Roman" w:cs="Times New Roman"/>
                <w:color w:val="000000" w:themeColor="text1"/>
              </w:rPr>
              <w:t>jirovecii</w:t>
            </w:r>
            <w:proofErr w:type="spellEnd"/>
            <w:r w:rsidRPr="0031153B">
              <w:rPr>
                <w:rFonts w:ascii="Times New Roman" w:hAnsi="Times New Roman" w:cs="Times New Roman"/>
                <w:color w:val="000000" w:themeColor="text1"/>
              </w:rPr>
              <w:t xml:space="preserve"> pneumonia (PJP)</w:t>
            </w:r>
          </w:p>
        </w:tc>
        <w:tc>
          <w:tcPr>
            <w:tcW w:w="3042" w:type="dxa"/>
          </w:tcPr>
          <w:p w14:paraId="353D583E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103 (90%)</w:t>
            </w:r>
          </w:p>
        </w:tc>
      </w:tr>
      <w:tr w:rsidR="00E32C79" w:rsidRPr="0031153B" w14:paraId="0FE990F5" w14:textId="77777777" w:rsidTr="00B064BC">
        <w:tc>
          <w:tcPr>
            <w:tcW w:w="5598" w:type="dxa"/>
          </w:tcPr>
          <w:p w14:paraId="77F0EC5D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PJP prophylaxis agent</w:t>
            </w:r>
          </w:p>
        </w:tc>
        <w:tc>
          <w:tcPr>
            <w:tcW w:w="3042" w:type="dxa"/>
          </w:tcPr>
          <w:p w14:paraId="70A89F06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32C79" w:rsidRPr="0031153B" w14:paraId="20F0624E" w14:textId="77777777" w:rsidTr="00B064BC">
        <w:tc>
          <w:tcPr>
            <w:tcW w:w="5598" w:type="dxa"/>
          </w:tcPr>
          <w:p w14:paraId="0E6AD083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 Trimethoprim-sulfamethoxazole (Bactrim)</w:t>
            </w:r>
          </w:p>
        </w:tc>
        <w:tc>
          <w:tcPr>
            <w:tcW w:w="3042" w:type="dxa"/>
          </w:tcPr>
          <w:p w14:paraId="32CDEC56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58 (56%)</w:t>
            </w:r>
          </w:p>
        </w:tc>
      </w:tr>
      <w:tr w:rsidR="00E32C79" w:rsidRPr="0031153B" w14:paraId="3727C35F" w14:textId="77777777" w:rsidTr="00B064BC">
        <w:tc>
          <w:tcPr>
            <w:tcW w:w="5598" w:type="dxa"/>
          </w:tcPr>
          <w:p w14:paraId="40F8139E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 Dapsone</w:t>
            </w:r>
          </w:p>
        </w:tc>
        <w:tc>
          <w:tcPr>
            <w:tcW w:w="3042" w:type="dxa"/>
          </w:tcPr>
          <w:p w14:paraId="0815609B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35 (34%)</w:t>
            </w:r>
          </w:p>
        </w:tc>
      </w:tr>
      <w:tr w:rsidR="00E32C79" w:rsidRPr="0031153B" w14:paraId="40F4BC57" w14:textId="77777777" w:rsidTr="00B064BC">
        <w:tc>
          <w:tcPr>
            <w:tcW w:w="5598" w:type="dxa"/>
          </w:tcPr>
          <w:p w14:paraId="0B7EDBAC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 Pentamidine</w:t>
            </w:r>
          </w:p>
        </w:tc>
        <w:tc>
          <w:tcPr>
            <w:tcW w:w="3042" w:type="dxa"/>
          </w:tcPr>
          <w:p w14:paraId="1CBE05E4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8 (7.7%)</w:t>
            </w:r>
          </w:p>
        </w:tc>
      </w:tr>
      <w:tr w:rsidR="00E32C79" w:rsidRPr="0031153B" w14:paraId="27121B68" w14:textId="77777777" w:rsidTr="00B064BC">
        <w:tc>
          <w:tcPr>
            <w:tcW w:w="5598" w:type="dxa"/>
          </w:tcPr>
          <w:p w14:paraId="07EA3E82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 Atovaquone</w:t>
            </w:r>
          </w:p>
        </w:tc>
        <w:tc>
          <w:tcPr>
            <w:tcW w:w="3042" w:type="dxa"/>
          </w:tcPr>
          <w:p w14:paraId="406CC017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1 (1.0%)</w:t>
            </w:r>
          </w:p>
        </w:tc>
      </w:tr>
      <w:tr w:rsidR="00E32C79" w:rsidRPr="0031153B" w14:paraId="35C821BD" w14:textId="77777777" w:rsidTr="00B064BC">
        <w:tc>
          <w:tcPr>
            <w:tcW w:w="5598" w:type="dxa"/>
          </w:tcPr>
          <w:p w14:paraId="7CB23194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 Bactrim → Pentamidine</w:t>
            </w:r>
          </w:p>
        </w:tc>
        <w:tc>
          <w:tcPr>
            <w:tcW w:w="3042" w:type="dxa"/>
          </w:tcPr>
          <w:p w14:paraId="5B2501EF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2 (1.9%)</w:t>
            </w:r>
          </w:p>
        </w:tc>
      </w:tr>
      <w:tr w:rsidR="00E32C79" w:rsidRPr="0031153B" w14:paraId="6DED387B" w14:textId="77777777" w:rsidTr="00B064BC">
        <w:tc>
          <w:tcPr>
            <w:tcW w:w="5598" w:type="dxa"/>
          </w:tcPr>
          <w:p w14:paraId="59C3296C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6BA38B20">
              <w:rPr>
                <w:rFonts w:ascii="Times New Roman" w:hAnsi="Times New Roman" w:cs="Times New Roman"/>
                <w:color w:val="000000" w:themeColor="text1"/>
              </w:rPr>
              <w:t> Unidentified/Unspecified</w:t>
            </w:r>
          </w:p>
        </w:tc>
        <w:tc>
          <w:tcPr>
            <w:tcW w:w="3042" w:type="dxa"/>
          </w:tcPr>
          <w:p w14:paraId="2F19054D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</w:tr>
      <w:tr w:rsidR="00E32C79" w:rsidRPr="0031153B" w14:paraId="361FFD78" w14:textId="77777777" w:rsidTr="00B064BC">
        <w:tc>
          <w:tcPr>
            <w:tcW w:w="5598" w:type="dxa"/>
          </w:tcPr>
          <w:p w14:paraId="409CBAE6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HSV/VZV prophylaxis</w:t>
            </w:r>
          </w:p>
        </w:tc>
        <w:tc>
          <w:tcPr>
            <w:tcW w:w="3042" w:type="dxa"/>
          </w:tcPr>
          <w:p w14:paraId="57BAD8E7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112 (98%)</w:t>
            </w:r>
          </w:p>
        </w:tc>
      </w:tr>
      <w:tr w:rsidR="00E32C79" w:rsidRPr="0031153B" w14:paraId="688FCF7E" w14:textId="77777777" w:rsidTr="00B064BC">
        <w:tc>
          <w:tcPr>
            <w:tcW w:w="5598" w:type="dxa"/>
          </w:tcPr>
          <w:p w14:paraId="044BBF7C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IVIG use</w:t>
            </w:r>
          </w:p>
        </w:tc>
        <w:tc>
          <w:tcPr>
            <w:tcW w:w="3042" w:type="dxa"/>
          </w:tcPr>
          <w:p w14:paraId="68FDB82F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32C79" w:rsidRPr="0031153B" w14:paraId="0B5E6E89" w14:textId="77777777" w:rsidTr="00B064BC">
        <w:tc>
          <w:tcPr>
            <w:tcW w:w="5598" w:type="dxa"/>
          </w:tcPr>
          <w:p w14:paraId="70180E9B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 No IVIG</w:t>
            </w:r>
          </w:p>
        </w:tc>
        <w:tc>
          <w:tcPr>
            <w:tcW w:w="3042" w:type="dxa"/>
          </w:tcPr>
          <w:p w14:paraId="65F5377C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45 (39%)</w:t>
            </w:r>
          </w:p>
        </w:tc>
      </w:tr>
      <w:tr w:rsidR="00E32C79" w:rsidRPr="0031153B" w14:paraId="0853119C" w14:textId="77777777" w:rsidTr="00B064BC">
        <w:tc>
          <w:tcPr>
            <w:tcW w:w="5598" w:type="dxa"/>
          </w:tcPr>
          <w:p w14:paraId="40C3331E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 Primary prophylaxis</w:t>
            </w:r>
          </w:p>
        </w:tc>
        <w:tc>
          <w:tcPr>
            <w:tcW w:w="3042" w:type="dxa"/>
          </w:tcPr>
          <w:p w14:paraId="1B8CEC54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57 (50%)</w:t>
            </w:r>
          </w:p>
        </w:tc>
      </w:tr>
      <w:tr w:rsidR="00E32C79" w:rsidRPr="0031153B" w14:paraId="340958FE" w14:textId="77777777" w:rsidTr="00B064BC">
        <w:tc>
          <w:tcPr>
            <w:tcW w:w="5598" w:type="dxa"/>
          </w:tcPr>
          <w:p w14:paraId="75D73EE6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 Secondary prophylaxis</w:t>
            </w:r>
          </w:p>
        </w:tc>
        <w:tc>
          <w:tcPr>
            <w:tcW w:w="3042" w:type="dxa"/>
          </w:tcPr>
          <w:p w14:paraId="5D94E45B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12 (11%)</w:t>
            </w:r>
          </w:p>
        </w:tc>
      </w:tr>
      <w:tr w:rsidR="00E32C79" w:rsidRPr="0031153B" w14:paraId="7B5355FD" w14:textId="77777777" w:rsidTr="00B064BC">
        <w:tc>
          <w:tcPr>
            <w:tcW w:w="5598" w:type="dxa"/>
          </w:tcPr>
          <w:p w14:paraId="65A7CB42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Median day of first IVIG (range)</w:t>
            </w:r>
          </w:p>
        </w:tc>
        <w:tc>
          <w:tcPr>
            <w:tcW w:w="3042" w:type="dxa"/>
          </w:tcPr>
          <w:p w14:paraId="712D8BA6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Day 26 (–57 to 391)</w:t>
            </w:r>
          </w:p>
        </w:tc>
      </w:tr>
      <w:tr w:rsidR="00E32C79" w:rsidRPr="0031153B" w14:paraId="0EB8BF43" w14:textId="77777777" w:rsidTr="00B064BC">
        <w:tc>
          <w:tcPr>
            <w:tcW w:w="5598" w:type="dxa"/>
          </w:tcPr>
          <w:p w14:paraId="4716C053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Antibacterial prophylaxis</w:t>
            </w:r>
          </w:p>
        </w:tc>
        <w:tc>
          <w:tcPr>
            <w:tcW w:w="3042" w:type="dxa"/>
          </w:tcPr>
          <w:p w14:paraId="4EDCFBE7" w14:textId="77777777" w:rsidR="00E32C79" w:rsidRPr="0031153B" w:rsidRDefault="00E32C79" w:rsidP="00B064B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1153B">
              <w:rPr>
                <w:rFonts w:ascii="Times New Roman" w:hAnsi="Times New Roman" w:cs="Times New Roman"/>
                <w:color w:val="000000" w:themeColor="text1"/>
              </w:rPr>
              <w:t>27 (24%)</w:t>
            </w:r>
          </w:p>
        </w:tc>
      </w:tr>
    </w:tbl>
    <w:p w14:paraId="608E27DB" w14:textId="77777777" w:rsidR="00E32C79" w:rsidRPr="0031153B" w:rsidRDefault="00E32C79" w:rsidP="00E32C79">
      <w:pPr>
        <w:spacing w:line="24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6BA38B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This table summarizes the use of infection prophylaxis in patients receiving </w:t>
      </w:r>
      <w:proofErr w:type="spellStart"/>
      <w:r w:rsidRPr="6BA38B20">
        <w:rPr>
          <w:rFonts w:ascii="Times New Roman" w:hAnsi="Times New Roman" w:cs="Times New Roman"/>
          <w:color w:val="000000" w:themeColor="text1"/>
          <w:sz w:val="18"/>
          <w:szCs w:val="18"/>
        </w:rPr>
        <w:t>talquetamab</w:t>
      </w:r>
      <w:proofErr w:type="spellEnd"/>
      <w:r w:rsidRPr="6BA38B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across participating centers. IVIG use is further categorized by indication. PJP and HSV/VZV prophylaxis were routinely implemented. Timing of IVIG administration is reported relative to treatment start. </w:t>
      </w:r>
      <w:r w:rsidRPr="6BA38B20">
        <w:rPr>
          <w:rStyle w:val="Strong"/>
          <w:rFonts w:ascii="Times New Roman" w:hAnsi="Times New Roman" w:cs="Times New Roman"/>
          <w:color w:val="000000" w:themeColor="text1"/>
          <w:sz w:val="18"/>
          <w:szCs w:val="18"/>
        </w:rPr>
        <w:t>Abbreviations:</w:t>
      </w:r>
      <w:r w:rsidRPr="6BA38B2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HSV, herpes simplex virus; VZV, varicella zoster virus; IVIG, intravenous immunoglobulin.</w:t>
      </w:r>
    </w:p>
    <w:p w14:paraId="3C9ADC44" w14:textId="77777777" w:rsidR="00874EB2" w:rsidRDefault="00874EB2"/>
    <w:sectPr w:rsidR="00874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6350E" w14:textId="77777777" w:rsidR="00CD5564" w:rsidRDefault="00CD5564" w:rsidP="00E32C79">
      <w:pPr>
        <w:spacing w:after="0" w:line="240" w:lineRule="auto"/>
      </w:pPr>
      <w:r>
        <w:separator/>
      </w:r>
    </w:p>
  </w:endnote>
  <w:endnote w:type="continuationSeparator" w:id="0">
    <w:p w14:paraId="2DB0CE2C" w14:textId="77777777" w:rsidR="00CD5564" w:rsidRDefault="00CD5564" w:rsidP="00E32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D1BAE" w14:textId="77777777" w:rsidR="00CD5564" w:rsidRDefault="00CD5564" w:rsidP="00E32C79">
      <w:pPr>
        <w:spacing w:after="0" w:line="240" w:lineRule="auto"/>
      </w:pPr>
      <w:r>
        <w:separator/>
      </w:r>
    </w:p>
  </w:footnote>
  <w:footnote w:type="continuationSeparator" w:id="0">
    <w:p w14:paraId="495875E6" w14:textId="77777777" w:rsidR="00CD5564" w:rsidRDefault="00CD5564" w:rsidP="00E32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C79"/>
    <w:rsid w:val="0010557E"/>
    <w:rsid w:val="002148D8"/>
    <w:rsid w:val="00253877"/>
    <w:rsid w:val="002606CC"/>
    <w:rsid w:val="002609F5"/>
    <w:rsid w:val="002E7C43"/>
    <w:rsid w:val="002F757C"/>
    <w:rsid w:val="00331FC3"/>
    <w:rsid w:val="003749BC"/>
    <w:rsid w:val="00383C32"/>
    <w:rsid w:val="0043623E"/>
    <w:rsid w:val="004E5E1F"/>
    <w:rsid w:val="004F4004"/>
    <w:rsid w:val="0056606F"/>
    <w:rsid w:val="005C1450"/>
    <w:rsid w:val="006062B7"/>
    <w:rsid w:val="00767368"/>
    <w:rsid w:val="007A7398"/>
    <w:rsid w:val="00874EB2"/>
    <w:rsid w:val="0087597D"/>
    <w:rsid w:val="008A0383"/>
    <w:rsid w:val="008B6B3D"/>
    <w:rsid w:val="008E4C2A"/>
    <w:rsid w:val="00970E5D"/>
    <w:rsid w:val="009B2725"/>
    <w:rsid w:val="009F1C9F"/>
    <w:rsid w:val="00A95EA7"/>
    <w:rsid w:val="00B331CE"/>
    <w:rsid w:val="00B676DA"/>
    <w:rsid w:val="00B77A92"/>
    <w:rsid w:val="00C040E9"/>
    <w:rsid w:val="00CA7520"/>
    <w:rsid w:val="00CD5564"/>
    <w:rsid w:val="00D51CC6"/>
    <w:rsid w:val="00DF51D1"/>
    <w:rsid w:val="00E04149"/>
    <w:rsid w:val="00E32C79"/>
    <w:rsid w:val="00E72EAE"/>
    <w:rsid w:val="00F0015D"/>
    <w:rsid w:val="00F440C6"/>
    <w:rsid w:val="00F8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5204AA"/>
  <w15:chartTrackingRefBased/>
  <w15:docId w15:val="{C0A9235E-EC0F-CC45-9051-7D822227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C79"/>
    <w:pPr>
      <w:spacing w:line="48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C7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C7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C7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C7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C7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C7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C7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C7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C7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C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C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C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C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C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C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C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C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C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2C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32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C7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32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2C7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32C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2C7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32C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C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C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2C7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E32C79"/>
    <w:rPr>
      <w:b/>
      <w:bCs/>
    </w:rPr>
  </w:style>
  <w:style w:type="table" w:styleId="TableGrid">
    <w:name w:val="Table Grid"/>
    <w:basedOn w:val="TableNormal"/>
    <w:uiPriority w:val="59"/>
    <w:rsid w:val="00E32C79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32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C7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32C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C7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 Hadidi, Samer</dc:creator>
  <cp:keywords/>
  <dc:description/>
  <cp:lastModifiedBy>Al Hadidi, Samer</cp:lastModifiedBy>
  <cp:revision>1</cp:revision>
  <dcterms:created xsi:type="dcterms:W3CDTF">2025-07-02T02:34:00Z</dcterms:created>
  <dcterms:modified xsi:type="dcterms:W3CDTF">2025-07-02T02:36:00Z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2025-07-02T02:36:01Z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1bd14f39-f199-4738-8406-8c09122248ee</vt:lpwstr>
  </property>
  <property fmtid="{D5CDD505-2E9C-101B-9397-08002B2CF9AE}" pid="8" name="MSIP_Label_8ca390d5-a4f3-448c-8368-24080179bc53_ContentBits">
    <vt:lpwstr>0</vt:lpwstr>
  </property>
  <property fmtid="{D5CDD505-2E9C-101B-9397-08002B2CF9AE}" pid="9" name="MSIP_Label_8ca390d5-a4f3-448c-8368-24080179bc53_Tag">
    <vt:lpwstr>50, 3, 0, 1</vt:lpwstr>
  </property>
</Properties>
</file>