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32435" w14:textId="0018FCC9" w:rsidR="00D10D1E" w:rsidRDefault="00D10D1E" w:rsidP="003C479A">
      <w:pPr>
        <w:spacing w:after="0" w:line="480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Supplemental Figure Legends</w:t>
      </w:r>
    </w:p>
    <w:p w14:paraId="4CB54B32" w14:textId="77777777" w:rsidR="00D10D1E" w:rsidRDefault="00D10D1E" w:rsidP="003C479A">
      <w:pPr>
        <w:spacing w:after="0" w:line="480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</w:p>
    <w:p w14:paraId="73EF9EBC" w14:textId="4D91067F" w:rsidR="003C479A" w:rsidRPr="003C479A" w:rsidRDefault="003C479A" w:rsidP="003C479A">
      <w:pPr>
        <w:spacing w:after="0" w:line="480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3C479A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 xml:space="preserve">Figure S1. </w:t>
      </w:r>
    </w:p>
    <w:p w14:paraId="4AA97953" w14:textId="77777777" w:rsidR="003C479A" w:rsidRPr="003C479A" w:rsidRDefault="003C479A" w:rsidP="003C479A">
      <w:pPr>
        <w:spacing w:after="0" w:line="48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C479A">
        <w:rPr>
          <w:rFonts w:ascii="Arial" w:eastAsia="Calibri" w:hAnsi="Arial" w:cs="Arial"/>
          <w:kern w:val="0"/>
          <w:sz w:val="22"/>
          <w:szCs w:val="22"/>
          <w14:ligatures w14:val="none"/>
        </w:rPr>
        <w:t>(A) Aggregation assay of SMEZ-2, CD33, and M2T-CD33 before and after amino acid modifications. Error bars represent SEM. Significance was determined by one-way ANOVA with Sidak’s multiple comparisons test, **P&lt;0.01, ***P&lt;0.001, ns=not significant.</w:t>
      </w:r>
    </w:p>
    <w:p w14:paraId="62A035B3" w14:textId="77777777" w:rsidR="003C479A" w:rsidRPr="003C479A" w:rsidRDefault="003C479A" w:rsidP="003C479A">
      <w:pPr>
        <w:spacing w:after="0" w:line="48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C479A">
        <w:rPr>
          <w:rFonts w:ascii="Arial" w:eastAsia="Calibri" w:hAnsi="Arial" w:cs="Arial"/>
          <w:kern w:val="0"/>
          <w:sz w:val="22"/>
          <w:szCs w:val="22"/>
          <w14:ligatures w14:val="none"/>
        </w:rPr>
        <w:t>(B) Flow cytometry plots of human PBMCs (healthy donor #2) gating on CD3 or CD19 and then comparing binding of CD33 vs. M2T-CD33.</w:t>
      </w:r>
    </w:p>
    <w:p w14:paraId="3738F7FC" w14:textId="77777777" w:rsidR="003C479A" w:rsidRPr="003C479A" w:rsidRDefault="003C479A" w:rsidP="003C479A">
      <w:pPr>
        <w:spacing w:after="0" w:line="48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C479A">
        <w:rPr>
          <w:rFonts w:ascii="Arial" w:eastAsia="Calibri" w:hAnsi="Arial" w:cs="Arial"/>
          <w:kern w:val="0"/>
          <w:sz w:val="22"/>
          <w:szCs w:val="22"/>
          <w14:ligatures w14:val="none"/>
        </w:rPr>
        <w:t>(C) Flow cytometry of mouse AML cell lines showing endogenous CD33 expression.</w:t>
      </w:r>
    </w:p>
    <w:p w14:paraId="1F8E3DDD" w14:textId="77777777" w:rsidR="003C479A" w:rsidRPr="003C479A" w:rsidRDefault="003C479A" w:rsidP="003C479A">
      <w:pPr>
        <w:spacing w:after="0" w:line="48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C479A">
        <w:rPr>
          <w:rFonts w:ascii="Arial" w:eastAsia="Calibri" w:hAnsi="Arial" w:cs="Arial"/>
          <w:kern w:val="0"/>
          <w:sz w:val="22"/>
          <w:szCs w:val="22"/>
          <w14:ligatures w14:val="none"/>
        </w:rPr>
        <w:t>(D) Flow cytometry of CD33-negative Jurkat and C1498-hCD33 cells incubated with recombinant Gemtuzumab (Gem), left. Flow cytometry of C1498 parental and C1498-hCD33 cells incubated with recombinant Lintuzumab (Lin), right.</w:t>
      </w:r>
    </w:p>
    <w:p w14:paraId="2EE80D6B" w14:textId="77777777" w:rsidR="003C479A" w:rsidRPr="003C479A" w:rsidRDefault="003C479A" w:rsidP="003C479A">
      <w:pPr>
        <w:spacing w:after="0" w:line="48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C479A">
        <w:rPr>
          <w:rFonts w:ascii="Arial" w:eastAsia="Calibri" w:hAnsi="Arial" w:cs="Arial"/>
          <w:kern w:val="0"/>
          <w:sz w:val="22"/>
          <w:szCs w:val="22"/>
          <w14:ligatures w14:val="none"/>
        </w:rPr>
        <w:t>(E) ELISA of anti-CD33 IgG one week after third M2T-mCD33 dose. Error bars represent SEM. Significance determined by Kruskal-Wallis test and Dunn’s multiple comparisons test, *P&lt;0.05.</w:t>
      </w:r>
    </w:p>
    <w:p w14:paraId="17579C50" w14:textId="77777777" w:rsidR="003C479A" w:rsidRPr="003C479A" w:rsidRDefault="003C479A" w:rsidP="003C479A">
      <w:pPr>
        <w:spacing w:after="0" w:line="48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171465C2" w14:textId="77777777" w:rsidR="003C479A" w:rsidRPr="003C479A" w:rsidRDefault="003C479A" w:rsidP="003C479A">
      <w:pPr>
        <w:spacing w:after="0" w:line="480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3C479A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Figure S2.</w:t>
      </w:r>
    </w:p>
    <w:p w14:paraId="04907BE7" w14:textId="77777777" w:rsidR="003C479A" w:rsidRPr="003C479A" w:rsidRDefault="003C479A" w:rsidP="003C479A">
      <w:pPr>
        <w:spacing w:after="0" w:line="48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C479A">
        <w:rPr>
          <w:rFonts w:ascii="Arial" w:eastAsia="Calibri" w:hAnsi="Arial" w:cs="Arial"/>
          <w:kern w:val="0"/>
          <w:sz w:val="22"/>
          <w:szCs w:val="22"/>
          <w14:ligatures w14:val="none"/>
        </w:rPr>
        <w:t>(A) Mice were treated with the mouse version of M2T-CD33 at 0.1 nmol, 2 nmol, or 4 nmol every other week for a total of three doses and untreated mice were used as a control (N=3). Complete blood count with differential from mice one week after third M2T-mCD33 dose.</w:t>
      </w:r>
    </w:p>
    <w:p w14:paraId="35EDF7C7" w14:textId="77777777" w:rsidR="003C479A" w:rsidRPr="003C479A" w:rsidRDefault="003C479A" w:rsidP="003C479A">
      <w:pPr>
        <w:spacing w:after="0" w:line="48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0547633D" w14:textId="77777777" w:rsidR="003C479A" w:rsidRPr="003C479A" w:rsidRDefault="003C479A" w:rsidP="003C479A">
      <w:pPr>
        <w:spacing w:after="0" w:line="480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3C479A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Figure S3.</w:t>
      </w:r>
    </w:p>
    <w:p w14:paraId="1EB6DBC0" w14:textId="77777777" w:rsidR="003C479A" w:rsidRPr="003C479A" w:rsidRDefault="003C479A" w:rsidP="003C479A">
      <w:pPr>
        <w:spacing w:after="0" w:line="48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C479A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(A) Mice were treated with the mouse version of M2T-CD33 at 0.1 nmol, 2 nmol, or 4 nmol every other week for a total of three doses and untreated mice were used as a control (N=3). Plasma chemistry analysis from mice one week after third M2T-mCD33 dose. </w:t>
      </w:r>
    </w:p>
    <w:p w14:paraId="68191E41" w14:textId="77777777" w:rsidR="003C479A" w:rsidRPr="003C479A" w:rsidRDefault="003C479A" w:rsidP="003C479A">
      <w:pPr>
        <w:spacing w:after="0" w:line="48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C479A">
        <w:rPr>
          <w:rFonts w:ascii="Arial" w:eastAsia="Calibri" w:hAnsi="Arial" w:cs="Arial"/>
          <w:kern w:val="0"/>
          <w:sz w:val="22"/>
          <w:szCs w:val="22"/>
          <w14:ligatures w14:val="none"/>
        </w:rPr>
        <w:t>(B) Flow cytometry gating strategy of mouse bone marrow to analyze HSC, CMP, and GMP populations.</w:t>
      </w:r>
    </w:p>
    <w:p w14:paraId="26AA84B9" w14:textId="77777777" w:rsidR="003C479A" w:rsidRPr="003C479A" w:rsidRDefault="003C479A" w:rsidP="003C479A">
      <w:pPr>
        <w:spacing w:after="0" w:line="48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76B27044" w14:textId="77777777" w:rsidR="003C479A" w:rsidRPr="003C479A" w:rsidRDefault="003C479A" w:rsidP="003C479A">
      <w:pPr>
        <w:spacing w:after="0" w:line="48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C479A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Figure S4.</w:t>
      </w:r>
    </w:p>
    <w:p w14:paraId="3689D059" w14:textId="77777777" w:rsidR="003C479A" w:rsidRPr="003C479A" w:rsidRDefault="003C479A" w:rsidP="003C479A">
      <w:pPr>
        <w:spacing w:after="0" w:line="48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C479A">
        <w:rPr>
          <w:rFonts w:ascii="Arial" w:eastAsia="Calibri" w:hAnsi="Arial" w:cs="Arial"/>
          <w:kern w:val="0"/>
          <w:sz w:val="22"/>
          <w:szCs w:val="22"/>
          <w14:ligatures w14:val="none"/>
        </w:rPr>
        <w:t>(A)-(B) Mice were treated once weekly with 20 µg M2T-CD33 or PBS control and twice weekly with anti-PD-1 or isotype control antibody for three weeks. Three weeks later, mice were challenged with 0.5 x 10</w:t>
      </w:r>
      <w:r w:rsidRPr="003C479A">
        <w:rPr>
          <w:rFonts w:ascii="Arial" w:eastAsia="Calibri" w:hAnsi="Arial" w:cs="Arial"/>
          <w:kern w:val="0"/>
          <w:sz w:val="22"/>
          <w:szCs w:val="22"/>
          <w:vertAlign w:val="superscript"/>
          <w14:ligatures w14:val="none"/>
        </w:rPr>
        <w:t>6</w:t>
      </w:r>
      <w:r w:rsidRPr="003C479A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C1498-hCD33 cells. One week after the injection of cells, the therapeutic regimen was repeated for two weeks and then splenocytes were harvested for analysis (N=4-6).</w:t>
      </w:r>
    </w:p>
    <w:p w14:paraId="600AB2AF" w14:textId="77777777" w:rsidR="003C479A" w:rsidRPr="003C479A" w:rsidRDefault="003C479A" w:rsidP="003C479A">
      <w:pPr>
        <w:spacing w:after="0" w:line="48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C479A">
        <w:rPr>
          <w:rFonts w:ascii="Arial" w:eastAsia="Calibri" w:hAnsi="Arial" w:cs="Arial"/>
          <w:kern w:val="0"/>
          <w:sz w:val="22"/>
          <w:szCs w:val="22"/>
          <w14:ligatures w14:val="none"/>
        </w:rPr>
        <w:t>(A) Representative flow cytometry of splenocytes for LAG-3 gating within CD4+ or CD8+ T cells with quantification on right. Error bars represent SEM.</w:t>
      </w:r>
    </w:p>
    <w:p w14:paraId="42B3CFC0" w14:textId="1575C0F0" w:rsidR="005B61C5" w:rsidRDefault="003C479A" w:rsidP="003C479A">
      <w:pPr>
        <w:spacing w:after="0" w:line="480" w:lineRule="auto"/>
      </w:pPr>
      <w:r w:rsidRPr="003C479A">
        <w:rPr>
          <w:rFonts w:ascii="Arial" w:eastAsia="Calibri" w:hAnsi="Arial" w:cs="Arial"/>
          <w:kern w:val="0"/>
          <w:sz w:val="22"/>
          <w:szCs w:val="22"/>
          <w14:ligatures w14:val="none"/>
        </w:rPr>
        <w:t>(F) Representative flow cytometry of splenocytes for TIM-3 gating within CD4+ or CD8+ T cells with quantification on right. Error bars represent SEM. Significance determined by Kruskal-Wallis test and Dunn’s multiple comparisons test, *P&lt;0.05.</w:t>
      </w:r>
    </w:p>
    <w:sectPr w:rsidR="005B61C5" w:rsidSect="003C479A">
      <w:headerReference w:type="default" r:id="rId6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9924" w14:textId="77777777" w:rsidR="00430BD0" w:rsidRDefault="00430BD0" w:rsidP="00D10D1E">
      <w:pPr>
        <w:spacing w:after="0" w:line="240" w:lineRule="auto"/>
      </w:pPr>
      <w:r>
        <w:separator/>
      </w:r>
    </w:p>
  </w:endnote>
  <w:endnote w:type="continuationSeparator" w:id="0">
    <w:p w14:paraId="0FD4C2BA" w14:textId="77777777" w:rsidR="00430BD0" w:rsidRDefault="00430BD0" w:rsidP="00D10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FDE4C" w14:textId="77777777" w:rsidR="00430BD0" w:rsidRDefault="00430BD0" w:rsidP="00D10D1E">
      <w:pPr>
        <w:spacing w:after="0" w:line="240" w:lineRule="auto"/>
      </w:pPr>
      <w:r>
        <w:separator/>
      </w:r>
    </w:p>
  </w:footnote>
  <w:footnote w:type="continuationSeparator" w:id="0">
    <w:p w14:paraId="3FA80D4D" w14:textId="77777777" w:rsidR="00430BD0" w:rsidRDefault="00430BD0" w:rsidP="00D10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045581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9FB0E3A" w14:textId="762F3999" w:rsidR="00D10D1E" w:rsidRDefault="00D10D1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BDC0A0" w14:textId="77777777" w:rsidR="00D10D1E" w:rsidRDefault="00D10D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D0A"/>
    <w:rsid w:val="00373BB4"/>
    <w:rsid w:val="003C479A"/>
    <w:rsid w:val="00430BD0"/>
    <w:rsid w:val="0046251E"/>
    <w:rsid w:val="005B61C5"/>
    <w:rsid w:val="007E65F7"/>
    <w:rsid w:val="00860D0A"/>
    <w:rsid w:val="009E6053"/>
    <w:rsid w:val="00D10D1E"/>
    <w:rsid w:val="00F7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2A5A9"/>
  <w15:chartTrackingRefBased/>
  <w15:docId w15:val="{BF38B9D6-8A5A-40F7-8C35-9351A671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0D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0D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0D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0D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0D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0D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0D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0D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0D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0D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0D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0D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0D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0D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0D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0D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0D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0D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0D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0D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0D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0D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0D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0D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0D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0D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0D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0D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0D0A"/>
    <w:rPr>
      <w:b/>
      <w:bCs/>
      <w:smallCaps/>
      <w:color w:val="2F5496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3C479A"/>
  </w:style>
  <w:style w:type="paragraph" w:styleId="Header">
    <w:name w:val="header"/>
    <w:basedOn w:val="Normal"/>
    <w:link w:val="HeaderChar"/>
    <w:uiPriority w:val="99"/>
    <w:unhideWhenUsed/>
    <w:rsid w:val="00D10D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D1E"/>
  </w:style>
  <w:style w:type="paragraph" w:styleId="Footer">
    <w:name w:val="footer"/>
    <w:basedOn w:val="Normal"/>
    <w:link w:val="FooterChar"/>
    <w:uiPriority w:val="99"/>
    <w:unhideWhenUsed/>
    <w:rsid w:val="00D10D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Golick</dc:creator>
  <cp:keywords/>
  <dc:description/>
  <cp:lastModifiedBy>Lena Golick</cp:lastModifiedBy>
  <cp:revision>3</cp:revision>
  <dcterms:created xsi:type="dcterms:W3CDTF">2025-09-17T18:08:00Z</dcterms:created>
  <dcterms:modified xsi:type="dcterms:W3CDTF">2025-09-17T18:16:00Z</dcterms:modified>
</cp:coreProperties>
</file>