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704CAB5">
      <w:pPr>
        <w:bidi w:val="0"/>
        <w:rPr>
          <w:rFonts w:hint="default" w:ascii="Arial" w:hAnsi="Arial" w:cs="Arial"/>
          <w:sz w:val="14"/>
          <w:szCs w:val="14"/>
          <w:lang w:val="en-CA"/>
        </w:rPr>
      </w:pPr>
      <w:bookmarkStart w:id="0" w:name="_GoBack"/>
      <w:r>
        <w:rPr>
          <w:rFonts w:hint="default" w:ascii="Arial" w:hAnsi="Arial" w:cs="Arial"/>
          <w:sz w:val="14"/>
          <w:szCs w:val="14"/>
          <w:lang w:val="en-CA"/>
        </w:rPr>
        <w:t>Supp. Table 1: Joanna Brigg's Institute Checklist for Cohort Studies</w:t>
      </w:r>
      <w:r>
        <w:rPr>
          <w:rFonts w:hint="default" w:ascii="Arial" w:hAnsi="Arial" w:cs="Arial"/>
          <w:sz w:val="14"/>
          <w:szCs w:val="14"/>
          <w:lang w:val="en-CA"/>
        </w:rPr>
        <w:tab/>
      </w:r>
      <w:r>
        <w:rPr>
          <w:rFonts w:hint="default" w:ascii="Arial" w:hAnsi="Arial" w:cs="Arial"/>
          <w:sz w:val="14"/>
          <w:szCs w:val="14"/>
          <w:lang w:val="en-CA"/>
        </w:rPr>
        <w:tab/>
      </w:r>
      <w:r>
        <w:rPr>
          <w:rFonts w:hint="default" w:ascii="Arial" w:hAnsi="Arial" w:cs="Arial"/>
          <w:sz w:val="14"/>
          <w:szCs w:val="14"/>
          <w:lang w:val="en-CA"/>
        </w:rPr>
        <w:tab/>
      </w:r>
    </w:p>
    <w:tbl>
      <w:tblPr>
        <w:tblStyle w:val="1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97"/>
        <w:gridCol w:w="1048"/>
        <w:gridCol w:w="1359"/>
        <w:gridCol w:w="1333"/>
        <w:gridCol w:w="1093"/>
        <w:gridCol w:w="1464"/>
        <w:gridCol w:w="1303"/>
        <w:gridCol w:w="1297"/>
        <w:gridCol w:w="1356"/>
        <w:gridCol w:w="1291"/>
        <w:gridCol w:w="907"/>
      </w:tblGrid>
      <w:tr w14:paraId="3704CA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B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</w:p>
          <w:p w14:paraId="3704CAB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 xml:space="preserve">  Study</w:t>
            </w:r>
          </w:p>
        </w:tc>
        <w:tc>
          <w:tcPr>
            <w:tcW w:w="1048" w:type="dxa"/>
          </w:tcPr>
          <w:p w14:paraId="3704CAB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1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 xml:space="preserve">: Reliable measure of exposure          </w:t>
            </w:r>
          </w:p>
        </w:tc>
        <w:tc>
          <w:tcPr>
            <w:tcW w:w="1359" w:type="dxa"/>
          </w:tcPr>
          <w:p w14:paraId="3704CAB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2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: Confounding factors identified</w:t>
            </w:r>
          </w:p>
        </w:tc>
        <w:tc>
          <w:tcPr>
            <w:tcW w:w="1333" w:type="dxa"/>
          </w:tcPr>
          <w:p w14:paraId="3704CAB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3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 xml:space="preserve">: Strategies to deal with confounding          </w:t>
            </w:r>
          </w:p>
        </w:tc>
        <w:tc>
          <w:tcPr>
            <w:tcW w:w="1093" w:type="dxa"/>
          </w:tcPr>
          <w:p w14:paraId="3704CAB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4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: Group(s) free of exposure at study start</w:t>
            </w:r>
          </w:p>
        </w:tc>
        <w:tc>
          <w:tcPr>
            <w:tcW w:w="1464" w:type="dxa"/>
          </w:tcPr>
          <w:p w14:paraId="3704CAB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5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 xml:space="preserve">: Reliable measurement of outcomes </w:t>
            </w:r>
          </w:p>
        </w:tc>
        <w:tc>
          <w:tcPr>
            <w:tcW w:w="1303" w:type="dxa"/>
          </w:tcPr>
          <w:p w14:paraId="3704CAB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6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: Sufficient follow-up time for events to occur</w:t>
            </w:r>
          </w:p>
        </w:tc>
        <w:tc>
          <w:tcPr>
            <w:tcW w:w="1297" w:type="dxa"/>
          </w:tcPr>
          <w:p w14:paraId="3704CAB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7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 xml:space="preserve">: Follow-up complete / reasons for loss to follow-up explored        </w:t>
            </w:r>
          </w:p>
        </w:tc>
        <w:tc>
          <w:tcPr>
            <w:tcW w:w="1356" w:type="dxa"/>
          </w:tcPr>
          <w:p w14:paraId="3704CAB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8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: Strategies to address incomplete follow-up used</w:t>
            </w:r>
          </w:p>
        </w:tc>
        <w:tc>
          <w:tcPr>
            <w:tcW w:w="1291" w:type="dxa"/>
          </w:tcPr>
          <w:p w14:paraId="3704CAC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Criteria 9</w:t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ab/>
            </w: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: Appropriate statistical plan used</w:t>
            </w:r>
          </w:p>
        </w:tc>
        <w:tc>
          <w:tcPr>
            <w:tcW w:w="907" w:type="dxa"/>
          </w:tcPr>
          <w:p w14:paraId="3704CAC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 / Exclude</w:t>
            </w:r>
          </w:p>
        </w:tc>
      </w:tr>
      <w:tr w14:paraId="3704CA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C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Chong 2015</w:t>
            </w:r>
          </w:p>
        </w:tc>
        <w:tc>
          <w:tcPr>
            <w:tcW w:w="1048" w:type="dxa"/>
          </w:tcPr>
          <w:p w14:paraId="3704CAC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AC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AC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AC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AC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AC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AC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AC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AC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AC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A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C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Leonard 2015</w:t>
            </w:r>
          </w:p>
        </w:tc>
        <w:tc>
          <w:tcPr>
            <w:tcW w:w="1048" w:type="dxa"/>
          </w:tcPr>
          <w:p w14:paraId="3704CAD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AD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AD2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3704CAD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AD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AD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AD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AD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AD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AD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A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D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Kallam 2017</w:t>
            </w:r>
          </w:p>
        </w:tc>
        <w:tc>
          <w:tcPr>
            <w:tcW w:w="1048" w:type="dxa"/>
          </w:tcPr>
          <w:p w14:paraId="3704CAD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AD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ADE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3704CAD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AE0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03" w:type="dxa"/>
          </w:tcPr>
          <w:p w14:paraId="3704CAE1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7" w:type="dxa"/>
          </w:tcPr>
          <w:p w14:paraId="3704CAE2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56" w:type="dxa"/>
          </w:tcPr>
          <w:p w14:paraId="3704CAE3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1" w:type="dxa"/>
          </w:tcPr>
          <w:p w14:paraId="3704CAE4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907" w:type="dxa"/>
          </w:tcPr>
          <w:p w14:paraId="3704CAE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A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E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Smith 2017</w:t>
            </w:r>
          </w:p>
        </w:tc>
        <w:tc>
          <w:tcPr>
            <w:tcW w:w="1048" w:type="dxa"/>
          </w:tcPr>
          <w:p w14:paraId="3704CAE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AE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AEA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3704CAE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AE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AE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AE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AEF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1" w:type="dxa"/>
          </w:tcPr>
          <w:p w14:paraId="3704CAF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AF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A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F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Morschhauser 2018</w:t>
            </w:r>
          </w:p>
        </w:tc>
        <w:tc>
          <w:tcPr>
            <w:tcW w:w="1048" w:type="dxa"/>
          </w:tcPr>
          <w:p w14:paraId="3704CAF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AF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AF6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3704CAF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AF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AF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AF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AF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AF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AF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AF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Fowler 2019</w:t>
            </w:r>
          </w:p>
        </w:tc>
        <w:tc>
          <w:tcPr>
            <w:tcW w:w="1048" w:type="dxa"/>
          </w:tcPr>
          <w:p w14:paraId="3704CB0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0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0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0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04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03" w:type="dxa"/>
          </w:tcPr>
          <w:p w14:paraId="3704CB0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0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07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1" w:type="dxa"/>
          </w:tcPr>
          <w:p w14:paraId="3704CB08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907" w:type="dxa"/>
          </w:tcPr>
          <w:p w14:paraId="3704CB0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0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Morschhauser 2019</w:t>
            </w:r>
          </w:p>
        </w:tc>
        <w:tc>
          <w:tcPr>
            <w:tcW w:w="1048" w:type="dxa"/>
          </w:tcPr>
          <w:p w14:paraId="3704CB0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0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0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0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1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1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1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13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291" w:type="dxa"/>
          </w:tcPr>
          <w:p w14:paraId="3704CB1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B1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1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Diefenbach 2021</w:t>
            </w:r>
          </w:p>
        </w:tc>
        <w:tc>
          <w:tcPr>
            <w:tcW w:w="1048" w:type="dxa"/>
          </w:tcPr>
          <w:p w14:paraId="3704CB1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1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1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1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1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1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1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1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B2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B2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2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Lansigan 2021</w:t>
            </w:r>
          </w:p>
        </w:tc>
        <w:tc>
          <w:tcPr>
            <w:tcW w:w="1048" w:type="dxa"/>
          </w:tcPr>
          <w:p w14:paraId="3704CB2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2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2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2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2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2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2A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56" w:type="dxa"/>
          </w:tcPr>
          <w:p w14:paraId="3704CB2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B2C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907" w:type="dxa"/>
          </w:tcPr>
          <w:p w14:paraId="3704CB2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2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Morschhauser 2021</w:t>
            </w:r>
          </w:p>
        </w:tc>
        <w:tc>
          <w:tcPr>
            <w:tcW w:w="1048" w:type="dxa"/>
          </w:tcPr>
          <w:p w14:paraId="3704CB3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3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3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3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3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3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3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3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B3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B3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3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Tuscano 2021</w:t>
            </w:r>
          </w:p>
        </w:tc>
        <w:tc>
          <w:tcPr>
            <w:tcW w:w="1048" w:type="dxa"/>
          </w:tcPr>
          <w:p w14:paraId="3704CB3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3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3E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3704CB3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4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4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4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4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B4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B4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4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Kersten 2022</w:t>
            </w:r>
          </w:p>
        </w:tc>
        <w:tc>
          <w:tcPr>
            <w:tcW w:w="1048" w:type="dxa"/>
          </w:tcPr>
          <w:p w14:paraId="3704CB4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4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4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4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4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4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4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4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B50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907" w:type="dxa"/>
          </w:tcPr>
          <w:p w14:paraId="3704CB5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5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Melani 2022</w:t>
            </w:r>
          </w:p>
        </w:tc>
        <w:tc>
          <w:tcPr>
            <w:tcW w:w="1048" w:type="dxa"/>
          </w:tcPr>
          <w:p w14:paraId="3704CB5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5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5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5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5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5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5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5B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291" w:type="dxa"/>
          </w:tcPr>
          <w:p w14:paraId="3704CB5C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907" w:type="dxa"/>
          </w:tcPr>
          <w:p w14:paraId="3704CB5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6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Salles 2023</w:t>
            </w:r>
          </w:p>
        </w:tc>
        <w:tc>
          <w:tcPr>
            <w:tcW w:w="1048" w:type="dxa"/>
          </w:tcPr>
          <w:p w14:paraId="3704CB6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6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6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6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7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7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72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56" w:type="dxa"/>
          </w:tcPr>
          <w:p w14:paraId="3704CB7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3704CB7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B7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7AE0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6098191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Cassanello 2024</w:t>
            </w:r>
          </w:p>
        </w:tc>
        <w:tc>
          <w:tcPr>
            <w:tcW w:w="1048" w:type="dxa"/>
          </w:tcPr>
          <w:p w14:paraId="4606FE1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59" w:type="dxa"/>
          </w:tcPr>
          <w:p w14:paraId="154D97F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5CCA89C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6114B55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727CC15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11E31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444119DB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1089CB1E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1141E83C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2877115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0A4B2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70158CF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Strati 2024</w:t>
            </w:r>
          </w:p>
        </w:tc>
        <w:tc>
          <w:tcPr>
            <w:tcW w:w="1048" w:type="dxa"/>
          </w:tcPr>
          <w:p w14:paraId="05CCC71B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1BFF0A4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223A643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522853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085C770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5E4F134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1AA4169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2403596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291" w:type="dxa"/>
          </w:tcPr>
          <w:p w14:paraId="2F888C6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907" w:type="dxa"/>
          </w:tcPr>
          <w:p w14:paraId="247ED45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026D82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1497" w:type="dxa"/>
          </w:tcPr>
          <w:p w14:paraId="0397FBA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Barr 2025</w:t>
            </w:r>
          </w:p>
        </w:tc>
        <w:tc>
          <w:tcPr>
            <w:tcW w:w="1048" w:type="dxa"/>
          </w:tcPr>
          <w:p w14:paraId="789EF4C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0521B42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79096D85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79BB855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29F76EE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1465E64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244066F9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56" w:type="dxa"/>
          </w:tcPr>
          <w:p w14:paraId="55BB19E0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1" w:type="dxa"/>
          </w:tcPr>
          <w:p w14:paraId="05DC81C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776BECE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7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Falchi 2025</w:t>
            </w:r>
          </w:p>
        </w:tc>
        <w:tc>
          <w:tcPr>
            <w:tcW w:w="1048" w:type="dxa"/>
          </w:tcPr>
          <w:p w14:paraId="3704CB7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704CB7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3704CB7A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704CB7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3704CB7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3704CB7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3704CB7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3704CB7F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1" w:type="dxa"/>
          </w:tcPr>
          <w:p w14:paraId="3704CB8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704CB8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6B4358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4720191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Othman 2025</w:t>
            </w:r>
          </w:p>
        </w:tc>
        <w:tc>
          <w:tcPr>
            <w:tcW w:w="1048" w:type="dxa"/>
          </w:tcPr>
          <w:p w14:paraId="356FAD0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59" w:type="dxa"/>
          </w:tcPr>
          <w:p w14:paraId="184D89F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33" w:type="dxa"/>
          </w:tcPr>
          <w:p w14:paraId="71B2607B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1093" w:type="dxa"/>
          </w:tcPr>
          <w:p w14:paraId="632C3EC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4" w:type="dxa"/>
          </w:tcPr>
          <w:p w14:paraId="337127F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03" w:type="dxa"/>
          </w:tcPr>
          <w:p w14:paraId="1716259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97" w:type="dxa"/>
          </w:tcPr>
          <w:p w14:paraId="47ADC27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56" w:type="dxa"/>
          </w:tcPr>
          <w:p w14:paraId="70092AA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91" w:type="dxa"/>
          </w:tcPr>
          <w:p w14:paraId="2AB7804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907" w:type="dxa"/>
          </w:tcPr>
          <w:p w14:paraId="5CC0CB4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Include</w:t>
            </w:r>
          </w:p>
        </w:tc>
      </w:tr>
      <w:tr w14:paraId="3254B4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7BDE4D9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Sannikova 2025</w:t>
            </w:r>
          </w:p>
        </w:tc>
        <w:tc>
          <w:tcPr>
            <w:tcW w:w="1048" w:type="dxa"/>
          </w:tcPr>
          <w:p w14:paraId="1A52FE36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7CEF103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7A4D18F0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No</w:t>
            </w:r>
          </w:p>
        </w:tc>
        <w:tc>
          <w:tcPr>
            <w:tcW w:w="1093" w:type="dxa"/>
          </w:tcPr>
          <w:p w14:paraId="7AC2BA2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1B6D4E74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4B678697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5DA32F83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356" w:type="dxa"/>
          </w:tcPr>
          <w:p w14:paraId="58629A91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  <w:lang w:val="en-CA"/>
              </w:rPr>
              <w:t>Unclear</w:t>
            </w:r>
          </w:p>
        </w:tc>
        <w:tc>
          <w:tcPr>
            <w:tcW w:w="1291" w:type="dxa"/>
          </w:tcPr>
          <w:p w14:paraId="59D08EA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30FE998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  <w:tr w14:paraId="3704C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3704CB9B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Falchi 2026</w:t>
            </w:r>
          </w:p>
        </w:tc>
        <w:tc>
          <w:tcPr>
            <w:tcW w:w="1048" w:type="dxa"/>
          </w:tcPr>
          <w:p w14:paraId="3704CB9C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59" w:type="dxa"/>
          </w:tcPr>
          <w:p w14:paraId="3704CB9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33" w:type="dxa"/>
          </w:tcPr>
          <w:p w14:paraId="3704CB9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093" w:type="dxa"/>
          </w:tcPr>
          <w:p w14:paraId="3704CB9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464" w:type="dxa"/>
          </w:tcPr>
          <w:p w14:paraId="3704CBA0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303" w:type="dxa"/>
          </w:tcPr>
          <w:p w14:paraId="3704CBA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Yes</w:t>
            </w:r>
          </w:p>
        </w:tc>
        <w:tc>
          <w:tcPr>
            <w:tcW w:w="1297" w:type="dxa"/>
          </w:tcPr>
          <w:p w14:paraId="3704CBA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1356" w:type="dxa"/>
          </w:tcPr>
          <w:p w14:paraId="3704CBA3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</w:rPr>
              <w:t>No</w:t>
            </w:r>
          </w:p>
        </w:tc>
        <w:tc>
          <w:tcPr>
            <w:tcW w:w="1291" w:type="dxa"/>
          </w:tcPr>
          <w:p w14:paraId="3704CBA4">
            <w:pPr>
              <w:bidi w:val="0"/>
              <w:spacing w:after="0" w:line="240" w:lineRule="auto"/>
              <w:rPr>
                <w:rFonts w:hint="default" w:ascii="Arial" w:hAnsi="Arial" w:cs="Arial"/>
                <w:b/>
                <w:bCs/>
                <w:sz w:val="14"/>
                <w:szCs w:val="14"/>
              </w:rPr>
            </w:pPr>
            <w:r>
              <w:rPr>
                <w:rFonts w:hint="default" w:ascii="Arial" w:hAnsi="Arial" w:cs="Arial"/>
                <w:b/>
                <w:bCs/>
                <w:sz w:val="14"/>
                <w:szCs w:val="14"/>
              </w:rPr>
              <w:t>Yes</w:t>
            </w:r>
          </w:p>
        </w:tc>
        <w:tc>
          <w:tcPr>
            <w:tcW w:w="907" w:type="dxa"/>
          </w:tcPr>
          <w:p w14:paraId="3704CBA5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</w:rPr>
            </w:pPr>
            <w:r>
              <w:rPr>
                <w:rFonts w:hint="default" w:ascii="Arial" w:hAnsi="Arial" w:cs="Arial"/>
                <w:sz w:val="14"/>
                <w:szCs w:val="14"/>
              </w:rPr>
              <w:t>Include</w:t>
            </w:r>
          </w:p>
        </w:tc>
      </w:tr>
      <w:tr w14:paraId="543BF9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97" w:type="dxa"/>
          </w:tcPr>
          <w:p w14:paraId="18A5600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Sehn 2026</w:t>
            </w:r>
          </w:p>
        </w:tc>
        <w:tc>
          <w:tcPr>
            <w:tcW w:w="1048" w:type="dxa"/>
          </w:tcPr>
          <w:p w14:paraId="1B62AE5D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9" w:type="dxa"/>
          </w:tcPr>
          <w:p w14:paraId="33C7DEE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33" w:type="dxa"/>
          </w:tcPr>
          <w:p w14:paraId="15BE4751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093" w:type="dxa"/>
          </w:tcPr>
          <w:p w14:paraId="3FC29F48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464" w:type="dxa"/>
          </w:tcPr>
          <w:p w14:paraId="2865511E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03" w:type="dxa"/>
          </w:tcPr>
          <w:p w14:paraId="51E5BC12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7" w:type="dxa"/>
          </w:tcPr>
          <w:p w14:paraId="756CE60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356" w:type="dxa"/>
          </w:tcPr>
          <w:p w14:paraId="6DC0FB5F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1291" w:type="dxa"/>
          </w:tcPr>
          <w:p w14:paraId="1F785623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Yes</w:t>
            </w:r>
          </w:p>
        </w:tc>
        <w:tc>
          <w:tcPr>
            <w:tcW w:w="907" w:type="dxa"/>
          </w:tcPr>
          <w:p w14:paraId="668D4279">
            <w:pPr>
              <w:bidi w:val="0"/>
              <w:spacing w:after="0" w:line="240" w:lineRule="auto"/>
              <w:rPr>
                <w:rFonts w:hint="default" w:ascii="Arial" w:hAnsi="Arial" w:cs="Arial"/>
                <w:sz w:val="14"/>
                <w:szCs w:val="14"/>
                <w:lang w:val="en-CA"/>
              </w:rPr>
            </w:pPr>
            <w:r>
              <w:rPr>
                <w:rFonts w:hint="default" w:ascii="Arial" w:hAnsi="Arial" w:cs="Arial"/>
                <w:sz w:val="14"/>
                <w:szCs w:val="14"/>
                <w:lang w:val="en-CA"/>
              </w:rPr>
              <w:t>Include</w:t>
            </w:r>
          </w:p>
        </w:tc>
      </w:tr>
    </w:tbl>
    <w:p w14:paraId="3704CBA8">
      <w:pPr>
        <w:bidi w:val="0"/>
        <w:rPr>
          <w:rFonts w:hint="default" w:ascii="Arial" w:hAnsi="Arial" w:cs="Arial"/>
          <w:sz w:val="14"/>
          <w:szCs w:val="14"/>
          <w:lang w:val="en-CA"/>
        </w:rPr>
      </w:pPr>
    </w:p>
    <w:bookmarkEnd w:id="0"/>
    <w:sectPr>
      <w:pgSz w:w="16838" w:h="11906" w:orient="landscape"/>
      <w:pgMar w:top="1440" w:right="1440" w:bottom="1440" w:left="1440" w:header="708" w:footer="708" w:gutter="0"/>
      <w:cols w:space="708" w:num="1"/>
      <w:bidi/>
      <w:rtlGutter w:val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3507"/>
    <w:rsid w:val="00083507"/>
    <w:rsid w:val="00093EEB"/>
    <w:rsid w:val="00102BE3"/>
    <w:rsid w:val="00110FD5"/>
    <w:rsid w:val="00137916"/>
    <w:rsid w:val="00150616"/>
    <w:rsid w:val="00152802"/>
    <w:rsid w:val="001E503F"/>
    <w:rsid w:val="002176E6"/>
    <w:rsid w:val="002D447A"/>
    <w:rsid w:val="00331749"/>
    <w:rsid w:val="003C6FA9"/>
    <w:rsid w:val="00433AD4"/>
    <w:rsid w:val="004A2754"/>
    <w:rsid w:val="004C74A5"/>
    <w:rsid w:val="0052063E"/>
    <w:rsid w:val="00594948"/>
    <w:rsid w:val="005D6021"/>
    <w:rsid w:val="005F10CC"/>
    <w:rsid w:val="00710092"/>
    <w:rsid w:val="0077664B"/>
    <w:rsid w:val="00796576"/>
    <w:rsid w:val="008A6AFD"/>
    <w:rsid w:val="008E21DE"/>
    <w:rsid w:val="008F3595"/>
    <w:rsid w:val="00943A3C"/>
    <w:rsid w:val="00A5225D"/>
    <w:rsid w:val="00AC3460"/>
    <w:rsid w:val="00B23FD0"/>
    <w:rsid w:val="00B24F8B"/>
    <w:rsid w:val="00B53C7F"/>
    <w:rsid w:val="00BB33CD"/>
    <w:rsid w:val="00D459D6"/>
    <w:rsid w:val="00DA4FEB"/>
    <w:rsid w:val="00DA65F4"/>
    <w:rsid w:val="00DD5EDA"/>
    <w:rsid w:val="00E056DC"/>
    <w:rsid w:val="00EA2F26"/>
    <w:rsid w:val="00F63689"/>
    <w:rsid w:val="00F81E9F"/>
    <w:rsid w:val="236347C1"/>
    <w:rsid w:val="23C445D3"/>
    <w:rsid w:val="671146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bidi/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en-US" w:eastAsia="en-US" w:bidi="he-IL"/>
      <w14:ligatures w14:val="standardContextual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7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18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19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0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1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2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3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4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Subtitle"/>
    <w:basedOn w:val="1"/>
    <w:next w:val="1"/>
    <w:link w:val="26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4">
    <w:name w:val="Table Grid"/>
    <w:basedOn w:val="1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5">
    <w:name w:val="Title"/>
    <w:basedOn w:val="1"/>
    <w:next w:val="1"/>
    <w:link w:val="25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16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7">
    <w:name w:val="Heading 2 Char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18">
    <w:name w:val="Heading 3 Char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19">
    <w:name w:val="Heading 4 Char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0">
    <w:name w:val="Heading 5 Char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1">
    <w:name w:val="Heading 6 Char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2">
    <w:name w:val="Heading 7 Char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3">
    <w:name w:val="Heading 8 Char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4">
    <w:name w:val="Heading 9 Char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5">
    <w:name w:val="Title Char"/>
    <w:basedOn w:val="11"/>
    <w:link w:val="15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6">
    <w:name w:val="Subtitle Char"/>
    <w:basedOn w:val="11"/>
    <w:link w:val="13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7">
    <w:name w:val="Quote"/>
    <w:basedOn w:val="1"/>
    <w:next w:val="1"/>
    <w:link w:val="28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28">
    <w:name w:val="Quote Char"/>
    <w:basedOn w:val="11"/>
    <w:link w:val="27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29">
    <w:name w:val="List Paragraph"/>
    <w:basedOn w:val="1"/>
    <w:qFormat/>
    <w:uiPriority w:val="34"/>
    <w:pPr>
      <w:ind w:left="720"/>
      <w:contextualSpacing/>
    </w:pPr>
  </w:style>
  <w:style w:type="character" w:customStyle="1" w:styleId="30">
    <w:name w:val="Intense Emphasis1"/>
    <w:basedOn w:val="11"/>
    <w:qFormat/>
    <w:uiPriority w:val="21"/>
    <w:rPr>
      <w:i/>
      <w:iCs/>
      <w:color w:val="104862" w:themeColor="accent1" w:themeShade="BF"/>
    </w:rPr>
  </w:style>
  <w:style w:type="paragraph" w:styleId="31">
    <w:name w:val="Intense Quote"/>
    <w:basedOn w:val="1"/>
    <w:next w:val="1"/>
    <w:link w:val="32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2">
    <w:name w:val="Intense Quote Char"/>
    <w:basedOn w:val="11"/>
    <w:link w:val="31"/>
    <w:qFormat/>
    <w:uiPriority w:val="30"/>
    <w:rPr>
      <w:i/>
      <w:iCs/>
      <w:color w:val="104862" w:themeColor="accent1" w:themeShade="BF"/>
    </w:rPr>
  </w:style>
  <w:style w:type="character" w:customStyle="1" w:styleId="33">
    <w:name w:val="Intense Reference1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292</Words>
  <Characters>1667</Characters>
  <Lines>13</Lines>
  <Paragraphs>3</Paragraphs>
  <TotalTime>400</TotalTime>
  <ScaleCrop>false</ScaleCrop>
  <LinksUpToDate>false</LinksUpToDate>
  <CharactersWithSpaces>1956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2025-05-08T12:12:00Z</dcterms:created>
  <dc:creator>Sarah Matarasso</dc:creator>
  <cp:lastModifiedBy>talgr</cp:lastModifiedBy>
  <dcterms:modified xsi:type="dcterms:W3CDTF">2026-03-25T10:05:29Z</dcterms:modified>
  <cp:revision>21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1033-12.2.0.23196</vt:lpwstr>
  </property>
  <property fmtid="{D5CDD505-2E9C-101B-9397-08002B2CF9AE}" pid="3" name="ICV">
    <vt:lpwstr>96B0856666854B61BEEC0BB41D65B211_12</vt:lpwstr>
  </property>
</Properties>
</file>