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BAF43" w14:textId="77777777" w:rsidR="00796FCE" w:rsidRDefault="00796FCE" w:rsidP="00796FCE">
      <w:pPr>
        <w:shd w:val="clear" w:color="auto" w:fill="FFFFFF"/>
        <w:rPr>
          <w:rFonts w:ascii="Arial" w:eastAsia="Times New Roman" w:hAnsi="Arial" w:cs="Arial"/>
          <w:b/>
          <w:bCs/>
          <w:color w:val="222222"/>
        </w:rPr>
      </w:pPr>
      <w:r w:rsidRPr="00796FCE">
        <w:rPr>
          <w:rFonts w:ascii="Arial" w:hAnsi="Arial" w:cs="Arial"/>
          <w:b/>
        </w:rPr>
        <w:t xml:space="preserve">Supplementary </w:t>
      </w:r>
      <w:r w:rsidR="00913FA3">
        <w:rPr>
          <w:rFonts w:ascii="Arial" w:hAnsi="Arial" w:cs="Arial"/>
          <w:b/>
        </w:rPr>
        <w:t>information</w:t>
      </w:r>
      <w:r w:rsidRPr="00796FCE">
        <w:rPr>
          <w:rFonts w:ascii="Arial" w:hAnsi="Arial" w:cs="Arial"/>
          <w:b/>
        </w:rPr>
        <w:t xml:space="preserve"> regarding manuscript </w:t>
      </w:r>
      <w:r w:rsidRPr="00796FCE">
        <w:rPr>
          <w:rFonts w:ascii="Arial" w:eastAsia="Times New Roman" w:hAnsi="Arial" w:cs="Arial"/>
          <w:b/>
          <w:bCs/>
          <w:color w:val="222222"/>
        </w:rPr>
        <w:t>BMT-2017-516</w:t>
      </w:r>
    </w:p>
    <w:p w14:paraId="7594F153" w14:textId="77777777" w:rsidR="00BD5DA0" w:rsidRDefault="00BD5DA0" w:rsidP="00796FCE">
      <w:pPr>
        <w:shd w:val="clear" w:color="auto" w:fill="FFFFFF"/>
        <w:rPr>
          <w:rFonts w:ascii="Arial" w:eastAsia="Times New Roman" w:hAnsi="Arial" w:cs="Arial"/>
          <w:b/>
          <w:bCs/>
          <w:color w:val="222222"/>
        </w:rPr>
      </w:pPr>
    </w:p>
    <w:p w14:paraId="09947A64" w14:textId="28BDD35D" w:rsidR="00BD5DA0" w:rsidRPr="00BD5DA0" w:rsidRDefault="00BD5DA0" w:rsidP="00BD5DA0">
      <w:pPr>
        <w:spacing w:line="360" w:lineRule="auto"/>
        <w:ind w:firstLine="720"/>
        <w:jc w:val="both"/>
        <w:rPr>
          <w:rFonts w:ascii="Arial" w:hAnsi="Arial" w:cs="Arial"/>
          <w:i/>
          <w:lang w:val="en-GB"/>
        </w:rPr>
      </w:pPr>
      <w:r w:rsidRPr="002013F3">
        <w:rPr>
          <w:rFonts w:ascii="Arial" w:hAnsi="Arial" w:cs="Arial"/>
          <w:i/>
          <w:lang w:val="en-GB"/>
        </w:rPr>
        <w:t>Conditioning and transplantation modalities</w:t>
      </w:r>
      <w:bookmarkStart w:id="0" w:name="_GoBack"/>
      <w:bookmarkEnd w:id="0"/>
    </w:p>
    <w:p w14:paraId="660F4726" w14:textId="77777777" w:rsidR="00796FCE" w:rsidRPr="00796FCE" w:rsidRDefault="00796FCE" w:rsidP="00796FCE">
      <w:pPr>
        <w:shd w:val="clear" w:color="auto" w:fill="FFFFFF"/>
        <w:rPr>
          <w:rFonts w:ascii="Arial" w:eastAsia="Times New Roman" w:hAnsi="Arial" w:cs="Arial"/>
          <w:b/>
          <w:color w:val="222222"/>
        </w:rPr>
      </w:pPr>
    </w:p>
    <w:p w14:paraId="73296447" w14:textId="77777777" w:rsidR="00796FCE" w:rsidRPr="00796FCE" w:rsidRDefault="00796FCE" w:rsidP="00796FCE">
      <w:pPr>
        <w:spacing w:line="360" w:lineRule="auto"/>
        <w:ind w:firstLine="720"/>
        <w:jc w:val="both"/>
        <w:rPr>
          <w:rFonts w:ascii="Arial" w:hAnsi="Arial" w:cs="Arial"/>
          <w:lang w:val="en-GB"/>
        </w:rPr>
      </w:pPr>
      <w:r w:rsidRPr="00796FCE">
        <w:rPr>
          <w:rFonts w:ascii="Arial" w:hAnsi="Arial" w:cs="Arial"/>
          <w:lang w:val="en-GB"/>
        </w:rPr>
        <w:t>In the HAPLO group, 53 patients (87%) received the following NMA regimen, previously described by the Baltimore group</w:t>
      </w:r>
      <w:r w:rsidRPr="00796FCE">
        <w:rPr>
          <w:rFonts w:ascii="Arial" w:hAnsi="Arial" w:cs="Arial"/>
          <w:lang w:val="en-GB"/>
        </w:rPr>
        <w:fldChar w:fldCharType="begin">
          <w:fldData xml:space="preserve">NwA1AGUAMgBjADUAYQA4AC0AMQA5ADMAMwAtADQAYQBjADMALQBhADYAZQA5AC0AZAA1AGYAZgA5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</w:fldData>
        </w:fldChar>
      </w:r>
      <w:r w:rsidRPr="00796FCE">
        <w:rPr>
          <w:rFonts w:ascii="Arial" w:hAnsi="Arial" w:cs="Arial"/>
          <w:lang w:val="en-GB"/>
        </w:rPr>
        <w:instrText>ADDIN LABTIVA_CITE \* MERGEFORMAT</w:instrText>
      </w:r>
      <w:r w:rsidRPr="00796FCE">
        <w:rPr>
          <w:rFonts w:ascii="Arial" w:hAnsi="Arial" w:cs="Arial"/>
          <w:lang w:val="en-GB"/>
        </w:rPr>
      </w:r>
      <w:r w:rsidRPr="00796FCE">
        <w:rPr>
          <w:rFonts w:ascii="Arial" w:hAnsi="Arial" w:cs="Arial"/>
          <w:lang w:val="en-GB"/>
        </w:rPr>
        <w:fldChar w:fldCharType="separate"/>
      </w:r>
      <w:r w:rsidRPr="00796FCE">
        <w:rPr>
          <w:rFonts w:ascii="Arial" w:hAnsi="Arial" w:cs="Arial"/>
          <w:noProof/>
          <w:color w:val="000000"/>
          <w:vertAlign w:val="superscript"/>
        </w:rPr>
        <w:t>5</w:t>
      </w:r>
      <w:r w:rsidRPr="00796FCE">
        <w:rPr>
          <w:rFonts w:ascii="Arial" w:hAnsi="Arial" w:cs="Arial"/>
          <w:lang w:val="en-GB"/>
        </w:rPr>
        <w:fldChar w:fldCharType="end"/>
      </w:r>
      <w:r w:rsidRPr="00796FCE">
        <w:rPr>
          <w:rFonts w:ascii="Arial" w:hAnsi="Arial" w:cs="Arial"/>
          <w:lang w:val="en-GB"/>
        </w:rPr>
        <w:t>:</w:t>
      </w:r>
      <w:r w:rsidRPr="00796FCE">
        <w:rPr>
          <w:rFonts w:ascii="Arial" w:eastAsia="Times New Roman" w:hAnsi="Arial" w:cs="Arial"/>
          <w:color w:val="000000"/>
          <w:shd w:val="clear" w:color="auto" w:fill="FFFFFF"/>
          <w:lang w:val="en-GB"/>
        </w:rPr>
        <w:t xml:space="preserve"> Cy 14.5 mg/kg on day −6 and day −5, fludarabine 30 mg/m</w:t>
      </w:r>
      <w:r w:rsidRPr="00796FCE">
        <w:rPr>
          <w:rFonts w:ascii="Arial" w:eastAsia="Times New Roman" w:hAnsi="Arial" w:cs="Arial"/>
          <w:color w:val="000000"/>
          <w:shd w:val="clear" w:color="auto" w:fill="FFFFFF"/>
          <w:vertAlign w:val="superscript"/>
          <w:lang w:val="en-GB"/>
        </w:rPr>
        <w:t>2</w:t>
      </w:r>
      <w:r w:rsidRPr="00796FCE">
        <w:rPr>
          <w:rFonts w:ascii="Arial" w:eastAsia="Times New Roman" w:hAnsi="Arial" w:cs="Arial"/>
          <w:color w:val="000000"/>
          <w:shd w:val="clear" w:color="auto" w:fill="FFFFFF"/>
          <w:lang w:val="en-GB"/>
        </w:rPr>
        <w:t> on day −6 to day −2 and low dose TBI (2 Gy) on day −1. Six patients (10%) received a combination of fludarabine and cyclophosphamide without TBI. Two patients (3%) in the HAPLO group received a RIC consisting of thiotepa 5mg/kg on day -6, busulfan 3.2mg/kg on day -5 and day -4, along with fludarabine 40mg/m</w:t>
      </w:r>
      <w:r w:rsidRPr="00796FCE">
        <w:rPr>
          <w:rFonts w:ascii="Arial" w:eastAsia="Times New Roman" w:hAnsi="Arial" w:cs="Arial"/>
          <w:color w:val="000000"/>
          <w:shd w:val="clear" w:color="auto" w:fill="FFFFFF"/>
          <w:vertAlign w:val="superscript"/>
          <w:lang w:val="en-GB"/>
        </w:rPr>
        <w:t>2</w:t>
      </w:r>
      <w:r w:rsidRPr="00796FCE">
        <w:rPr>
          <w:rFonts w:ascii="Arial" w:eastAsia="Times New Roman" w:hAnsi="Arial" w:cs="Arial"/>
          <w:color w:val="000000"/>
          <w:shd w:val="clear" w:color="auto" w:fill="FFFFFF"/>
          <w:lang w:val="en-GB"/>
        </w:rPr>
        <w:t xml:space="preserve"> on day -5 to day -2. All patients (</w:t>
      </w:r>
      <w:r w:rsidRPr="00796FCE">
        <w:rPr>
          <w:rFonts w:ascii="Arial" w:hAnsi="Arial" w:cs="Arial"/>
          <w:i/>
          <w:lang w:val="en-GB"/>
        </w:rPr>
        <w:t>N</w:t>
      </w:r>
      <w:r w:rsidRPr="00796FCE">
        <w:rPr>
          <w:rFonts w:ascii="Arial" w:hAnsi="Arial" w:cs="Arial"/>
          <w:lang w:val="en-GB"/>
        </w:rPr>
        <w:t xml:space="preserve"> = </w:t>
      </w:r>
      <w:r w:rsidRPr="00796FCE">
        <w:rPr>
          <w:rFonts w:ascii="Arial" w:eastAsia="Times New Roman" w:hAnsi="Arial" w:cs="Arial"/>
          <w:color w:val="000000"/>
          <w:shd w:val="clear" w:color="auto" w:fill="FFFFFF"/>
          <w:lang w:val="en-GB"/>
        </w:rPr>
        <w:t>61) in the HAPLO group received the following GVHD prophylaxis: Cy 50 mg/kg on day +3 and day +4, tacrolimus or CsA and mycophenolate mofetil started on day +5. T-cell replete grafts were used in all HAPLO patients (</w:t>
      </w:r>
      <w:r w:rsidRPr="00796FCE">
        <w:rPr>
          <w:rFonts w:ascii="Arial" w:hAnsi="Arial" w:cs="Arial"/>
          <w:i/>
          <w:lang w:val="en-GB"/>
        </w:rPr>
        <w:t>N</w:t>
      </w:r>
      <w:r w:rsidRPr="00796FCE">
        <w:rPr>
          <w:rFonts w:ascii="Arial" w:hAnsi="Arial" w:cs="Arial"/>
          <w:lang w:val="en-GB"/>
        </w:rPr>
        <w:t xml:space="preserve"> = </w:t>
      </w:r>
      <w:r w:rsidRPr="00796FCE">
        <w:rPr>
          <w:rFonts w:ascii="Arial" w:eastAsia="Times New Roman" w:hAnsi="Arial" w:cs="Arial"/>
          <w:color w:val="000000"/>
          <w:shd w:val="clear" w:color="auto" w:fill="FFFFFF"/>
          <w:lang w:val="en-GB"/>
        </w:rPr>
        <w:t>61).</w:t>
      </w:r>
    </w:p>
    <w:p w14:paraId="15F8F214" w14:textId="77777777" w:rsidR="00796FCE" w:rsidRPr="00796FCE" w:rsidRDefault="00796FCE" w:rsidP="00796FCE">
      <w:pPr>
        <w:spacing w:line="360" w:lineRule="auto"/>
        <w:ind w:firstLine="720"/>
        <w:jc w:val="both"/>
        <w:rPr>
          <w:rFonts w:ascii="Arial" w:eastAsia="Times New Roman" w:hAnsi="Arial" w:cs="Arial"/>
          <w:color w:val="000000"/>
          <w:shd w:val="clear" w:color="auto" w:fill="FFFFFF"/>
          <w:lang w:val="en-GB"/>
        </w:rPr>
      </w:pPr>
      <w:r w:rsidRPr="00796FCE">
        <w:rPr>
          <w:rFonts w:ascii="Arial" w:eastAsia="Times New Roman" w:hAnsi="Arial" w:cs="Arial"/>
          <w:color w:val="000000"/>
          <w:shd w:val="clear" w:color="auto" w:fill="FFFFFF"/>
          <w:lang w:val="en-GB"/>
        </w:rPr>
        <w:t>In patients who received an allo-HCT from a matched related donor (MRD) (</w:t>
      </w:r>
      <w:r w:rsidRPr="00796FCE">
        <w:rPr>
          <w:rFonts w:ascii="Arial" w:hAnsi="Arial" w:cs="Arial"/>
          <w:i/>
          <w:lang w:val="en-GB"/>
        </w:rPr>
        <w:t>N</w:t>
      </w:r>
      <w:r w:rsidRPr="00796FCE">
        <w:rPr>
          <w:rFonts w:ascii="Arial" w:hAnsi="Arial" w:cs="Arial"/>
          <w:lang w:val="en-GB"/>
        </w:rPr>
        <w:t xml:space="preserve"> = </w:t>
      </w:r>
      <w:r w:rsidRPr="00796FCE">
        <w:rPr>
          <w:rFonts w:ascii="Arial" w:eastAsia="Times New Roman" w:hAnsi="Arial" w:cs="Arial"/>
          <w:color w:val="000000"/>
          <w:shd w:val="clear" w:color="auto" w:fill="FFFFFF"/>
          <w:lang w:val="en-GB"/>
        </w:rPr>
        <w:t>90) a variety of conditioning regimens was used: fludarabine 150 mg/m</w:t>
      </w:r>
      <w:r w:rsidRPr="00796FCE">
        <w:rPr>
          <w:rFonts w:ascii="Arial" w:eastAsia="Times New Roman" w:hAnsi="Arial" w:cs="Arial"/>
          <w:color w:val="000000"/>
          <w:shd w:val="clear" w:color="auto" w:fill="FFFFFF"/>
          <w:vertAlign w:val="superscript"/>
          <w:lang w:val="en-GB"/>
        </w:rPr>
        <w:t>2</w:t>
      </w:r>
      <w:r w:rsidRPr="00796FCE">
        <w:rPr>
          <w:rFonts w:ascii="Arial" w:eastAsia="Times New Roman" w:hAnsi="Arial" w:cs="Arial"/>
          <w:color w:val="000000"/>
          <w:shd w:val="clear" w:color="auto" w:fill="FFFFFF"/>
          <w:lang w:val="en-GB"/>
        </w:rPr>
        <w:t xml:space="preserve"> with IV busulfan 6.4mg/kg in 62 patients (69%), fludarabine 125 mg/m</w:t>
      </w:r>
      <w:r w:rsidRPr="00796FCE">
        <w:rPr>
          <w:rFonts w:ascii="Arial" w:eastAsia="Times New Roman" w:hAnsi="Arial" w:cs="Arial"/>
          <w:color w:val="000000"/>
          <w:shd w:val="clear" w:color="auto" w:fill="FFFFFF"/>
          <w:vertAlign w:val="superscript"/>
          <w:lang w:val="en-GB"/>
        </w:rPr>
        <w:t>2</w:t>
      </w:r>
      <w:r w:rsidRPr="00796FCE">
        <w:rPr>
          <w:rFonts w:ascii="Arial" w:eastAsia="Times New Roman" w:hAnsi="Arial" w:cs="Arial"/>
          <w:color w:val="000000"/>
          <w:shd w:val="clear" w:color="auto" w:fill="FFFFFF"/>
          <w:lang w:val="en-GB"/>
        </w:rPr>
        <w:t xml:space="preserve"> with melphalan 140 mg/m</w:t>
      </w:r>
      <w:r w:rsidRPr="00796FCE">
        <w:rPr>
          <w:rFonts w:ascii="Arial" w:eastAsia="Times New Roman" w:hAnsi="Arial" w:cs="Arial"/>
          <w:color w:val="000000"/>
          <w:shd w:val="clear" w:color="auto" w:fill="FFFFFF"/>
          <w:vertAlign w:val="superscript"/>
          <w:lang w:val="en-GB"/>
        </w:rPr>
        <w:t>2</w:t>
      </w:r>
      <w:r w:rsidRPr="00796FCE">
        <w:rPr>
          <w:rFonts w:ascii="Arial" w:eastAsia="Times New Roman" w:hAnsi="Arial" w:cs="Arial"/>
          <w:color w:val="000000"/>
          <w:shd w:val="clear" w:color="auto" w:fill="FFFFFF"/>
          <w:lang w:val="en-GB"/>
        </w:rPr>
        <w:t xml:space="preserve"> in 16 patients (18%). The association of fludarabine 90 mg/m</w:t>
      </w:r>
      <w:r w:rsidRPr="00796FCE">
        <w:rPr>
          <w:rFonts w:ascii="Arial" w:eastAsia="Times New Roman" w:hAnsi="Arial" w:cs="Arial"/>
          <w:color w:val="000000"/>
          <w:shd w:val="clear" w:color="auto" w:fill="FFFFFF"/>
          <w:vertAlign w:val="superscript"/>
          <w:lang w:val="en-GB"/>
        </w:rPr>
        <w:t>2</w:t>
      </w:r>
      <w:r w:rsidRPr="00796FCE">
        <w:rPr>
          <w:rFonts w:ascii="Arial" w:eastAsia="Times New Roman" w:hAnsi="Arial" w:cs="Arial"/>
          <w:color w:val="000000"/>
          <w:shd w:val="clear" w:color="auto" w:fill="FFFFFF"/>
          <w:lang w:val="en-GB"/>
        </w:rPr>
        <w:t xml:space="preserve"> with TBI 2Gy was administered in 5 patients (5%). Five patients (5%) received thiotepa 5mg/kg on day -6, busulfan 3.2mg/kg on day -5 and day -4, fludarabine 40mg/m</w:t>
      </w:r>
      <w:r w:rsidRPr="00796FCE">
        <w:rPr>
          <w:rFonts w:ascii="Arial" w:eastAsia="Times New Roman" w:hAnsi="Arial" w:cs="Arial"/>
          <w:color w:val="000000"/>
          <w:shd w:val="clear" w:color="auto" w:fill="FFFFFF"/>
          <w:vertAlign w:val="superscript"/>
          <w:lang w:val="en-GB"/>
        </w:rPr>
        <w:t>2</w:t>
      </w:r>
      <w:r w:rsidRPr="00796FCE">
        <w:rPr>
          <w:rFonts w:ascii="Arial" w:eastAsia="Times New Roman" w:hAnsi="Arial" w:cs="Arial"/>
          <w:color w:val="000000"/>
          <w:shd w:val="clear" w:color="auto" w:fill="FFFFFF"/>
          <w:lang w:val="en-GB"/>
        </w:rPr>
        <w:t xml:space="preserve"> on day -5 to day -2. One patient received the association of fludarabine, melphalan associated with TBI and one patient received fludarabine, melphalan and gemcitabine. Fifty-two patients in the MRD group (85%) were administered rabbit anti-thymocyte globulin (ATG) at 2.5 to 5 mg/kg over 1 to 2 days according to local practice.</w:t>
      </w:r>
      <w:r w:rsidRPr="00796FCE">
        <w:rPr>
          <w:rFonts w:ascii="Arial" w:hAnsi="Arial" w:cs="Arial"/>
          <w:i/>
          <w:lang w:val="en-GB"/>
        </w:rPr>
        <w:t xml:space="preserve"> </w:t>
      </w:r>
      <w:r w:rsidRPr="00796FCE">
        <w:rPr>
          <w:rFonts w:ascii="Arial" w:hAnsi="Arial" w:cs="Arial"/>
          <w:lang w:val="en-GB"/>
        </w:rPr>
        <w:t>GVHD prophylaxis consisted of CsA or tacrolimus, started on day -1 in all patients according to local practice administered alone (</w:t>
      </w:r>
      <w:r w:rsidRPr="00796FCE">
        <w:rPr>
          <w:rFonts w:ascii="Arial" w:hAnsi="Arial" w:cs="Arial"/>
          <w:i/>
          <w:lang w:val="en-GB"/>
        </w:rPr>
        <w:t>N</w:t>
      </w:r>
      <w:r w:rsidRPr="00796FCE">
        <w:rPr>
          <w:rFonts w:ascii="Arial" w:hAnsi="Arial" w:cs="Arial"/>
          <w:lang w:val="en-GB"/>
        </w:rPr>
        <w:t xml:space="preserve"> = 35, 39%) or with either mycophenolate mofetil (</w:t>
      </w:r>
      <w:r w:rsidRPr="00796FCE">
        <w:rPr>
          <w:rFonts w:ascii="Arial" w:hAnsi="Arial" w:cs="Arial"/>
          <w:i/>
          <w:lang w:val="en-GB"/>
        </w:rPr>
        <w:t>N</w:t>
      </w:r>
      <w:r w:rsidRPr="00796FCE">
        <w:rPr>
          <w:rFonts w:ascii="Arial" w:hAnsi="Arial" w:cs="Arial"/>
          <w:lang w:val="en-GB"/>
        </w:rPr>
        <w:t xml:space="preserve"> = 32, 35%) or methotrexate 15 mg/m</w:t>
      </w:r>
      <w:r w:rsidRPr="00796FCE">
        <w:rPr>
          <w:rFonts w:ascii="Arial" w:hAnsi="Arial" w:cs="Arial"/>
          <w:vertAlign w:val="superscript"/>
          <w:lang w:val="en-GB"/>
        </w:rPr>
        <w:t>2</w:t>
      </w:r>
      <w:r w:rsidRPr="00796FCE">
        <w:rPr>
          <w:rFonts w:ascii="Arial" w:hAnsi="Arial" w:cs="Arial"/>
          <w:lang w:val="en-GB"/>
        </w:rPr>
        <w:t xml:space="preserve"> at day +1, 10 mg/m</w:t>
      </w:r>
      <w:r w:rsidRPr="00796FCE">
        <w:rPr>
          <w:rFonts w:ascii="Arial" w:hAnsi="Arial" w:cs="Arial"/>
          <w:vertAlign w:val="superscript"/>
          <w:lang w:val="en-GB"/>
        </w:rPr>
        <w:t>2</w:t>
      </w:r>
      <w:r w:rsidRPr="00796FCE">
        <w:rPr>
          <w:rFonts w:ascii="Arial" w:hAnsi="Arial" w:cs="Arial"/>
          <w:lang w:val="en-GB"/>
        </w:rPr>
        <w:t xml:space="preserve"> at day+3 and day +6 (</w:t>
      </w:r>
      <w:r w:rsidRPr="00796FCE">
        <w:rPr>
          <w:rFonts w:ascii="Arial" w:hAnsi="Arial" w:cs="Arial"/>
          <w:i/>
          <w:lang w:val="en-GB"/>
        </w:rPr>
        <w:t>N</w:t>
      </w:r>
      <w:r w:rsidRPr="00796FCE">
        <w:rPr>
          <w:rFonts w:ascii="Arial" w:hAnsi="Arial" w:cs="Arial"/>
          <w:lang w:val="en-GB"/>
        </w:rPr>
        <w:t xml:space="preserve"> = 22, 25%). One patient received sirolimus and mycophenolate mofetil.</w:t>
      </w:r>
    </w:p>
    <w:p w14:paraId="0A6BAD87" w14:textId="77777777" w:rsidR="007826F3" w:rsidRPr="00796FCE" w:rsidRDefault="00BD5DA0">
      <w:pPr>
        <w:rPr>
          <w:rFonts w:ascii="Arial" w:hAnsi="Arial" w:cs="Arial"/>
        </w:rPr>
      </w:pPr>
    </w:p>
    <w:sectPr w:rsidR="007826F3" w:rsidRPr="00796FCE" w:rsidSect="00DF7D21">
      <w:pgSz w:w="11900" w:h="16840"/>
      <w:pgMar w:top="1417" w:right="1417" w:bottom="1417" w:left="1417" w:header="708" w:footer="708" w:gutter="0"/>
      <w:lnNumType w:countBy="1" w:restart="continuous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defaultTabStop w:val="708"/>
  <w:hyphenationZone w:val="425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CE"/>
    <w:rsid w:val="00091EE8"/>
    <w:rsid w:val="002144BC"/>
    <w:rsid w:val="00295B17"/>
    <w:rsid w:val="002A018B"/>
    <w:rsid w:val="0034186C"/>
    <w:rsid w:val="003F0C1C"/>
    <w:rsid w:val="003F2320"/>
    <w:rsid w:val="00404B0B"/>
    <w:rsid w:val="004905C2"/>
    <w:rsid w:val="004C2C0E"/>
    <w:rsid w:val="00587D56"/>
    <w:rsid w:val="005B7B89"/>
    <w:rsid w:val="005E00B7"/>
    <w:rsid w:val="00647EBC"/>
    <w:rsid w:val="006B3028"/>
    <w:rsid w:val="007601E9"/>
    <w:rsid w:val="00794108"/>
    <w:rsid w:val="00796FCE"/>
    <w:rsid w:val="007D27B7"/>
    <w:rsid w:val="00892792"/>
    <w:rsid w:val="008973E1"/>
    <w:rsid w:val="008A413A"/>
    <w:rsid w:val="008E08F2"/>
    <w:rsid w:val="00913FA3"/>
    <w:rsid w:val="00993157"/>
    <w:rsid w:val="009D1AFD"/>
    <w:rsid w:val="00A0412E"/>
    <w:rsid w:val="00A42787"/>
    <w:rsid w:val="00B029F2"/>
    <w:rsid w:val="00BD5DA0"/>
    <w:rsid w:val="00C76C81"/>
    <w:rsid w:val="00C7718B"/>
    <w:rsid w:val="00CE7803"/>
    <w:rsid w:val="00CF6E1B"/>
    <w:rsid w:val="00D327C6"/>
    <w:rsid w:val="00D46088"/>
    <w:rsid w:val="00D77A44"/>
    <w:rsid w:val="00D853BA"/>
    <w:rsid w:val="00DF7D21"/>
    <w:rsid w:val="00E03447"/>
    <w:rsid w:val="00E96E79"/>
    <w:rsid w:val="00EE3805"/>
    <w:rsid w:val="00F23ACF"/>
    <w:rsid w:val="00F3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7E8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DF7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5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1716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Gauthier</dc:creator>
  <cp:keywords/>
  <dc:description/>
  <cp:lastModifiedBy>Jordan Gauthier</cp:lastModifiedBy>
  <cp:revision>3</cp:revision>
  <dcterms:created xsi:type="dcterms:W3CDTF">2017-07-04T18:18:00Z</dcterms:created>
  <dcterms:modified xsi:type="dcterms:W3CDTF">2017-07-04T18:40:00Z</dcterms:modified>
</cp:coreProperties>
</file>