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7"/>
        <w:gridCol w:w="709"/>
        <w:gridCol w:w="622"/>
        <w:gridCol w:w="567"/>
        <w:gridCol w:w="709"/>
        <w:gridCol w:w="653"/>
        <w:gridCol w:w="567"/>
        <w:gridCol w:w="709"/>
        <w:gridCol w:w="709"/>
        <w:gridCol w:w="709"/>
        <w:gridCol w:w="708"/>
        <w:gridCol w:w="709"/>
        <w:gridCol w:w="709"/>
      </w:tblGrid>
      <w:tr w:rsidR="00CE58EF" w:rsidRPr="000C31E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  <w:t>Implementation of de-escalation/discontinuation strategies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guide +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 guide 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-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FP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FP 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 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 -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  <w:t>Empirical de-escalation of combination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n = 11</w:t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71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95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109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119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115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n = 54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Combination therapy empirically in first line in stable patients without history of resistant pathogens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37/109 (33.9%)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30/69 (43.5%)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33/97 (34.0%)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38/92 (41.3%)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41/107 (38.3%)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30/82 (36.6%)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47/115 (40.9%)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24/74 (32.4%)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52/135 (38.5%)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19/54 (35.2%)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Duration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=&lt; 3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16/36 (44.4%)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7/29 (24.1%)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14/31 (45.2%)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10/37 (27.0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%</w:t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8EF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11/40</w:t>
            </w:r>
          </w:p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(27.5%)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13/28 (46.4%)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14/46 (30.4%)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10/22 (45.5%)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12/49 (24.5%)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12/19 (63.2%)</w:t>
            </w: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Duration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&gt;= 10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5/36 (13.9%)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6/29 (20.7%)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3/31 (9.7%)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10/37 (27.0%)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10/40</w:t>
            </w:r>
            <w:r w:rsidR="00CE58EF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br/>
            </w: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(25.0%)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3/28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br/>
            </w: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(3.7%)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9/46 (19.6%)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4/22 (18.2%)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 w:eastAsia="nl-BE"/>
              </w:rPr>
              <w:t>13/49 (26.5%)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 w:eastAsia="nl-BE"/>
              </w:rPr>
              <w:t>0/19</w:t>
            </w:r>
            <w:r w:rsidR="00256293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 w:eastAsia="nl-BE"/>
              </w:rPr>
              <w:br/>
            </w:r>
            <w:r w:rsidRPr="00CE58EF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 w:eastAsia="nl-BE"/>
              </w:rPr>
              <w:t>(0%)</w:t>
            </w: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  <w:t>De-escalation of antibiotics in specific situations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guide +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 guide 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M 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M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-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FQ+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FQ-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Escalate-</w:t>
            </w: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Positive blood culture with susceptible pathogen with uncomplicated presentation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81/108 (75.0%)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51/66 (77.3%)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75/96 (78.1%)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68/89 (76.4%)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86/107 (80.4%)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56/78 (71.8%)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52/69 (75.3%)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91/117 (77.8%)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85/112 (75.9%)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57/73 (78.1%)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98/133 (73.7%)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44/52 (84.6%)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Positive blood culture with susceptible pathogen with severe presentation, improved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53/108 (49.1%)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25/66 (37.9%)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50/94 (53.2%)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32/88 (36.4%)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47/104 (45.2%)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34/78 (43.6%)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29/66 (43.9%)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53/117 (45.3%)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49/111 (44.1%)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32/71 (45.1%)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56/131 (42.7%)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26/51 (51.0%)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Clinically documented infection with uncomplicated presentation,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68/105 (64.8%)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37/66 (56.1%)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58/93 (62.4%)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55/89 (61.8%)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65/104 (62.5%)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48/78 (61.5%)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41/68 (60.3%)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72/115 (62.6%)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70/112 (62.5%)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42/70 (60.0%)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77/132 (58.3%)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36/50 (72.0%)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Clinically documented infection with severe presentation, improved and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41/106 (38.7%)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25/66 (37.9%)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42/93 (45.2%)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29/90 (32.2%)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40/105 (38.1%)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31/78 (39.7%)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25/68 (36.8%)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46/116 (39.7%)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45/112 (40.2%)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25/71 (35.2%)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48/132 (36.4%)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23/51 (45.1%)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Fever of unknown origin with uncomplicated presentation,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54/107 (50.5%)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39/66 (59.1%)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53/94 (56.4%)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47/90 (52.2%)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57/106 (53.8%)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43/78 (55.1%)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44/68 (64.7%)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56/117 (47.9%)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58/112 (51.8%)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41/72 (56.9%)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68/133 (51.1%)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32/51 (62.7%)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Fever of unknown origin with severe presentation, improved and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36/107 (33.6%)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18/66 (27.3%)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36/94 (38.3%)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20/90 (22.2%)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31/106 (29.2%)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25/78 (32.1%)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22/68 (32.4%)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34/117 (29.1%)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35/112 (31.3%)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20/72 (27.8%)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37/133 (27.8%)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19/51 (37.3%)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  <w:t>Stop before neutrophil recovery in specific situations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guide +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 guide 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M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-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FQ+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FQ-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Escalate-</w:t>
            </w: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Positive blood culture with susceptible pathogen with uncomplicated presentation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48/107 (44.9%)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18/67 (26.9%)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40/95 (42.1%)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28/90 (31.1%)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40/107 (37.4%)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28/78 (35.9%)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22/68 (32.4%)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46/118 (39.0%)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37/112 (33.0%)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31/73 (42.5%)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41/133 (30.8%)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27/52 (51.9%)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Positive blood culture with susceptible pathogen with severe presentation, improved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29/107 (27.1%)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8/67 (11.9%)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23/95 (24.2%)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14/90 (15.6%)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23/107 (21.5%)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14/78 (17.9%)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15/68 (22.1%)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22/118 (18.6%)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20/112 (17.9%)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17/73 (23.3%)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25/133 (18.8%)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12/52 (23.1%)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Clinically documented infection with uncomplicated presentation,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52/107 (48.6%)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22/67 (32.8%)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43/95 (45.3%)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33/90 (36.7%)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43/107 (40.2%)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33/78 (42.3%)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26/68 (38.2%)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50/118 (42.4%)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42/112 (37.5%)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34/73 (46.6%)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52/133 (39.1%)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24/52 (46.2%)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Clinically documented infection with severe presentation, improved and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27/106 (25.5%)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11/67 (16.4%)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24/94 (25.5%)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15/90 (16.7%)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24/107 (22.4%)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15/77 (19.5%)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12/68 (17.6%)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27/117 (23.1%)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20/112 (17.9%)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19/72 (26.4%)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25/132 (18.9%)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14/52 (26.9%)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Fever of unknown origin with uncomplicated presentation,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58/106 (54.7%)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29/66 (43.9%)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53/94 (56.4%)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38/89 (42.7%)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52/106 (49.1%)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39/77 (50.6%)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31/67 (46.3%)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60/117 (51.3%)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48/111 (43.2%)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43/72 (59.7%)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60/131 (45.8%)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31/52 (59.6%)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Fever of unknown origin with severe presentation, improved and afebrile on empirical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32/106 (30.2%)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8/66 (12.1%)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24/93 (25.8%)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16/90 (17.8%)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24/106 (22.6%)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16/77 (20.8%)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14/68 (20.6%)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26/116 (22.4%)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20/111 (18.0%)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20/72 (27.8%)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27/131 (20.6%)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13/52 (25.0%)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Probable/proven pulmonary aspergillosis with uncomplicated presentation, afebrile on antifungal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23/105 (21.9%)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15/66 (22.7%)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24/93 (25.8%)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17/89 (19.1%)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25/106 (23.6%)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16/76 (21.1%)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13/66 (19.7%)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28/117 (23.9%)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19/111 (17.1%)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21/71 (29.6%)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28/130 (21.5%)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13/52 (25.0%)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GB" w:eastAsia="nl-BE"/>
              </w:rPr>
              <w:t>Probable/proven pulmonary aspergillosis with severe presentation, improved and afebrile on antifungal therapy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20/105 (19.0%)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11/67 (16.4%)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20/92 (21.7%)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13/90 (14.4%)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21/106 (19.8%)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12/76 (15.8%)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11/67 (16.4%)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22/116 (19.0%)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15/112 (13.4%)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17/70 (24.3%)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22/131 (16.8%)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11/51 (21.6%)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</w:tr>
    </w:tbl>
    <w:p w:rsidR="00156850" w:rsidRDefault="00156850">
      <w:r>
        <w:br w:type="page"/>
      </w:r>
    </w:p>
    <w:tbl>
      <w:tblPr>
        <w:tblW w:w="138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7"/>
        <w:gridCol w:w="709"/>
        <w:gridCol w:w="622"/>
        <w:gridCol w:w="567"/>
        <w:gridCol w:w="709"/>
        <w:gridCol w:w="653"/>
        <w:gridCol w:w="567"/>
        <w:gridCol w:w="709"/>
        <w:gridCol w:w="709"/>
        <w:gridCol w:w="709"/>
        <w:gridCol w:w="708"/>
        <w:gridCol w:w="709"/>
        <w:gridCol w:w="709"/>
      </w:tblGrid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GB" w:eastAsia="nl-BE"/>
              </w:rPr>
              <w:t>How long is antibiotic therapy generally continued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guide +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 guide 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="009D037A"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IDM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br/>
            </w: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dec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 xml:space="preserve"> -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FQ+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FQ-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Combo-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proofErr w:type="spellStart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Glycopep</w:t>
            </w:r>
            <w:proofErr w:type="spellEnd"/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u w:val="single"/>
                <w:lang w:val="en-US" w:eastAsia="nl-BE"/>
              </w:rPr>
              <w:t>Escalate-</w:t>
            </w: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</w:tr>
      <w:tr w:rsidR="00CE58EF" w:rsidRPr="00CE58EF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Positive blood culture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CE58EF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</w:pP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 w:eastAsia="nl-BE"/>
              </w:rPr>
              <w:t xml:space="preserve">&lt; </w:t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7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1/104 (1.0%)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1/66 (1.5%)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1/94 (1.1%)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1/87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(1.1%)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2/106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0/75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(0.0%)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0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/68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2/114 (1.8%)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2/111 (1.8%)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0/70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1/129 (0.8%)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1/52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(1.9%)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7-10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37/104 (35.6%)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14/66 (21.2%)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32/94 (34.0%)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19/87 (21.8%)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29/106 (27.4%)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22/75 (29.3%)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20/68 (29.4%)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31/114 (27.2%)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30/111 (27.0%)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21/70 (30.0%)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36/129 (27.9%)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15/52 (28.8%)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11-14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33/104 (31.7%)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22/66 (33.3%)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34/94 (36.2%)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29/87 (33.3%)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37/106 (34.9%)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25/75 (33.3%)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21/68 (30.9%)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42/114 (36.8%)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37/111 (33.3%)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25/70 (35.7%)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40/129 (31.0%)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22/52 (42.3%)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15-21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5/104 (4.8%)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6/66 (9.1%)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5/94 (5.3%)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CE58EF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5/87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="009D037A"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(5.7%)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6/106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(5.7%)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5/75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(6.7%)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2/68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(2.9%)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9/119 (7.9%)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4/111 (3.6%)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7/70 (10.0%)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9/129 (7.0%)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2/52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(3.8%)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until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end of neutropenia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28/104 (26.9%)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23/66 (34.8%)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22/94 (23.4%)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33/87 (37.9%)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32/106 (30.2%)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23/75 (30.7%)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25/68 (36.8%)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30/114 (26.3%)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38/111 (34.2%)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17/70 (24.3%)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43/129 (33.3%)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12/52 (23.1%)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Clinically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documented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infection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&lt; 7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3/104 (2.9%)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0/66 (0%)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2/94 (2.1%)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2/87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(2.3%)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3/106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(2.8%)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1/75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/68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3/114 (2.6%)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2/111 (1.8%)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2/70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(2.9%)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2/129 (1.6%)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2/52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(3.8%)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7-10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36/104 (34.6%)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17/66 (25.8%)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40/94 (42.6%)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17/87 (19.5%)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32/106 (30.2%)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25/75 (33.3%)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25/68 (36.8%)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32/114 (28.1%)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32/111 (28.8%)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25/70 (35.7%)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37/129 (28.7%)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19/52 (36.5%)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11-14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37/104 (35.6%)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23/66 (34.8%)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29/94 (30.9%)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33/87 (37.9%)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36/106 (34.0%)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26/75 (34.7%)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17/68 (25.0%)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46/114 (40.4%)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38/111 (34.2%)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24/70 (34.3%)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45/129 (34.9%)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18/52 (34.6%)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15-21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3/104 (2.9%)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4/66 (6.1%)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3/94 (3.2%)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4/87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(4.6%)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4/106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(3.8%)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3/75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(4.0%)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2/68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(2.9%)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5/114 (4.4%)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4/111 (3.6%)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3/70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(4.3%)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6/129 (4.7%)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6293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1/52</w:t>
            </w:r>
          </w:p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(1.9%)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until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end of neutropenia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25/104 (24.0%)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22/66 (33.3%)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20/94 (21.3%)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31/87 (35.6%)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31/106 (29.2%)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20/75 (26.7%)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23/68 (33.8%)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28/114 (24.6%)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35/111 (31.5%)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16/70 (22.9%)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39/129 (30.2%)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12/52 (23.1%)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Fever of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unknown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origin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&lt; 7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19/104 (18.3%)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12/66 (18.2%)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18/94 (19.1%)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14/87 (16.1%)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21/106 (19.8%)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11/75 (14.7%)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16/68 (23.5%)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16/114 (14.0%)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17/111 (15.3%)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15/70 (21.4%)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19/129 (14.7%)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13/52 (25.0%)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7-10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40/104 (38.5%)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17/66 (25.8%)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33/94 (35.1%)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26/87 (29.9%)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31/106 (29.2%)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29/75 (38.7%)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22/68 (32.4%)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38/114 (33.3%)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37/111 (33.3%)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23/70 (32.9%)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43/129 (33.3%)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17/52 (32.7%)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11-14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13/104 (12.5%)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12/66 (18.2%)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16/94 (17.0%)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11/87 (12.6%)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19/106 (17.9%)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8/75 (10.7%)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8/68 (11.8%)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19/114 (16.7%)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15/111 (13.5%)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11/70 (15.7%)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23/129 (17.8%)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4/52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(7.7%)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15-21 </w:t>
            </w: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days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2/104 (1.9%)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1/66 (1.5%)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3/94 (3.2%)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CE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0/87</w:t>
            </w:r>
            <w:r w:rsidR="00CE58EF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(0%)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2/106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(1.9%)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0/75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(0.0%)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1/68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2/114 (1.8%)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2/111 (1.8%)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2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1/70</w:t>
            </w:r>
            <w:r w:rsidR="00256293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(1.4%)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2/129 (1.6%)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256293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1/52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br/>
            </w:r>
            <w:r w:rsidR="009D037A"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(1.9%)</w:t>
            </w:r>
          </w:p>
        </w:tc>
      </w:tr>
      <w:tr w:rsidR="00CE58EF" w:rsidRPr="009D037A" w:rsidTr="00256293">
        <w:trPr>
          <w:trHeight w:val="300"/>
        </w:trPr>
        <w:tc>
          <w:tcPr>
            <w:tcW w:w="5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ind w:firstLineChars="500" w:firstLine="600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proofErr w:type="spellStart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until</w:t>
            </w:r>
            <w:proofErr w:type="spellEnd"/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 xml:space="preserve"> end of neutropenia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30/104 (28.8%)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24/66 (36.4%)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24/94 (25.5%)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nl-BE"/>
              </w:rPr>
              <w:t>36/87 (41.4%)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33/106 (31.1%)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27/75 (36.0%)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21/68 (30.9%)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39/114 (34.2%)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40/111 (36.0%)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20/70 (28.6%)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42/129 (32.6%)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037A" w:rsidRPr="009D037A" w:rsidRDefault="009D037A" w:rsidP="009D03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</w:pPr>
            <w:r w:rsidRPr="009D037A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nl-BE"/>
              </w:rPr>
              <w:t>17/52 (32.7%)</w:t>
            </w:r>
          </w:p>
        </w:tc>
      </w:tr>
    </w:tbl>
    <w:p w:rsidR="000C31EA" w:rsidRDefault="000C31EA">
      <w:pPr>
        <w:rPr>
          <w:lang w:val="en-GB"/>
        </w:rPr>
      </w:pPr>
    </w:p>
    <w:p w:rsidR="000C31EA" w:rsidRDefault="000C31EA">
      <w:pPr>
        <w:rPr>
          <w:lang w:val="en-GB"/>
        </w:rPr>
      </w:pPr>
      <w:r>
        <w:rPr>
          <w:lang w:val="en-GB"/>
        </w:rPr>
        <w:br w:type="page"/>
      </w:r>
    </w:p>
    <w:p w:rsidR="000C31EA" w:rsidRPr="00CF4092" w:rsidRDefault="000C31EA" w:rsidP="000C31EA">
      <w:pPr>
        <w:spacing w:line="480" w:lineRule="auto"/>
        <w:jc w:val="both"/>
        <w:rPr>
          <w:rFonts w:ascii="Arial" w:hAnsi="Arial" w:cs="Arial"/>
          <w:u w:val="single"/>
          <w:lang w:val="en-US" w:eastAsia="nl-BE"/>
        </w:rPr>
      </w:pPr>
      <w:r w:rsidRPr="00CF4092">
        <w:rPr>
          <w:rFonts w:ascii="Arial" w:hAnsi="Arial" w:cs="Arial"/>
          <w:u w:val="single"/>
          <w:lang w:val="en-US" w:eastAsia="nl-BE"/>
        </w:rPr>
        <w:t>Supplementary Table 2: Implementation of de-escalation/discontinuation strategies relative to other variables</w:t>
      </w:r>
    </w:p>
    <w:p w:rsidR="000C31EA" w:rsidRPr="00CF4092" w:rsidRDefault="000C31EA" w:rsidP="000C31EA">
      <w:pPr>
        <w:spacing w:line="480" w:lineRule="auto"/>
        <w:jc w:val="both"/>
        <w:rPr>
          <w:rFonts w:ascii="Arial" w:hAnsi="Arial" w:cs="Arial"/>
          <w:lang w:val="en-US" w:eastAsia="nl-BE"/>
        </w:rPr>
      </w:pPr>
      <w:r w:rsidRPr="00CF4092">
        <w:rPr>
          <w:rFonts w:ascii="Arial" w:hAnsi="Arial" w:cs="Arial"/>
          <w:lang w:val="en-US" w:eastAsia="nl-BE"/>
        </w:rPr>
        <w:t>This table summarizes responses from centers on questions concerning Implementation of de-escalation/discontinuation strategies, compared by other variables.</w:t>
      </w:r>
    </w:p>
    <w:p w:rsidR="000C31EA" w:rsidRPr="00CF4092" w:rsidRDefault="000C31EA" w:rsidP="000C31EA">
      <w:pPr>
        <w:spacing w:line="480" w:lineRule="auto"/>
        <w:jc w:val="both"/>
        <w:rPr>
          <w:rFonts w:ascii="Arial" w:hAnsi="Arial" w:cs="Arial"/>
          <w:lang w:val="en-US" w:eastAsia="nl-BE"/>
        </w:rPr>
      </w:pPr>
      <w:r w:rsidRPr="00CF4092">
        <w:rPr>
          <w:rFonts w:ascii="Arial" w:hAnsi="Arial" w:cs="Arial"/>
          <w:lang w:val="en-US" w:eastAsia="nl-BE"/>
        </w:rPr>
        <w:t>IDM guide: Infectious disease or microbiology departments are involved in writing guidelines</w:t>
      </w:r>
    </w:p>
    <w:p w:rsidR="000C31EA" w:rsidRPr="00CF4092" w:rsidRDefault="000C31EA" w:rsidP="000C31EA">
      <w:pPr>
        <w:spacing w:line="480" w:lineRule="auto"/>
        <w:jc w:val="both"/>
        <w:rPr>
          <w:rFonts w:ascii="Arial" w:hAnsi="Arial" w:cs="Arial"/>
          <w:lang w:val="en-US" w:eastAsia="nl-BE"/>
        </w:rPr>
      </w:pPr>
      <w:r w:rsidRPr="00CF4092">
        <w:rPr>
          <w:rFonts w:ascii="Arial" w:hAnsi="Arial" w:cs="Arial"/>
          <w:lang w:val="en-US" w:eastAsia="nl-BE"/>
        </w:rPr>
        <w:t xml:space="preserve">IDM </w:t>
      </w:r>
      <w:proofErr w:type="spellStart"/>
      <w:r w:rsidRPr="00CF4092">
        <w:rPr>
          <w:rFonts w:ascii="Arial" w:hAnsi="Arial" w:cs="Arial"/>
          <w:lang w:val="en-US" w:eastAsia="nl-BE"/>
        </w:rPr>
        <w:t>dec</w:t>
      </w:r>
      <w:proofErr w:type="spellEnd"/>
      <w:r w:rsidRPr="00CF4092">
        <w:rPr>
          <w:rFonts w:ascii="Arial" w:hAnsi="Arial" w:cs="Arial"/>
          <w:lang w:val="en-US" w:eastAsia="nl-BE"/>
        </w:rPr>
        <w:t>: Infectious disease or microbiology departments are involved in decision making on antimicrobial treatment</w:t>
      </w:r>
    </w:p>
    <w:p w:rsidR="000C31EA" w:rsidRPr="00CF4092" w:rsidRDefault="000C31EA" w:rsidP="000C31EA">
      <w:pPr>
        <w:spacing w:line="480" w:lineRule="auto"/>
        <w:jc w:val="both"/>
        <w:rPr>
          <w:rFonts w:ascii="Arial" w:hAnsi="Arial" w:cs="Arial"/>
          <w:lang w:val="en-US" w:eastAsia="nl-BE"/>
        </w:rPr>
      </w:pPr>
      <w:r w:rsidRPr="00CF4092">
        <w:rPr>
          <w:rFonts w:ascii="Arial" w:hAnsi="Arial" w:cs="Arial"/>
          <w:lang w:val="en-US" w:eastAsia="nl-BE"/>
        </w:rPr>
        <w:t>FP: fluoroquinolone prophylaxis</w:t>
      </w:r>
    </w:p>
    <w:p w:rsidR="000C31EA" w:rsidRPr="00CF4092" w:rsidRDefault="000C31EA" w:rsidP="000C31EA">
      <w:pPr>
        <w:spacing w:line="480" w:lineRule="auto"/>
        <w:jc w:val="both"/>
        <w:rPr>
          <w:rFonts w:ascii="Arial" w:hAnsi="Arial" w:cs="Arial"/>
          <w:lang w:val="en-US" w:eastAsia="nl-BE"/>
        </w:rPr>
      </w:pPr>
      <w:r w:rsidRPr="00CF4092">
        <w:rPr>
          <w:rFonts w:ascii="Arial" w:hAnsi="Arial" w:cs="Arial"/>
          <w:lang w:val="en-US" w:eastAsia="nl-BE"/>
        </w:rPr>
        <w:t>Combo:</w:t>
      </w:r>
      <w:r w:rsidRPr="00CF4092">
        <w:rPr>
          <w:rFonts w:ascii="Arial" w:hAnsi="Arial" w:cs="Arial"/>
          <w:lang w:val="en-US"/>
        </w:rPr>
        <w:t xml:space="preserve"> empirical combination therapy as first-line in stable patients without history of colonization/infection with resistant bacteria</w:t>
      </w:r>
    </w:p>
    <w:p w:rsidR="000C31EA" w:rsidRPr="00CF4092" w:rsidRDefault="000C31EA" w:rsidP="000C31EA">
      <w:pPr>
        <w:spacing w:line="480" w:lineRule="auto"/>
        <w:jc w:val="both"/>
        <w:rPr>
          <w:rFonts w:ascii="Arial" w:hAnsi="Arial" w:cs="Arial"/>
          <w:lang w:val="en-US" w:eastAsia="nl-BE"/>
        </w:rPr>
      </w:pPr>
      <w:proofErr w:type="spellStart"/>
      <w:r w:rsidRPr="00CF4092">
        <w:rPr>
          <w:rFonts w:ascii="Arial" w:hAnsi="Arial" w:cs="Arial"/>
          <w:lang w:val="en-US" w:eastAsia="nl-BE"/>
        </w:rPr>
        <w:t>Glycopep</w:t>
      </w:r>
      <w:proofErr w:type="spellEnd"/>
      <w:r w:rsidRPr="00CF4092">
        <w:rPr>
          <w:rFonts w:ascii="Arial" w:hAnsi="Arial" w:cs="Arial"/>
          <w:lang w:val="en-US" w:eastAsia="nl-BE"/>
        </w:rPr>
        <w:t xml:space="preserve">: empirical addition of a </w:t>
      </w:r>
      <w:proofErr w:type="spellStart"/>
      <w:r w:rsidRPr="00CF4092">
        <w:rPr>
          <w:rFonts w:ascii="Arial" w:hAnsi="Arial" w:cs="Arial"/>
          <w:lang w:val="en-US" w:eastAsia="nl-BE"/>
        </w:rPr>
        <w:t>glycopeptide</w:t>
      </w:r>
      <w:proofErr w:type="spellEnd"/>
      <w:r w:rsidRPr="00CF4092">
        <w:rPr>
          <w:rFonts w:ascii="Arial" w:hAnsi="Arial" w:cs="Arial"/>
          <w:lang w:val="en-US" w:eastAsia="nl-BE"/>
        </w:rPr>
        <w:t xml:space="preserve"> when fever persists for more than 2-3 days</w:t>
      </w:r>
    </w:p>
    <w:p w:rsidR="009D037A" w:rsidRPr="009D037A" w:rsidRDefault="000C31EA" w:rsidP="000C31EA">
      <w:pPr>
        <w:rPr>
          <w:lang w:val="en-GB"/>
        </w:rPr>
      </w:pPr>
      <w:r w:rsidRPr="00CF4092">
        <w:rPr>
          <w:rFonts w:ascii="Arial" w:hAnsi="Arial" w:cs="Arial"/>
          <w:lang w:val="en-GB"/>
        </w:rPr>
        <w:t xml:space="preserve">Escalate: </w:t>
      </w:r>
      <w:r w:rsidRPr="00CF4092">
        <w:rPr>
          <w:rFonts w:ascii="Arial" w:hAnsi="Arial" w:cs="Arial"/>
          <w:lang w:val="en-US" w:eastAsia="nl-BE"/>
        </w:rPr>
        <w:t>empirical escalation to a broader spectrum agent is performed when fever persists for more than 3-5 days</w:t>
      </w:r>
      <w:bookmarkStart w:id="0" w:name="_GoBack"/>
      <w:bookmarkEnd w:id="0"/>
    </w:p>
    <w:sectPr w:rsidR="009D037A" w:rsidRPr="009D037A" w:rsidSect="009D03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7A"/>
    <w:rsid w:val="000C31EA"/>
    <w:rsid w:val="000D3BBC"/>
    <w:rsid w:val="00156850"/>
    <w:rsid w:val="00256293"/>
    <w:rsid w:val="009D037A"/>
    <w:rsid w:val="00CE58EF"/>
    <w:rsid w:val="00E2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D6700-07D1-4947-8DFD-DD2912FB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D03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76E1E859</Template>
  <TotalTime>0</TotalTime>
  <Pages>1</Pages>
  <Words>1376</Words>
  <Characters>7574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</dc:creator>
  <cp:lastModifiedBy>ar511</cp:lastModifiedBy>
  <cp:revision>4</cp:revision>
  <dcterms:created xsi:type="dcterms:W3CDTF">2019-11-23T11:02:00Z</dcterms:created>
  <dcterms:modified xsi:type="dcterms:W3CDTF">2020-01-06T15:52:00Z</dcterms:modified>
</cp:coreProperties>
</file>