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47D68" w14:textId="77777777" w:rsidR="00226C0E" w:rsidRPr="002D4347" w:rsidRDefault="00572BAD" w:rsidP="002D4347">
      <w:pPr>
        <w:spacing w:line="360" w:lineRule="auto"/>
        <w:jc w:val="both"/>
        <w:rPr>
          <w:b/>
          <w:sz w:val="22"/>
          <w:szCs w:val="22"/>
        </w:rPr>
      </w:pPr>
      <w:r w:rsidRPr="002D4347">
        <w:rPr>
          <w:b/>
          <w:sz w:val="22"/>
          <w:szCs w:val="22"/>
        </w:rPr>
        <w:t>Supplementary methods</w:t>
      </w:r>
    </w:p>
    <w:p w14:paraId="51348204" w14:textId="77777777" w:rsidR="00123E49" w:rsidRPr="002D4347" w:rsidRDefault="00123E49" w:rsidP="002D4347">
      <w:pPr>
        <w:autoSpaceDE w:val="0"/>
        <w:autoSpaceDN w:val="0"/>
        <w:adjustRightInd w:val="0"/>
        <w:spacing w:line="360" w:lineRule="auto"/>
        <w:jc w:val="both"/>
        <w:rPr>
          <w:rFonts w:cstheme="minorHAnsi"/>
          <w:b/>
          <w:sz w:val="22"/>
          <w:szCs w:val="22"/>
          <w:lang w:val="en-GB"/>
        </w:rPr>
      </w:pPr>
      <w:r w:rsidRPr="002D4347">
        <w:rPr>
          <w:rFonts w:cstheme="minorHAnsi"/>
          <w:b/>
          <w:sz w:val="22"/>
          <w:szCs w:val="22"/>
          <w:lang w:val="en-GB"/>
        </w:rPr>
        <w:t>Supportive care</w:t>
      </w:r>
    </w:p>
    <w:p w14:paraId="19C58566" w14:textId="711E3EA7" w:rsidR="00123E49" w:rsidRPr="002D4347" w:rsidRDefault="00123E49" w:rsidP="002D4347">
      <w:pPr>
        <w:autoSpaceDE w:val="0"/>
        <w:autoSpaceDN w:val="0"/>
        <w:adjustRightInd w:val="0"/>
        <w:spacing w:line="360" w:lineRule="auto"/>
        <w:jc w:val="both"/>
        <w:rPr>
          <w:b/>
          <w:sz w:val="22"/>
          <w:szCs w:val="22"/>
        </w:rPr>
      </w:pPr>
      <w:r w:rsidRPr="006734AE">
        <w:rPr>
          <w:rFonts w:cstheme="minorHAnsi"/>
          <w:sz w:val="22"/>
          <w:szCs w:val="22"/>
          <w:lang w:val="en-GB"/>
        </w:rPr>
        <w:t xml:space="preserve">All patients received prophylaxis against varicella zoster virus reactivation (VZV) with valacyclovir and against Pneumocystis jirovecii with trimethoprim/sulfamethoxazole or atovaquone. All patients were screened weekly by real-time PCR for cytomegalovirus (CMV), Epstein-Barr virus (EBV), and Toxoplasma gondii until day 100. Prophylaxis for sinusoidal obstruction syndrome was based on oral </w:t>
      </w:r>
      <w:proofErr w:type="spellStart"/>
      <w:r w:rsidRPr="006734AE">
        <w:rPr>
          <w:rFonts w:cstheme="minorHAnsi"/>
          <w:sz w:val="22"/>
          <w:szCs w:val="22"/>
          <w:lang w:val="en-GB"/>
        </w:rPr>
        <w:t>ursodeoxycholic</w:t>
      </w:r>
      <w:proofErr w:type="spellEnd"/>
      <w:r w:rsidRPr="006734AE">
        <w:rPr>
          <w:rFonts w:cstheme="minorHAnsi"/>
          <w:sz w:val="22"/>
          <w:szCs w:val="22"/>
          <w:lang w:val="en-GB"/>
        </w:rPr>
        <w:t xml:space="preserve"> acid. High risk patients </w:t>
      </w:r>
      <w:r w:rsidR="00F54541" w:rsidRPr="006734AE">
        <w:rPr>
          <w:rFonts w:cstheme="minorHAnsi"/>
          <w:sz w:val="22"/>
          <w:szCs w:val="22"/>
          <w:lang w:val="en-GB"/>
        </w:rPr>
        <w:t xml:space="preserve">(n=3) </w:t>
      </w:r>
      <w:r w:rsidRPr="006734AE">
        <w:rPr>
          <w:rFonts w:cstheme="minorHAnsi"/>
          <w:sz w:val="22"/>
          <w:szCs w:val="22"/>
          <w:lang w:val="en-GB"/>
        </w:rPr>
        <w:t>received in addition prophylactic defibrotide</w:t>
      </w:r>
      <w:r w:rsidR="00F54541" w:rsidRPr="006734AE">
        <w:rPr>
          <w:rFonts w:cstheme="minorHAnsi"/>
          <w:sz w:val="22"/>
          <w:szCs w:val="22"/>
          <w:lang w:val="en-GB"/>
        </w:rPr>
        <w:t>.</w:t>
      </w:r>
    </w:p>
    <w:p w14:paraId="66DD41DC" w14:textId="77777777" w:rsidR="00123E49" w:rsidRPr="002D4347" w:rsidRDefault="00123E49" w:rsidP="002D4347">
      <w:pPr>
        <w:spacing w:line="360" w:lineRule="auto"/>
        <w:jc w:val="both"/>
        <w:rPr>
          <w:b/>
          <w:sz w:val="22"/>
          <w:szCs w:val="22"/>
        </w:rPr>
      </w:pPr>
    </w:p>
    <w:p w14:paraId="0D59883A" w14:textId="6C093456" w:rsidR="00572BAD" w:rsidRPr="002D4347" w:rsidRDefault="00D7047F" w:rsidP="002D4347">
      <w:pPr>
        <w:spacing w:line="360" w:lineRule="auto"/>
        <w:jc w:val="both"/>
        <w:rPr>
          <w:b/>
          <w:sz w:val="22"/>
          <w:szCs w:val="22"/>
        </w:rPr>
      </w:pPr>
      <w:r>
        <w:rPr>
          <w:b/>
          <w:sz w:val="22"/>
          <w:szCs w:val="22"/>
        </w:rPr>
        <w:t>Immune</w:t>
      </w:r>
      <w:r w:rsidR="00572BAD" w:rsidRPr="002D4347">
        <w:rPr>
          <w:b/>
          <w:sz w:val="22"/>
          <w:szCs w:val="22"/>
        </w:rPr>
        <w:t xml:space="preserve"> reconstitution</w:t>
      </w:r>
    </w:p>
    <w:p w14:paraId="2D950FF6" w14:textId="598987EB" w:rsidR="00572BAD" w:rsidRPr="002D4347" w:rsidRDefault="00572BAD" w:rsidP="002D4347">
      <w:pPr>
        <w:autoSpaceDE w:val="0"/>
        <w:autoSpaceDN w:val="0"/>
        <w:adjustRightInd w:val="0"/>
        <w:spacing w:line="360" w:lineRule="auto"/>
        <w:jc w:val="both"/>
        <w:rPr>
          <w:rFonts w:cstheme="minorHAnsi"/>
          <w:bCs/>
          <w:color w:val="141413"/>
          <w:sz w:val="22"/>
          <w:szCs w:val="22"/>
        </w:rPr>
      </w:pPr>
      <w:r w:rsidRPr="002D4347">
        <w:rPr>
          <w:rFonts w:cstheme="minorHAnsi"/>
          <w:bCs/>
          <w:color w:val="141413"/>
          <w:sz w:val="22"/>
          <w:szCs w:val="22"/>
        </w:rPr>
        <w:t>Patients</w:t>
      </w:r>
      <w:r w:rsidR="00245280">
        <w:rPr>
          <w:rFonts w:cstheme="minorHAnsi"/>
          <w:bCs/>
          <w:color w:val="141413"/>
          <w:sz w:val="22"/>
          <w:szCs w:val="22"/>
        </w:rPr>
        <w:t xml:space="preserve"> were evaluated for immune</w:t>
      </w:r>
      <w:r w:rsidRPr="002D4347">
        <w:rPr>
          <w:rFonts w:cstheme="minorHAnsi"/>
          <w:bCs/>
          <w:color w:val="141413"/>
          <w:sz w:val="22"/>
          <w:szCs w:val="22"/>
        </w:rPr>
        <w:t xml:space="preserve"> reconstitution by flow cytometry of lymphocyte subsets at day +100 for CD4+, CD8+ and CD19+ cells, and 1 year, 2 years and last follow-up for all other immune parameters: CD16+CD56+ NK-cells, CD4+CD45RA+CD31+ recent emigrant naïve CD4-cells, CD8+CD45RA+CCR7+ recent emigrant naïve CD8-cells, CD19+CD19+ memory B-cells, IgG, IgA and IgM levels.</w:t>
      </w:r>
    </w:p>
    <w:p w14:paraId="4A921A05" w14:textId="77777777" w:rsidR="00572BAD" w:rsidRPr="002D4347" w:rsidRDefault="00572BAD" w:rsidP="002D4347">
      <w:pPr>
        <w:autoSpaceDE w:val="0"/>
        <w:autoSpaceDN w:val="0"/>
        <w:adjustRightInd w:val="0"/>
        <w:spacing w:line="360" w:lineRule="auto"/>
        <w:jc w:val="both"/>
        <w:rPr>
          <w:rFonts w:cstheme="minorHAnsi"/>
          <w:bCs/>
          <w:color w:val="141413"/>
          <w:sz w:val="22"/>
          <w:szCs w:val="22"/>
        </w:rPr>
      </w:pPr>
      <w:r w:rsidRPr="002D4347">
        <w:rPr>
          <w:rFonts w:cstheme="minorHAnsi"/>
          <w:bCs/>
          <w:color w:val="141413"/>
          <w:sz w:val="22"/>
          <w:szCs w:val="22"/>
        </w:rPr>
        <w:t xml:space="preserve">Median last follow-up evaluation time was 45 months (range 13 – 100) for immune cell reconstitution and 50 months (range 13 – 94) for immunoglobulin levels. </w:t>
      </w:r>
    </w:p>
    <w:p w14:paraId="61FD20DC" w14:textId="77777777" w:rsidR="00572BAD" w:rsidRPr="002D4347" w:rsidRDefault="00572BAD" w:rsidP="002D4347">
      <w:pPr>
        <w:autoSpaceDE w:val="0"/>
        <w:autoSpaceDN w:val="0"/>
        <w:adjustRightInd w:val="0"/>
        <w:spacing w:line="360" w:lineRule="auto"/>
        <w:jc w:val="both"/>
        <w:rPr>
          <w:rFonts w:eastAsia="Times New Roman" w:cstheme="minorHAnsi"/>
          <w:color w:val="000000"/>
          <w:sz w:val="22"/>
          <w:szCs w:val="22"/>
          <w:shd w:val="clear" w:color="auto" w:fill="FFFFFF"/>
          <w:lang w:eastAsia="fr-FR"/>
        </w:rPr>
      </w:pPr>
      <w:r w:rsidRPr="002D4347">
        <w:rPr>
          <w:rFonts w:eastAsia="Times New Roman" w:cstheme="minorHAnsi"/>
          <w:color w:val="000000"/>
          <w:sz w:val="22"/>
          <w:szCs w:val="22"/>
          <w:shd w:val="clear" w:color="auto" w:fill="FFFFFF"/>
          <w:lang w:eastAsia="fr-FR"/>
        </w:rPr>
        <w:t xml:space="preserve">Antibody response was evaluated after completing the vaccination scheme consisting of 3 monthly injections of hexavalent vaccine (tetanus toxoid, </w:t>
      </w:r>
      <w:proofErr w:type="spellStart"/>
      <w:r w:rsidRPr="002D4347">
        <w:rPr>
          <w:rFonts w:eastAsia="Times New Roman" w:cstheme="minorHAnsi"/>
          <w:color w:val="000000"/>
          <w:sz w:val="22"/>
          <w:szCs w:val="22"/>
          <w:shd w:val="clear" w:color="auto" w:fill="FFFFFF"/>
          <w:lang w:eastAsia="fr-FR"/>
        </w:rPr>
        <w:t>diphteria</w:t>
      </w:r>
      <w:proofErr w:type="spellEnd"/>
      <w:r w:rsidRPr="002D4347">
        <w:rPr>
          <w:rFonts w:eastAsia="Times New Roman" w:cstheme="minorHAnsi"/>
          <w:color w:val="000000"/>
          <w:sz w:val="22"/>
          <w:szCs w:val="22"/>
          <w:shd w:val="clear" w:color="auto" w:fill="FFFFFF"/>
          <w:lang w:eastAsia="fr-FR"/>
        </w:rPr>
        <w:t xml:space="preserve">, poliomyelitis, </w:t>
      </w:r>
      <w:proofErr w:type="spellStart"/>
      <w:r w:rsidRPr="002D4347">
        <w:rPr>
          <w:rFonts w:eastAsia="Times New Roman" w:cstheme="minorHAnsi"/>
          <w:color w:val="000000"/>
          <w:sz w:val="22"/>
          <w:szCs w:val="22"/>
          <w:shd w:val="clear" w:color="auto" w:fill="FFFFFF"/>
          <w:lang w:eastAsia="fr-FR"/>
        </w:rPr>
        <w:t>HiB</w:t>
      </w:r>
      <w:proofErr w:type="spellEnd"/>
      <w:r w:rsidRPr="002D4347">
        <w:rPr>
          <w:rFonts w:eastAsia="Times New Roman" w:cstheme="minorHAnsi"/>
          <w:color w:val="000000"/>
          <w:sz w:val="22"/>
          <w:szCs w:val="22"/>
          <w:shd w:val="clear" w:color="auto" w:fill="FFFFFF"/>
          <w:lang w:eastAsia="fr-FR"/>
        </w:rPr>
        <w:t xml:space="preserve">, pertussis, hepatitis B), 3 monthly injections of 13-valent pneumococcal conjugate vaccine followed 4 to 6 months later by a single injection of 23-valent pneumococcal </w:t>
      </w:r>
      <w:proofErr w:type="spellStart"/>
      <w:r w:rsidRPr="002D4347">
        <w:rPr>
          <w:rFonts w:eastAsia="Times New Roman" w:cstheme="minorHAnsi"/>
          <w:color w:val="000000"/>
          <w:sz w:val="22"/>
          <w:szCs w:val="22"/>
          <w:shd w:val="clear" w:color="auto" w:fill="FFFFFF"/>
          <w:lang w:eastAsia="fr-FR"/>
        </w:rPr>
        <w:t>polyoside</w:t>
      </w:r>
      <w:proofErr w:type="spellEnd"/>
      <w:r w:rsidRPr="002D4347">
        <w:rPr>
          <w:rFonts w:eastAsia="Times New Roman" w:cstheme="minorHAnsi"/>
          <w:color w:val="000000"/>
          <w:sz w:val="22"/>
          <w:szCs w:val="22"/>
          <w:shd w:val="clear" w:color="auto" w:fill="FFFFFF"/>
          <w:lang w:eastAsia="fr-FR"/>
        </w:rPr>
        <w:t xml:space="preserve"> vaccine. Patients were considered responders to vaccination if they developed IgG titers above 1 mg/l to at least 4 of the pneumococcal polysaccharides’ serotypes 4, 6B, 9V, 14, 18C, A9F and 23F and IgG titers to antitetanic toxoid above 0.51 mg/l. If on prior </w:t>
      </w:r>
      <w:r w:rsidRPr="002D4347">
        <w:rPr>
          <w:rFonts w:cstheme="minorHAnsi"/>
          <w:sz w:val="22"/>
          <w:szCs w:val="22"/>
          <w:lang w:val="en-GB"/>
        </w:rPr>
        <w:t>immunoglobulin replacement therapy (</w:t>
      </w:r>
      <w:r w:rsidRPr="002D4347">
        <w:rPr>
          <w:rFonts w:eastAsia="Times New Roman" w:cstheme="minorHAnsi"/>
          <w:color w:val="000000"/>
          <w:sz w:val="22"/>
          <w:szCs w:val="22"/>
          <w:shd w:val="clear" w:color="auto" w:fill="FFFFFF"/>
          <w:lang w:eastAsia="fr-FR"/>
        </w:rPr>
        <w:t>IgRT), patients were required to have been weaned of immunoglobulins for at least 6 months before evaluation of the antibody response.</w:t>
      </w:r>
    </w:p>
    <w:p w14:paraId="46E2791B" w14:textId="77777777" w:rsidR="00572BAD" w:rsidRPr="002D4347" w:rsidRDefault="00572BAD" w:rsidP="002D4347">
      <w:pPr>
        <w:autoSpaceDE w:val="0"/>
        <w:autoSpaceDN w:val="0"/>
        <w:adjustRightInd w:val="0"/>
        <w:spacing w:line="360" w:lineRule="auto"/>
        <w:jc w:val="both"/>
        <w:rPr>
          <w:rFonts w:eastAsia="Times New Roman" w:cstheme="minorHAnsi"/>
          <w:color w:val="000000"/>
          <w:sz w:val="22"/>
          <w:szCs w:val="22"/>
          <w:shd w:val="clear" w:color="auto" w:fill="FFFFFF"/>
          <w:lang w:eastAsia="fr-FR"/>
        </w:rPr>
      </w:pPr>
    </w:p>
    <w:p w14:paraId="794CCAD6" w14:textId="77777777" w:rsidR="005774BA" w:rsidRPr="002D4347" w:rsidRDefault="005774BA" w:rsidP="002D4347">
      <w:pPr>
        <w:autoSpaceDE w:val="0"/>
        <w:autoSpaceDN w:val="0"/>
        <w:adjustRightInd w:val="0"/>
        <w:spacing w:line="360" w:lineRule="auto"/>
        <w:jc w:val="both"/>
        <w:rPr>
          <w:rFonts w:eastAsia="Times New Roman" w:cstheme="minorHAnsi"/>
          <w:b/>
          <w:bCs/>
          <w:color w:val="000000"/>
          <w:sz w:val="22"/>
          <w:szCs w:val="22"/>
          <w:shd w:val="clear" w:color="auto" w:fill="FFFFFF"/>
          <w:lang w:eastAsia="fr-FR"/>
        </w:rPr>
      </w:pPr>
      <w:r w:rsidRPr="002D4347">
        <w:rPr>
          <w:rFonts w:eastAsia="Times New Roman" w:cstheme="minorHAnsi"/>
          <w:b/>
          <w:bCs/>
          <w:color w:val="000000"/>
          <w:sz w:val="22"/>
          <w:szCs w:val="22"/>
          <w:shd w:val="clear" w:color="auto" w:fill="FFFFFF"/>
          <w:lang w:eastAsia="fr-FR"/>
        </w:rPr>
        <w:t>Evaluation of phagocyte oxidative burst in CGD patients</w:t>
      </w:r>
    </w:p>
    <w:p w14:paraId="120E5F44" w14:textId="59BBEA42" w:rsidR="005774BA" w:rsidRPr="002D4347" w:rsidRDefault="005774BA" w:rsidP="002D4347">
      <w:pPr>
        <w:autoSpaceDE w:val="0"/>
        <w:autoSpaceDN w:val="0"/>
        <w:adjustRightInd w:val="0"/>
        <w:spacing w:line="360" w:lineRule="auto"/>
        <w:jc w:val="both"/>
        <w:rPr>
          <w:rFonts w:eastAsia="Times New Roman" w:cstheme="minorHAnsi"/>
          <w:color w:val="000000"/>
          <w:sz w:val="22"/>
          <w:szCs w:val="22"/>
          <w:shd w:val="clear" w:color="auto" w:fill="FFFFFF"/>
          <w:lang w:eastAsia="fr-FR"/>
        </w:rPr>
      </w:pPr>
      <w:r w:rsidRPr="002D4347">
        <w:rPr>
          <w:rFonts w:eastAsia="Times New Roman" w:cstheme="minorHAnsi"/>
          <w:color w:val="000000"/>
          <w:sz w:val="22"/>
          <w:szCs w:val="22"/>
          <w:shd w:val="clear" w:color="auto" w:fill="FFFFFF"/>
          <w:lang w:eastAsia="fr-FR"/>
        </w:rPr>
        <w:t xml:space="preserve">Phagocyte NADPH oxidase activation was measured in individual cells by flow cytometry with </w:t>
      </w:r>
      <w:proofErr w:type="spellStart"/>
      <w:r w:rsidRPr="002D4347">
        <w:rPr>
          <w:rFonts w:eastAsia="Times New Roman" w:cstheme="minorHAnsi"/>
          <w:color w:val="000000"/>
          <w:sz w:val="22"/>
          <w:szCs w:val="22"/>
          <w:shd w:val="clear" w:color="auto" w:fill="FFFFFF"/>
          <w:lang w:eastAsia="fr-FR"/>
        </w:rPr>
        <w:t>dihydrorhodamine</w:t>
      </w:r>
      <w:proofErr w:type="spellEnd"/>
      <w:r w:rsidRPr="002D4347">
        <w:rPr>
          <w:rFonts w:eastAsia="Times New Roman" w:cstheme="minorHAnsi"/>
          <w:color w:val="000000"/>
          <w:sz w:val="22"/>
          <w:szCs w:val="22"/>
          <w:shd w:val="clear" w:color="auto" w:fill="FFFFFF"/>
          <w:lang w:eastAsia="fr-FR"/>
        </w:rPr>
        <w:t xml:space="preserve"> 123 (DHR) in all CGD patients.</w:t>
      </w:r>
    </w:p>
    <w:p w14:paraId="1916C537" w14:textId="19987D4A" w:rsidR="00AC031A" w:rsidRPr="002D4347" w:rsidRDefault="00AC031A" w:rsidP="002D4347">
      <w:pPr>
        <w:autoSpaceDE w:val="0"/>
        <w:autoSpaceDN w:val="0"/>
        <w:adjustRightInd w:val="0"/>
        <w:spacing w:line="360" w:lineRule="auto"/>
        <w:jc w:val="both"/>
        <w:rPr>
          <w:rFonts w:eastAsia="Times New Roman" w:cstheme="minorHAnsi"/>
          <w:color w:val="000000"/>
          <w:sz w:val="22"/>
          <w:szCs w:val="22"/>
          <w:shd w:val="clear" w:color="auto" w:fill="FFFFFF"/>
          <w:lang w:eastAsia="fr-FR"/>
        </w:rPr>
      </w:pPr>
    </w:p>
    <w:p w14:paraId="066DF5EF" w14:textId="6C33D147" w:rsidR="0092603C" w:rsidRPr="002D4347" w:rsidRDefault="0092603C" w:rsidP="002D4347">
      <w:pPr>
        <w:spacing w:line="360" w:lineRule="auto"/>
        <w:jc w:val="both"/>
        <w:rPr>
          <w:b/>
          <w:sz w:val="22"/>
          <w:szCs w:val="22"/>
        </w:rPr>
      </w:pPr>
      <w:proofErr w:type="spellStart"/>
      <w:r w:rsidRPr="002D4347">
        <w:rPr>
          <w:b/>
          <w:sz w:val="22"/>
          <w:szCs w:val="22"/>
        </w:rPr>
        <w:t>Chimerism</w:t>
      </w:r>
      <w:proofErr w:type="spellEnd"/>
    </w:p>
    <w:p w14:paraId="33EB73A1" w14:textId="2C46FA56" w:rsidR="0092603C" w:rsidRPr="002D4347" w:rsidRDefault="0092603C" w:rsidP="00245280">
      <w:pPr>
        <w:spacing w:line="360" w:lineRule="auto"/>
        <w:jc w:val="both"/>
        <w:rPr>
          <w:rFonts w:cstheme="minorHAnsi"/>
          <w:sz w:val="22"/>
          <w:szCs w:val="22"/>
        </w:rPr>
      </w:pPr>
      <w:r w:rsidRPr="002D4347">
        <w:rPr>
          <w:rFonts w:cstheme="minorHAnsi"/>
          <w:sz w:val="22"/>
          <w:szCs w:val="22"/>
        </w:rPr>
        <w:t>Chimerism was analyzed by quantitative real-time polymerase chain reaction for insertion/deletion polymorphism as previously described.</w:t>
      </w:r>
      <w:r w:rsidRPr="002D4347">
        <w:rPr>
          <w:rFonts w:cstheme="minorHAnsi"/>
          <w:sz w:val="22"/>
          <w:szCs w:val="22"/>
        </w:rPr>
        <w:fldChar w:fldCharType="begin"/>
      </w:r>
      <w:r w:rsidRPr="002D4347">
        <w:rPr>
          <w:rFonts w:cstheme="minorHAnsi"/>
          <w:sz w:val="22"/>
          <w:szCs w:val="22"/>
        </w:rPr>
        <w:instrText xml:space="preserve"> ADDIN ZOTERO_ITEM CSL_CITATION {"citationID":"KSDxMLTj","properties":{"formattedCitation":"\\super 23\\nosupersub{}","plainCitation":"23","noteIndex":0},"citationItems":[{"id":1928,"uris":["http://zotero.org/users/1194261/items/XQU4BYZB"],"uri":["http://zotero.org/users/1194261/items/XQU4BYZB"],"itemData":{"id":1928,"type":"article-journal","abstract":"We have developed a real-time quantitative polymerase chain reaction (PCR) assay using TaqMan technology (Applied Biosystems, Foster City, CA) for monitoring donor cell engraftment in allogenic hematopoietic stem cell transplant recipients. For this purpose, we selected 19 specific sequence polymorphisms belonging to 11 human biallelic loci located on 9 different chromosomes. Using a set of specially designed primers and fluorogenic probes, we evaluated the 19 markers' informativity on a panel of 126 DNA samples from 63 recipient/donor pairs. In more than 90% of these pairs, discrimination between recipient and donor genetic profile was possible. By using serial dilutions of mixed DNAs, we evaluated the linearity and sensitivity of the method. A linear correlation with r higher than 0.98 and a sensitivity of 0.1% proved reproducible. Fluorescent-based PCR of short tandem repeats (STR-PCR) and real-time PCR chimerism assay were compared with a panel of artificial cell mixtures. The main advantage of the real-time PCR method over STR-PCR chimerism assays is the absence of PCR competition and plateau biases, and results evidenced greater sensitivity and linearity with the real-time PCR method. Furthermore, different samples can be tested in the same PCR run with a final result in fewer than 48 hours. Finally, we prospectively analyzed patients who received allografts and present 4 different clinical situations that illustrate the informativity level of our method. In conclusion, this new assay provides an accurate quantitative assessment of mixed chimerism that can be useful in guiding early implementation of additional treatments in hematopoietic stem cell transplantation.","container-title":"Blood","DOI":"10.1182/blood.v99.12.4618","ISSN":"0006-4971","issue":"12","journalAbbreviation":"Blood","language":"eng","note":"PMID: 12036896","page":"4618-4625","source":"PubMed","title":"Quantitative assessment of hematopoietic chimerism after bone marrow transplantation by real-time quantitative polymerase chain reaction","volume":"99","author":[{"family":"Alizadeh","given":"Mehdi"},{"family":"Bernard","given":"Marc"},{"family":"Danic","given":"Bruno"},{"family":"Dauriac","given":"Charly"},{"family":"Birebent","given":"Brigitte"},{"family":"Lapart","given":"Christine"},{"family":"Lamy","given":"Thierry"},{"family":"Le Prisé","given":"Pierre-Yves"},{"family":"Beauplet","given":"Alain"},{"family":"Bories","given":"Dominique"},{"family":"Semana","given":"Gilbert"},{"family":"Quelvennec","given":"Erwann"}],"issued":{"date-parts":[["2002",6,15]]}}}],"schema":"https://github.com/citation-style-language/schema/raw/master/csl-citation.json"} </w:instrText>
      </w:r>
      <w:r w:rsidRPr="002D4347">
        <w:rPr>
          <w:rFonts w:cstheme="minorHAnsi"/>
          <w:sz w:val="22"/>
          <w:szCs w:val="22"/>
        </w:rPr>
        <w:fldChar w:fldCharType="separate"/>
      </w:r>
      <w:r w:rsidRPr="002D4347">
        <w:rPr>
          <w:rFonts w:ascii="Calibri" w:cs="Calibri"/>
          <w:sz w:val="22"/>
          <w:szCs w:val="22"/>
          <w:vertAlign w:val="superscript"/>
        </w:rPr>
        <w:t>23</w:t>
      </w:r>
      <w:r w:rsidRPr="002D4347">
        <w:rPr>
          <w:rFonts w:cstheme="minorHAnsi"/>
          <w:sz w:val="22"/>
          <w:szCs w:val="22"/>
        </w:rPr>
        <w:fldChar w:fldCharType="end"/>
      </w:r>
      <w:r w:rsidR="00245280">
        <w:rPr>
          <w:rFonts w:cstheme="minorHAnsi"/>
          <w:sz w:val="22"/>
          <w:szCs w:val="22"/>
        </w:rPr>
        <w:t xml:space="preserve"> </w:t>
      </w:r>
      <w:proofErr w:type="spellStart"/>
      <w:r w:rsidRPr="002D4347">
        <w:rPr>
          <w:rFonts w:cstheme="minorHAnsi"/>
          <w:sz w:val="22"/>
          <w:szCs w:val="22"/>
        </w:rPr>
        <w:t>Chimerism</w:t>
      </w:r>
      <w:proofErr w:type="spellEnd"/>
      <w:r w:rsidRPr="002D4347">
        <w:rPr>
          <w:rFonts w:cstheme="minorHAnsi"/>
          <w:sz w:val="22"/>
          <w:szCs w:val="22"/>
        </w:rPr>
        <w:t xml:space="preserve"> samples were processed monthly until d +100, every 3 months until 1-year posttransplant or when indicated clinically indicated.</w:t>
      </w:r>
      <w:bookmarkStart w:id="0" w:name="_GoBack"/>
      <w:bookmarkEnd w:id="0"/>
    </w:p>
    <w:p w14:paraId="6ABFB93C" w14:textId="77777777" w:rsidR="0092603C" w:rsidRPr="002D4347" w:rsidRDefault="0092603C" w:rsidP="002D4347">
      <w:pPr>
        <w:spacing w:line="360" w:lineRule="auto"/>
        <w:jc w:val="both"/>
        <w:rPr>
          <w:sz w:val="22"/>
          <w:szCs w:val="22"/>
        </w:rPr>
      </w:pPr>
      <w:r w:rsidRPr="002D4347">
        <w:rPr>
          <w:rFonts w:cstheme="minorHAnsi"/>
          <w:sz w:val="22"/>
          <w:szCs w:val="22"/>
        </w:rPr>
        <w:t>For CGD patients, lineage-specific chimerism was performed on total blood, CD3 positive compartment (CD4, CD8 T lymphocytes) and CD3- compartment (granulocytes, monocytes and B-lymphocytes).</w:t>
      </w:r>
    </w:p>
    <w:sectPr w:rsidR="0092603C" w:rsidRPr="002D43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BAD"/>
    <w:rsid w:val="0007195F"/>
    <w:rsid w:val="00123E49"/>
    <w:rsid w:val="00226C0E"/>
    <w:rsid w:val="00245280"/>
    <w:rsid w:val="002D4347"/>
    <w:rsid w:val="00572BAD"/>
    <w:rsid w:val="005774BA"/>
    <w:rsid w:val="006734AE"/>
    <w:rsid w:val="00723F9B"/>
    <w:rsid w:val="00747FF3"/>
    <w:rsid w:val="0092603C"/>
    <w:rsid w:val="00AC031A"/>
    <w:rsid w:val="00D7047F"/>
    <w:rsid w:val="00F5454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AFA3"/>
  <w15:chartTrackingRefBased/>
  <w15:docId w15:val="{C063BD14-BEF5-4E5F-A8FE-0D6489855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BAD"/>
    <w:pPr>
      <w:spacing w:after="0" w:line="240" w:lineRule="auto"/>
    </w:pPr>
    <w:rPr>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858</Words>
  <Characters>4719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APHP</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SUAREZ Felipe</dc:creator>
  <cp:keywords/>
  <dc:description/>
  <cp:lastModifiedBy>MARCAIS Ambroise</cp:lastModifiedBy>
  <cp:revision>4</cp:revision>
  <dcterms:created xsi:type="dcterms:W3CDTF">2022-05-06T08:28:00Z</dcterms:created>
  <dcterms:modified xsi:type="dcterms:W3CDTF">2022-05-06T08:33:00Z</dcterms:modified>
</cp:coreProperties>
</file>