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55035" w14:textId="22C1EA37" w:rsidR="00156F2F" w:rsidRPr="00100C82" w:rsidRDefault="007B3883" w:rsidP="00156F2F">
      <w:pPr>
        <w:spacing w:line="480" w:lineRule="auto"/>
        <w:jc w:val="center"/>
        <w:rPr>
          <w:rFonts w:ascii="Times New Roman" w:hAnsi="Times New Roman" w:cs="Times New Roman"/>
          <w:b/>
          <w:bCs/>
          <w:sz w:val="32"/>
          <w:szCs w:val="32"/>
        </w:rPr>
      </w:pPr>
      <w:bookmarkStart w:id="0" w:name="_GoBack"/>
      <w:r w:rsidRPr="007B3883">
        <w:rPr>
          <w:rFonts w:ascii="Times New Roman" w:hAnsi="Times New Roman" w:cs="Times New Roman"/>
          <w:b/>
          <w:bCs/>
          <w:sz w:val="32"/>
          <w:szCs w:val="32"/>
        </w:rPr>
        <w:t>Supplementary Method</w:t>
      </w:r>
      <w:bookmarkEnd w:id="0"/>
      <w:r w:rsidR="00156F2F" w:rsidRPr="00100C82">
        <w:rPr>
          <w:rFonts w:ascii="Times New Roman" w:hAnsi="Times New Roman" w:cs="Times New Roman"/>
          <w:b/>
          <w:bCs/>
          <w:sz w:val="32"/>
          <w:szCs w:val="32"/>
        </w:rPr>
        <w:t xml:space="preserve"> </w:t>
      </w:r>
    </w:p>
    <w:p w14:paraId="2E370F0E" w14:textId="77777777" w:rsidR="00156F2F" w:rsidRPr="00100C82" w:rsidRDefault="00156F2F" w:rsidP="00156F2F">
      <w:pPr>
        <w:spacing w:line="480" w:lineRule="auto"/>
        <w:jc w:val="left"/>
        <w:rPr>
          <w:rFonts w:ascii="Times New Roman" w:eastAsiaTheme="minorEastAsia" w:hAnsi="Times New Roman" w:cs="Arial"/>
          <w:color w:val="auto"/>
          <w:sz w:val="21"/>
          <w:szCs w:val="21"/>
        </w:rPr>
      </w:pPr>
    </w:p>
    <w:p w14:paraId="11494B67" w14:textId="77777777" w:rsidR="00156F2F" w:rsidRPr="00100C82" w:rsidRDefault="00156F2F" w:rsidP="00156F2F">
      <w:pPr>
        <w:spacing w:line="480" w:lineRule="auto"/>
        <w:jc w:val="left"/>
        <w:rPr>
          <w:rFonts w:ascii="Times New Roman" w:hAnsi="Times New Roman" w:cs="Arial"/>
          <w:b/>
          <w:bCs/>
          <w:color w:val="auto"/>
          <w:sz w:val="21"/>
          <w:szCs w:val="21"/>
        </w:rPr>
      </w:pPr>
      <w:r w:rsidRPr="00100C82">
        <w:rPr>
          <w:rFonts w:ascii="Times New Roman" w:hAnsi="Times New Roman" w:cs="Arial"/>
          <w:b/>
          <w:bCs/>
          <w:color w:val="auto"/>
          <w:sz w:val="21"/>
          <w:szCs w:val="21"/>
        </w:rPr>
        <w:t>RNA extraction and reverse transcription</w:t>
      </w:r>
    </w:p>
    <w:p w14:paraId="43DE748D" w14:textId="25887DA3" w:rsidR="00156F2F" w:rsidRPr="00100C82" w:rsidRDefault="00156F2F" w:rsidP="00156F2F">
      <w:pPr>
        <w:spacing w:line="480" w:lineRule="auto"/>
        <w:jc w:val="left"/>
        <w:rPr>
          <w:rFonts w:ascii="Times New Roman" w:hAnsi="Times New Roman" w:cs="Arial"/>
          <w:color w:val="auto"/>
          <w:sz w:val="21"/>
          <w:szCs w:val="21"/>
        </w:rPr>
      </w:pPr>
      <w:r w:rsidRPr="00100C82">
        <w:rPr>
          <w:rFonts w:ascii="Times New Roman" w:hAnsi="Times New Roman" w:cs="Arial"/>
          <w:color w:val="auto"/>
          <w:sz w:val="21"/>
          <w:szCs w:val="21"/>
        </w:rPr>
        <w:t>Total RNA was isolated from homogenized cartilage, synovia and subchondral bone samples using the RNeasy Fibrous Tissue Mini Kit (</w:t>
      </w:r>
      <w:proofErr w:type="spellStart"/>
      <w:r w:rsidRPr="00100C82">
        <w:rPr>
          <w:rFonts w:ascii="Times New Roman" w:hAnsi="Times New Roman" w:cs="Arial"/>
          <w:color w:val="auto"/>
          <w:sz w:val="21"/>
          <w:szCs w:val="21"/>
        </w:rPr>
        <w:t>Qiagen</w:t>
      </w:r>
      <w:proofErr w:type="spellEnd"/>
      <w:r w:rsidRPr="00100C82">
        <w:rPr>
          <w:rFonts w:ascii="Times New Roman" w:hAnsi="Times New Roman" w:cs="Arial"/>
          <w:color w:val="auto"/>
          <w:sz w:val="21"/>
          <w:szCs w:val="21"/>
        </w:rPr>
        <w:t xml:space="preserve">, </w:t>
      </w:r>
      <w:proofErr w:type="spellStart"/>
      <w:r w:rsidRPr="00100C82">
        <w:rPr>
          <w:rFonts w:ascii="Times New Roman" w:hAnsi="Times New Roman" w:cs="Arial"/>
          <w:color w:val="auto"/>
          <w:sz w:val="21"/>
          <w:szCs w:val="21"/>
        </w:rPr>
        <w:t>Duesseldorf</w:t>
      </w:r>
      <w:proofErr w:type="spellEnd"/>
      <w:r w:rsidRPr="00100C82">
        <w:rPr>
          <w:rFonts w:ascii="Times New Roman" w:hAnsi="Times New Roman" w:cs="Arial"/>
          <w:color w:val="auto"/>
          <w:sz w:val="21"/>
          <w:szCs w:val="21"/>
        </w:rPr>
        <w:t xml:space="preserve">, Germany) following </w:t>
      </w:r>
      <w:r w:rsidR="000E233B">
        <w:rPr>
          <w:rFonts w:ascii="Times New Roman" w:hAnsi="Times New Roman" w:cs="Arial"/>
          <w:color w:val="auto"/>
          <w:sz w:val="21"/>
          <w:szCs w:val="21"/>
        </w:rPr>
        <w:t xml:space="preserve">the </w:t>
      </w:r>
      <w:r w:rsidRPr="00100C82">
        <w:rPr>
          <w:rFonts w:ascii="Times New Roman" w:hAnsi="Times New Roman" w:cs="Arial"/>
          <w:color w:val="auto"/>
          <w:sz w:val="21"/>
          <w:szCs w:val="21"/>
        </w:rPr>
        <w:t>manufacturer’s instructions. The RNA concentration and purity were determined using Nano-Drop (</w:t>
      </w:r>
      <w:proofErr w:type="spellStart"/>
      <w:r w:rsidRPr="00100C82">
        <w:rPr>
          <w:rFonts w:ascii="Times New Roman" w:hAnsi="Times New Roman" w:cs="Arial"/>
          <w:color w:val="auto"/>
          <w:sz w:val="21"/>
          <w:szCs w:val="21"/>
        </w:rPr>
        <w:t>NanoDrop</w:t>
      </w:r>
      <w:proofErr w:type="spellEnd"/>
      <w:r w:rsidRPr="00100C82">
        <w:rPr>
          <w:rFonts w:ascii="Times New Roman" w:hAnsi="Times New Roman" w:cs="Arial"/>
          <w:color w:val="auto"/>
          <w:sz w:val="21"/>
          <w:szCs w:val="21"/>
        </w:rPr>
        <w:t xml:space="preserve"> Technologies, DE, USA). The integrity of the RNA was assessed in a </w:t>
      </w:r>
      <w:proofErr w:type="spellStart"/>
      <w:r w:rsidRPr="00100C82">
        <w:rPr>
          <w:rFonts w:ascii="Times New Roman" w:hAnsi="Times New Roman" w:cs="Arial"/>
          <w:color w:val="auto"/>
          <w:sz w:val="21"/>
          <w:szCs w:val="21"/>
        </w:rPr>
        <w:t>Bioanalyzer</w:t>
      </w:r>
      <w:proofErr w:type="spellEnd"/>
      <w:r w:rsidRPr="00100C82">
        <w:rPr>
          <w:rFonts w:ascii="Times New Roman" w:hAnsi="Times New Roman" w:cs="Arial"/>
          <w:color w:val="auto"/>
          <w:sz w:val="21"/>
          <w:szCs w:val="21"/>
        </w:rPr>
        <w:t xml:space="preserve"> 2100 (Agilent </w:t>
      </w:r>
      <w:r w:rsidR="000E233B">
        <w:rPr>
          <w:rFonts w:ascii="Times New Roman" w:hAnsi="Times New Roman" w:cs="Arial"/>
          <w:color w:val="auto"/>
          <w:sz w:val="21"/>
          <w:szCs w:val="21"/>
        </w:rPr>
        <w:t>T</w:t>
      </w:r>
      <w:r w:rsidRPr="00100C82">
        <w:rPr>
          <w:rFonts w:ascii="Times New Roman" w:hAnsi="Times New Roman" w:cs="Arial"/>
          <w:color w:val="auto"/>
          <w:sz w:val="21"/>
          <w:szCs w:val="21"/>
        </w:rPr>
        <w:t xml:space="preserve">echnologies, CA, USA) so that only those samples with a RIN (RNA integrity number) value equal or greater than 7 were used. </w:t>
      </w:r>
    </w:p>
    <w:p w14:paraId="482A1FA9" w14:textId="77777777" w:rsidR="00156F2F" w:rsidRPr="00100C82" w:rsidRDefault="00156F2F" w:rsidP="00156F2F">
      <w:pPr>
        <w:spacing w:line="480" w:lineRule="auto"/>
        <w:ind w:firstLine="240"/>
        <w:jc w:val="left"/>
        <w:rPr>
          <w:rFonts w:ascii="Times New Roman" w:hAnsi="Times New Roman" w:cs="Arial"/>
          <w:color w:val="auto"/>
          <w:sz w:val="21"/>
          <w:szCs w:val="21"/>
        </w:rPr>
      </w:pPr>
      <w:r w:rsidRPr="00100C82">
        <w:rPr>
          <w:rFonts w:ascii="Times New Roman" w:hAnsi="Times New Roman" w:cs="Arial"/>
          <w:color w:val="auto"/>
          <w:sz w:val="21"/>
          <w:szCs w:val="21"/>
        </w:rPr>
        <w:t>Total RNA was mixed with 1μl of</w:t>
      </w:r>
      <w:bookmarkStart w:id="1" w:name="OLE_LINK3"/>
      <w:r w:rsidRPr="00100C82">
        <w:rPr>
          <w:rFonts w:ascii="Times New Roman" w:hAnsi="Times New Roman" w:cs="Arial"/>
          <w:color w:val="auto"/>
          <w:sz w:val="21"/>
          <w:szCs w:val="21"/>
        </w:rPr>
        <w:t xml:space="preserve"> anchored oligo-dT primer and 1 </w:t>
      </w:r>
      <w:proofErr w:type="spellStart"/>
      <w:r w:rsidRPr="00100C82">
        <w:rPr>
          <w:rFonts w:ascii="Times New Roman" w:hAnsi="Times New Roman" w:cs="Arial"/>
          <w:color w:val="auto"/>
          <w:sz w:val="21"/>
          <w:szCs w:val="21"/>
        </w:rPr>
        <w:t>μ</w:t>
      </w:r>
      <w:bookmarkEnd w:id="1"/>
      <w:r w:rsidRPr="00100C82">
        <w:rPr>
          <w:rFonts w:ascii="Times New Roman" w:hAnsi="Times New Roman" w:cs="Arial"/>
          <w:color w:val="auto"/>
          <w:sz w:val="21"/>
          <w:szCs w:val="21"/>
        </w:rPr>
        <w:t>l</w:t>
      </w:r>
      <w:proofErr w:type="spellEnd"/>
      <w:r w:rsidRPr="00100C82">
        <w:rPr>
          <w:rFonts w:ascii="Times New Roman" w:hAnsi="Times New Roman" w:cs="Arial"/>
          <w:color w:val="auto"/>
          <w:sz w:val="21"/>
          <w:szCs w:val="21"/>
        </w:rPr>
        <w:t xml:space="preserve"> of </w:t>
      </w:r>
      <w:proofErr w:type="spellStart"/>
      <w:r w:rsidRPr="00100C82">
        <w:rPr>
          <w:rFonts w:ascii="Times New Roman" w:hAnsi="Times New Roman" w:cs="Arial"/>
          <w:color w:val="auto"/>
          <w:sz w:val="21"/>
          <w:szCs w:val="21"/>
        </w:rPr>
        <w:t>dNTP</w:t>
      </w:r>
      <w:proofErr w:type="spellEnd"/>
      <w:r w:rsidRPr="00100C82">
        <w:rPr>
          <w:rFonts w:ascii="Times New Roman" w:hAnsi="Times New Roman" w:cs="Arial"/>
          <w:color w:val="auto"/>
          <w:sz w:val="21"/>
          <w:szCs w:val="21"/>
        </w:rPr>
        <w:t xml:space="preserve"> mix (10 </w:t>
      </w:r>
      <w:proofErr w:type="spellStart"/>
      <w:r w:rsidRPr="00100C82">
        <w:rPr>
          <w:rFonts w:ascii="Times New Roman" w:hAnsi="Times New Roman" w:cs="Arial"/>
          <w:color w:val="auto"/>
          <w:sz w:val="21"/>
          <w:szCs w:val="21"/>
        </w:rPr>
        <w:t>mM</w:t>
      </w:r>
      <w:proofErr w:type="spellEnd"/>
      <w:r w:rsidRPr="00100C82">
        <w:rPr>
          <w:rFonts w:ascii="Times New Roman" w:hAnsi="Times New Roman" w:cs="Arial"/>
          <w:color w:val="auto"/>
          <w:sz w:val="21"/>
          <w:szCs w:val="21"/>
        </w:rPr>
        <w:t xml:space="preserve">, </w:t>
      </w:r>
      <w:proofErr w:type="spellStart"/>
      <w:r w:rsidRPr="00100C82">
        <w:rPr>
          <w:rFonts w:ascii="Times New Roman" w:hAnsi="Times New Roman" w:cs="Arial"/>
          <w:color w:val="auto"/>
          <w:sz w:val="21"/>
          <w:szCs w:val="21"/>
        </w:rPr>
        <w:t>Fermentas</w:t>
      </w:r>
      <w:proofErr w:type="spellEnd"/>
      <w:r w:rsidRPr="00100C82">
        <w:rPr>
          <w:rFonts w:ascii="Times New Roman" w:hAnsi="Times New Roman" w:cs="Arial"/>
          <w:color w:val="auto"/>
          <w:sz w:val="21"/>
          <w:szCs w:val="21"/>
        </w:rPr>
        <w:t xml:space="preserve">), denatured at 72 °C for 5 min. Seven microliters of the first-strand reaction mix (containing 0.50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w:t>
      </w:r>
      <w:proofErr w:type="spellStart"/>
      <w:r w:rsidRPr="00100C82">
        <w:rPr>
          <w:rFonts w:ascii="Times New Roman" w:hAnsi="Times New Roman" w:cs="Arial"/>
          <w:color w:val="auto"/>
          <w:sz w:val="21"/>
          <w:szCs w:val="21"/>
        </w:rPr>
        <w:t>SuperScript</w:t>
      </w:r>
      <w:proofErr w:type="spellEnd"/>
      <w:r w:rsidRPr="00100C82">
        <w:rPr>
          <w:rFonts w:ascii="Times New Roman" w:hAnsi="Times New Roman" w:cs="Arial"/>
          <w:color w:val="auto"/>
          <w:sz w:val="21"/>
          <w:szCs w:val="21"/>
        </w:rPr>
        <w:t xml:space="preserve"> II reverse transcriptase (Invitrogen), 0.25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w:t>
      </w:r>
      <w:proofErr w:type="spellStart"/>
      <w:r w:rsidRPr="00100C82">
        <w:rPr>
          <w:rFonts w:ascii="Times New Roman" w:hAnsi="Times New Roman" w:cs="Arial"/>
          <w:color w:val="auto"/>
          <w:sz w:val="21"/>
          <w:szCs w:val="21"/>
        </w:rPr>
        <w:t>RNAse</w:t>
      </w:r>
      <w:proofErr w:type="spellEnd"/>
      <w:r w:rsidRPr="00100C82">
        <w:rPr>
          <w:rFonts w:ascii="Times New Roman" w:hAnsi="Times New Roman" w:cs="Arial"/>
          <w:color w:val="auto"/>
          <w:sz w:val="21"/>
          <w:szCs w:val="21"/>
        </w:rPr>
        <w:t xml:space="preserve"> inhibitor (</w:t>
      </w:r>
      <w:proofErr w:type="spellStart"/>
      <w:r w:rsidRPr="00100C82">
        <w:rPr>
          <w:rFonts w:ascii="Times New Roman" w:hAnsi="Times New Roman" w:cs="Arial"/>
          <w:color w:val="auto"/>
          <w:sz w:val="21"/>
          <w:szCs w:val="21"/>
        </w:rPr>
        <w:t>Clontech</w:t>
      </w:r>
      <w:proofErr w:type="spellEnd"/>
      <w:r w:rsidRPr="00100C82">
        <w:rPr>
          <w:rFonts w:ascii="Times New Roman" w:hAnsi="Times New Roman" w:cs="Arial"/>
          <w:color w:val="auto"/>
          <w:sz w:val="21"/>
          <w:szCs w:val="21"/>
        </w:rPr>
        <w:t xml:space="preserve">), 2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Superscript II First-Strand Buffer (Invitrogen), 0.25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DTT (Invitrogen), 1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betaine (Sigma), 0.9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MgCl</w:t>
      </w:r>
      <w:r w:rsidRPr="00100C82">
        <w:rPr>
          <w:rFonts w:ascii="Times New Roman" w:hAnsi="Times New Roman" w:cs="Arial"/>
          <w:color w:val="auto"/>
          <w:sz w:val="21"/>
          <w:szCs w:val="21"/>
          <w:vertAlign w:val="subscript"/>
        </w:rPr>
        <w:t>2</w:t>
      </w:r>
      <w:r w:rsidRPr="00100C82">
        <w:rPr>
          <w:rFonts w:ascii="Times New Roman" w:hAnsi="Times New Roman" w:cs="Arial"/>
          <w:color w:val="auto"/>
          <w:sz w:val="21"/>
          <w:szCs w:val="21"/>
        </w:rPr>
        <w:t xml:space="preserve"> (Sigma), and 0.1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nuclease-free water (</w:t>
      </w:r>
      <w:proofErr w:type="spellStart"/>
      <w:r w:rsidRPr="00100C82">
        <w:rPr>
          <w:rFonts w:ascii="Times New Roman" w:hAnsi="Times New Roman" w:cs="Arial"/>
          <w:color w:val="auto"/>
          <w:sz w:val="21"/>
          <w:szCs w:val="21"/>
        </w:rPr>
        <w:t>Gibco</w:t>
      </w:r>
      <w:proofErr w:type="spellEnd"/>
      <w:r w:rsidRPr="00100C82">
        <w:rPr>
          <w:rFonts w:ascii="Times New Roman" w:hAnsi="Times New Roman" w:cs="Arial"/>
          <w:color w:val="auto"/>
          <w:sz w:val="21"/>
          <w:szCs w:val="21"/>
        </w:rPr>
        <w:t>)) were added to each sample. Reverse transcription reactions were carried out at 42 °C for 90 min, followed by 10 cycles of (50 °C for 2 min, 42 °C for 2 min). The reverse transcriptase was inactivated at 70 °C for 15 min.</w:t>
      </w:r>
    </w:p>
    <w:p w14:paraId="130D7974" w14:textId="1E740D11" w:rsidR="00156F2F" w:rsidRPr="00100C82" w:rsidRDefault="000E233B" w:rsidP="00156F2F">
      <w:pPr>
        <w:spacing w:line="480" w:lineRule="auto"/>
        <w:ind w:firstLine="240"/>
        <w:jc w:val="left"/>
        <w:rPr>
          <w:rFonts w:ascii="Times New Roman" w:hAnsi="Times New Roman" w:cs="Arial"/>
          <w:color w:val="auto"/>
          <w:sz w:val="21"/>
          <w:szCs w:val="21"/>
        </w:rPr>
      </w:pPr>
      <w:r>
        <w:rPr>
          <w:rFonts w:ascii="Times New Roman" w:hAnsi="Times New Roman" w:cs="Arial"/>
          <w:color w:val="auto"/>
          <w:sz w:val="21"/>
          <w:szCs w:val="21"/>
        </w:rPr>
        <w:t>The s</w:t>
      </w:r>
      <w:r w:rsidR="00156F2F" w:rsidRPr="00100C82">
        <w:rPr>
          <w:rFonts w:ascii="Times New Roman" w:hAnsi="Times New Roman" w:cs="Arial"/>
          <w:color w:val="auto"/>
          <w:sz w:val="21"/>
          <w:szCs w:val="21"/>
        </w:rPr>
        <w:t xml:space="preserve">econd strand synthesis was carried out after adding 2 </w:t>
      </w:r>
      <w:proofErr w:type="spellStart"/>
      <w:r w:rsidR="00156F2F" w:rsidRPr="00100C82">
        <w:rPr>
          <w:rFonts w:ascii="Times New Roman" w:hAnsi="Times New Roman" w:cs="Arial"/>
          <w:color w:val="auto"/>
          <w:sz w:val="21"/>
          <w:szCs w:val="21"/>
        </w:rPr>
        <w:t>μl</w:t>
      </w:r>
      <w:proofErr w:type="spellEnd"/>
      <w:r w:rsidR="00156F2F" w:rsidRPr="00100C82">
        <w:rPr>
          <w:rFonts w:ascii="Times New Roman" w:hAnsi="Times New Roman" w:cs="Arial"/>
          <w:color w:val="auto"/>
          <w:sz w:val="21"/>
          <w:szCs w:val="21"/>
        </w:rPr>
        <w:t xml:space="preserve"> 10X second strand synthesis buffer, 1 </w:t>
      </w:r>
      <w:proofErr w:type="spellStart"/>
      <w:r w:rsidR="00156F2F" w:rsidRPr="00100C82">
        <w:rPr>
          <w:rFonts w:ascii="Times New Roman" w:hAnsi="Times New Roman" w:cs="Arial"/>
          <w:color w:val="auto"/>
          <w:sz w:val="21"/>
          <w:szCs w:val="21"/>
        </w:rPr>
        <w:t>μl</w:t>
      </w:r>
      <w:proofErr w:type="spellEnd"/>
      <w:r w:rsidR="00156F2F" w:rsidRPr="00100C82">
        <w:rPr>
          <w:rFonts w:ascii="Times New Roman" w:hAnsi="Times New Roman" w:cs="Arial"/>
          <w:color w:val="auto"/>
          <w:sz w:val="21"/>
          <w:szCs w:val="21"/>
        </w:rPr>
        <w:t xml:space="preserve"> Enzyme mix, 100 ng cDNA and water to a final reaction volume of 20 </w:t>
      </w:r>
      <w:proofErr w:type="spellStart"/>
      <w:r w:rsidR="00156F2F" w:rsidRPr="00100C82">
        <w:rPr>
          <w:rFonts w:ascii="Times New Roman" w:hAnsi="Times New Roman" w:cs="Arial"/>
          <w:color w:val="auto"/>
          <w:sz w:val="21"/>
          <w:szCs w:val="21"/>
        </w:rPr>
        <w:t>μl</w:t>
      </w:r>
      <w:proofErr w:type="spellEnd"/>
      <w:r w:rsidR="00156F2F" w:rsidRPr="00100C82">
        <w:rPr>
          <w:rFonts w:ascii="Times New Roman" w:hAnsi="Times New Roman" w:cs="Arial"/>
          <w:color w:val="auto"/>
          <w:sz w:val="21"/>
          <w:szCs w:val="21"/>
        </w:rPr>
        <w:t xml:space="preserve">. The reaction was incubated at 16 °C for 150 min and then purified with </w:t>
      </w:r>
      <w:proofErr w:type="spellStart"/>
      <w:r w:rsidR="00156F2F" w:rsidRPr="00100C82">
        <w:rPr>
          <w:rFonts w:ascii="Times New Roman" w:hAnsi="Times New Roman" w:cs="Arial"/>
          <w:color w:val="auto"/>
          <w:sz w:val="21"/>
          <w:szCs w:val="21"/>
        </w:rPr>
        <w:t>AMPure</w:t>
      </w:r>
      <w:proofErr w:type="spellEnd"/>
      <w:r w:rsidR="00156F2F" w:rsidRPr="00100C82">
        <w:rPr>
          <w:rFonts w:ascii="Times New Roman" w:hAnsi="Times New Roman" w:cs="Arial"/>
          <w:color w:val="auto"/>
          <w:sz w:val="21"/>
          <w:szCs w:val="21"/>
        </w:rPr>
        <w:t xml:space="preserve"> XP beads.</w:t>
      </w:r>
    </w:p>
    <w:p w14:paraId="06F90F91" w14:textId="77777777" w:rsidR="00156F2F" w:rsidRPr="00100C82" w:rsidRDefault="00156F2F" w:rsidP="00156F2F">
      <w:pPr>
        <w:spacing w:line="480" w:lineRule="auto"/>
        <w:jc w:val="left"/>
        <w:rPr>
          <w:rFonts w:ascii="Times New Roman" w:hAnsi="Times New Roman" w:cs="Arial"/>
          <w:color w:val="auto"/>
          <w:sz w:val="21"/>
          <w:szCs w:val="21"/>
        </w:rPr>
      </w:pPr>
    </w:p>
    <w:p w14:paraId="1BD6D88A" w14:textId="77777777" w:rsidR="00156F2F" w:rsidRPr="00100C82" w:rsidRDefault="00156F2F" w:rsidP="00156F2F">
      <w:pPr>
        <w:spacing w:line="480" w:lineRule="auto"/>
        <w:jc w:val="left"/>
        <w:rPr>
          <w:rFonts w:ascii="Times New Roman" w:hAnsi="Times New Roman" w:cs="Arial"/>
          <w:b/>
          <w:bCs/>
          <w:color w:val="auto"/>
          <w:sz w:val="21"/>
          <w:szCs w:val="21"/>
        </w:rPr>
      </w:pPr>
      <w:bookmarkStart w:id="2" w:name="_Hlk529953469"/>
      <w:r w:rsidRPr="00100C82">
        <w:rPr>
          <w:rFonts w:ascii="Times New Roman" w:hAnsi="Times New Roman" w:cs="Arial"/>
          <w:b/>
          <w:bCs/>
          <w:color w:val="auto"/>
          <w:sz w:val="21"/>
          <w:szCs w:val="21"/>
        </w:rPr>
        <w:t>Transcriptome libraries preparation</w:t>
      </w:r>
      <w:bookmarkEnd w:id="2"/>
      <w:r w:rsidRPr="00100C82">
        <w:rPr>
          <w:rFonts w:ascii="Times New Roman" w:hAnsi="Times New Roman" w:cs="Arial"/>
          <w:b/>
          <w:bCs/>
          <w:color w:val="auto"/>
          <w:sz w:val="21"/>
          <w:szCs w:val="21"/>
        </w:rPr>
        <w:t xml:space="preserve"> and sequencing</w:t>
      </w:r>
    </w:p>
    <w:p w14:paraId="1C3DD5B7" w14:textId="2B261596" w:rsidR="00156F2F" w:rsidRPr="00100C82" w:rsidRDefault="00156F2F" w:rsidP="00156F2F">
      <w:pPr>
        <w:spacing w:line="480" w:lineRule="auto"/>
        <w:jc w:val="left"/>
        <w:rPr>
          <w:rFonts w:ascii="Times New Roman" w:hAnsi="Times New Roman" w:cs="Arial"/>
          <w:color w:val="auto"/>
          <w:sz w:val="21"/>
          <w:szCs w:val="21"/>
        </w:rPr>
      </w:pPr>
      <w:r w:rsidRPr="00100C82">
        <w:rPr>
          <w:rFonts w:ascii="Times New Roman" w:hAnsi="Times New Roman" w:cs="Arial"/>
          <w:color w:val="auto"/>
          <w:sz w:val="21"/>
          <w:szCs w:val="21"/>
        </w:rPr>
        <w:t xml:space="preserve">Five nanograms of cDNA were used for the </w:t>
      </w:r>
      <w:proofErr w:type="spellStart"/>
      <w:r w:rsidRPr="00100C82">
        <w:rPr>
          <w:rFonts w:ascii="Times New Roman" w:hAnsi="Times New Roman" w:cs="Arial"/>
          <w:color w:val="auto"/>
          <w:sz w:val="21"/>
          <w:szCs w:val="21"/>
        </w:rPr>
        <w:t>tagmentation</w:t>
      </w:r>
      <w:proofErr w:type="spellEnd"/>
      <w:r w:rsidRPr="00100C82">
        <w:rPr>
          <w:rFonts w:ascii="Times New Roman" w:hAnsi="Times New Roman" w:cs="Arial"/>
          <w:color w:val="auto"/>
          <w:sz w:val="21"/>
          <w:szCs w:val="21"/>
        </w:rPr>
        <w:t xml:space="preserve"> reaction using the </w:t>
      </w:r>
      <w:proofErr w:type="spellStart"/>
      <w:r w:rsidRPr="00100C82">
        <w:rPr>
          <w:rFonts w:ascii="Times New Roman" w:hAnsi="Times New Roman" w:cs="Arial"/>
          <w:color w:val="auto"/>
          <w:sz w:val="21"/>
          <w:szCs w:val="21"/>
        </w:rPr>
        <w:t>Nextera</w:t>
      </w:r>
      <w:proofErr w:type="spellEnd"/>
      <w:r w:rsidRPr="00100C82">
        <w:rPr>
          <w:rFonts w:ascii="Times New Roman" w:hAnsi="Times New Roman" w:cs="Arial"/>
          <w:color w:val="auto"/>
          <w:sz w:val="21"/>
          <w:szCs w:val="21"/>
        </w:rPr>
        <w:t xml:space="preserve"> DNA Sample Preparation kit (Illumina), with the addition of 2.5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2× </w:t>
      </w:r>
      <w:proofErr w:type="spellStart"/>
      <w:r w:rsidRPr="00100C82">
        <w:rPr>
          <w:rFonts w:ascii="Times New Roman" w:hAnsi="Times New Roman" w:cs="Arial"/>
          <w:color w:val="auto"/>
          <w:sz w:val="21"/>
          <w:szCs w:val="21"/>
        </w:rPr>
        <w:t>Tagment</w:t>
      </w:r>
      <w:proofErr w:type="spellEnd"/>
      <w:r w:rsidRPr="00100C82">
        <w:rPr>
          <w:rFonts w:ascii="Times New Roman" w:hAnsi="Times New Roman" w:cs="Arial"/>
          <w:color w:val="auto"/>
          <w:sz w:val="21"/>
          <w:szCs w:val="21"/>
        </w:rPr>
        <w:t xml:space="preserve"> DNA Buffer and 1.25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w:t>
      </w:r>
      <w:proofErr w:type="spellStart"/>
      <w:r w:rsidRPr="00100C82">
        <w:rPr>
          <w:rFonts w:ascii="Times New Roman" w:hAnsi="Times New Roman" w:cs="Arial"/>
          <w:color w:val="auto"/>
          <w:sz w:val="21"/>
          <w:szCs w:val="21"/>
        </w:rPr>
        <w:t>Tagment</w:t>
      </w:r>
      <w:proofErr w:type="spellEnd"/>
      <w:r w:rsidRPr="00100C82">
        <w:rPr>
          <w:rFonts w:ascii="Times New Roman" w:hAnsi="Times New Roman" w:cs="Arial"/>
          <w:color w:val="auto"/>
          <w:sz w:val="21"/>
          <w:szCs w:val="21"/>
        </w:rPr>
        <w:t xml:space="preserve"> DNA Enzyme, in a final volume of 5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The </w:t>
      </w:r>
      <w:proofErr w:type="spellStart"/>
      <w:r w:rsidRPr="00100C82">
        <w:rPr>
          <w:rFonts w:ascii="Times New Roman" w:hAnsi="Times New Roman" w:cs="Arial"/>
          <w:color w:val="auto"/>
          <w:sz w:val="21"/>
          <w:szCs w:val="21"/>
        </w:rPr>
        <w:t>tagmentation</w:t>
      </w:r>
      <w:proofErr w:type="spellEnd"/>
      <w:r w:rsidRPr="00100C82">
        <w:rPr>
          <w:rFonts w:ascii="Times New Roman" w:hAnsi="Times New Roman" w:cs="Arial"/>
          <w:color w:val="auto"/>
          <w:sz w:val="21"/>
          <w:szCs w:val="21"/>
        </w:rPr>
        <w:t xml:space="preserve"> reaction was incubated at 55 °C for 10 min. The whole volume was then used for limited-cycle enrichment PCR, with 3.75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w:t>
      </w:r>
      <w:proofErr w:type="spellStart"/>
      <w:r w:rsidRPr="00100C82">
        <w:rPr>
          <w:rFonts w:ascii="Times New Roman" w:hAnsi="Times New Roman" w:cs="Arial"/>
          <w:color w:val="auto"/>
          <w:sz w:val="21"/>
          <w:szCs w:val="21"/>
        </w:rPr>
        <w:t>Nextera</w:t>
      </w:r>
      <w:proofErr w:type="spellEnd"/>
      <w:r w:rsidRPr="00100C82">
        <w:rPr>
          <w:rFonts w:ascii="Times New Roman" w:hAnsi="Times New Roman" w:cs="Arial"/>
          <w:color w:val="auto"/>
          <w:sz w:val="21"/>
          <w:szCs w:val="21"/>
        </w:rPr>
        <w:t xml:space="preserve"> PCR Primer Mix (NPM), 1.25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Index1 primers (N7), and 1.25 </w:t>
      </w:r>
      <w:proofErr w:type="spellStart"/>
      <w:r w:rsidRPr="00100C82">
        <w:rPr>
          <w:rFonts w:ascii="Times New Roman" w:hAnsi="Times New Roman" w:cs="Arial"/>
          <w:color w:val="auto"/>
          <w:sz w:val="21"/>
          <w:szCs w:val="21"/>
        </w:rPr>
        <w:t>μl</w:t>
      </w:r>
      <w:proofErr w:type="spellEnd"/>
      <w:r w:rsidRPr="00100C82">
        <w:rPr>
          <w:rFonts w:ascii="Times New Roman" w:hAnsi="Times New Roman" w:cs="Arial"/>
          <w:color w:val="auto"/>
          <w:sz w:val="21"/>
          <w:szCs w:val="21"/>
        </w:rPr>
        <w:t xml:space="preserve"> PCR Primer Cocktail (PPC). A second amplification round was performed as follows: 72 °C 3 min, 98 °C 30 s, </w:t>
      </w:r>
      <w:r w:rsidRPr="00100C82">
        <w:rPr>
          <w:rFonts w:ascii="Times New Roman" w:hAnsi="Times New Roman" w:cs="Arial"/>
          <w:color w:val="auto"/>
          <w:sz w:val="21"/>
          <w:szCs w:val="21"/>
        </w:rPr>
        <w:lastRenderedPageBreak/>
        <w:t xml:space="preserve">then 5 cycles of (98 °C 1 0s, 63 °C 30 s, 72 °C 3 min). Purification was carried out with a 1:1 ratio of </w:t>
      </w:r>
      <w:proofErr w:type="spellStart"/>
      <w:r w:rsidRPr="00100C82">
        <w:rPr>
          <w:rFonts w:ascii="Times New Roman" w:hAnsi="Times New Roman" w:cs="Arial"/>
          <w:color w:val="auto"/>
          <w:sz w:val="21"/>
          <w:szCs w:val="21"/>
        </w:rPr>
        <w:t>AMPure</w:t>
      </w:r>
      <w:proofErr w:type="spellEnd"/>
      <w:r w:rsidRPr="00100C82">
        <w:rPr>
          <w:rFonts w:ascii="Times New Roman" w:hAnsi="Times New Roman" w:cs="Arial"/>
          <w:color w:val="auto"/>
          <w:sz w:val="21"/>
          <w:szCs w:val="21"/>
        </w:rPr>
        <w:t xml:space="preserve"> XP beads and samples were loaded on a High-Sensitivity DNA chip to check the quality of the library, while quantification was assayed using Qubit High-Sensitivity DNA kits (Invitrogen). Libraries were diluted to a final concentration of 2 </w:t>
      </w:r>
      <w:proofErr w:type="spellStart"/>
      <w:r w:rsidRPr="00100C82">
        <w:rPr>
          <w:rFonts w:ascii="Times New Roman" w:hAnsi="Times New Roman" w:cs="Arial"/>
          <w:color w:val="auto"/>
          <w:sz w:val="21"/>
          <w:szCs w:val="21"/>
        </w:rPr>
        <w:t>nM</w:t>
      </w:r>
      <w:proofErr w:type="spellEnd"/>
      <w:r w:rsidRPr="00100C82">
        <w:rPr>
          <w:rFonts w:ascii="Times New Roman" w:hAnsi="Times New Roman" w:cs="Arial"/>
          <w:color w:val="auto"/>
          <w:sz w:val="21"/>
          <w:szCs w:val="21"/>
        </w:rPr>
        <w:t xml:space="preserve"> and pooled, and 10</w:t>
      </w:r>
      <w:r w:rsidR="00C40A95">
        <w:rPr>
          <w:rFonts w:ascii="Times New Roman" w:hAnsi="Times New Roman" w:cs="Arial"/>
          <w:color w:val="auto"/>
          <w:sz w:val="21"/>
          <w:szCs w:val="21"/>
        </w:rPr>
        <w:t xml:space="preserve"> </w:t>
      </w:r>
      <w:r w:rsidRPr="00100C82">
        <w:rPr>
          <w:rFonts w:ascii="Times New Roman" w:hAnsi="Times New Roman" w:cs="Arial"/>
          <w:color w:val="auto"/>
          <w:sz w:val="21"/>
          <w:szCs w:val="21"/>
        </w:rPr>
        <w:t xml:space="preserve">pmol were sequenced on Illumina </w:t>
      </w:r>
      <w:proofErr w:type="spellStart"/>
      <w:r w:rsidRPr="00100C82">
        <w:rPr>
          <w:rFonts w:ascii="Times New Roman" w:hAnsi="Times New Roman" w:cs="Arial"/>
          <w:color w:val="auto"/>
          <w:sz w:val="21"/>
          <w:szCs w:val="21"/>
        </w:rPr>
        <w:t>HiSeq</w:t>
      </w:r>
      <w:proofErr w:type="spellEnd"/>
      <w:r w:rsidRPr="00100C82">
        <w:rPr>
          <w:rFonts w:ascii="Times New Roman" w:hAnsi="Times New Roman" w:cs="Arial"/>
          <w:color w:val="auto"/>
          <w:sz w:val="21"/>
          <w:szCs w:val="21"/>
        </w:rPr>
        <w:t xml:space="preserve"> 2500. Cartilage samples were sequenced in multiplex, with approximately three lanes. The average sequencing depth was 2.32 million reads per sample (range 0.21 to 17.16 million).</w:t>
      </w:r>
    </w:p>
    <w:p w14:paraId="0B3C8E12" w14:textId="77777777" w:rsidR="00156F2F" w:rsidRPr="00100C82" w:rsidRDefault="00156F2F" w:rsidP="00156F2F">
      <w:pPr>
        <w:spacing w:line="480" w:lineRule="auto"/>
        <w:ind w:firstLine="420"/>
        <w:jc w:val="left"/>
        <w:rPr>
          <w:rFonts w:ascii="Times New Roman" w:hAnsi="Times New Roman" w:cs="Arial"/>
          <w:color w:val="auto"/>
          <w:sz w:val="21"/>
          <w:szCs w:val="21"/>
        </w:rPr>
      </w:pPr>
      <w:r w:rsidRPr="00100C82">
        <w:rPr>
          <w:rFonts w:ascii="Times New Roman" w:hAnsi="Times New Roman" w:cs="Arial"/>
          <w:color w:val="auto"/>
          <w:sz w:val="21"/>
          <w:szCs w:val="21"/>
        </w:rPr>
        <w:t>The same processing methods were applied in subchondral bone and synovium. The average sequencing depth of subchondral bone was 4.17 million reads per sample (range 0.21 to 31.04 million). The average sequencing depth of synovium was 1.88 million reads per sample (range 0.13 to 9.79 million).</w:t>
      </w:r>
    </w:p>
    <w:p w14:paraId="2D23120C" w14:textId="77777777" w:rsidR="00156F2F" w:rsidRPr="00100C82" w:rsidRDefault="00156F2F" w:rsidP="00156F2F">
      <w:pPr>
        <w:spacing w:line="480" w:lineRule="auto"/>
        <w:jc w:val="left"/>
        <w:rPr>
          <w:rFonts w:ascii="Times New Roman" w:hAnsi="Times New Roman" w:cs="Arial"/>
          <w:color w:val="auto"/>
          <w:sz w:val="21"/>
          <w:szCs w:val="21"/>
        </w:rPr>
      </w:pPr>
    </w:p>
    <w:p w14:paraId="3578111B" w14:textId="77777777" w:rsidR="00156F2F" w:rsidRPr="00100C82" w:rsidRDefault="00156F2F" w:rsidP="00156F2F">
      <w:pPr>
        <w:spacing w:line="480" w:lineRule="auto"/>
        <w:jc w:val="left"/>
        <w:rPr>
          <w:rFonts w:ascii="Times New Roman" w:hAnsi="Times New Roman" w:cs="Arial"/>
          <w:b/>
          <w:bCs/>
          <w:color w:val="auto"/>
          <w:sz w:val="21"/>
          <w:szCs w:val="21"/>
        </w:rPr>
      </w:pPr>
      <w:r w:rsidRPr="00100C82">
        <w:rPr>
          <w:rFonts w:ascii="Times New Roman" w:hAnsi="Times New Roman" w:cs="Arial"/>
          <w:b/>
          <w:bCs/>
          <w:color w:val="auto"/>
          <w:sz w:val="21"/>
          <w:szCs w:val="21"/>
        </w:rPr>
        <w:t>Generally Applicable Gene-set Enrichment analysis</w:t>
      </w:r>
    </w:p>
    <w:p w14:paraId="5A34FBDE" w14:textId="77777777" w:rsidR="00156F2F" w:rsidRPr="00100C82" w:rsidRDefault="00156F2F" w:rsidP="00156F2F">
      <w:pPr>
        <w:spacing w:line="480" w:lineRule="auto"/>
        <w:jc w:val="left"/>
        <w:rPr>
          <w:rFonts w:ascii="Times New Roman" w:hAnsi="Times New Roman" w:cs="Arial"/>
          <w:color w:val="auto"/>
          <w:sz w:val="21"/>
          <w:szCs w:val="21"/>
        </w:rPr>
      </w:pPr>
      <w:r w:rsidRPr="00100C82">
        <w:rPr>
          <w:rFonts w:ascii="Times New Roman" w:hAnsi="Times New Roman" w:cs="Arial"/>
          <w:color w:val="auto"/>
          <w:sz w:val="21"/>
          <w:szCs w:val="21"/>
        </w:rPr>
        <w:t xml:space="preserve">Generally Applicable Gene-set Enrichment (GAGE) </w:t>
      </w:r>
      <w:r w:rsidRPr="00100C82">
        <w:rPr>
          <w:rFonts w:ascii="Times New Roman" w:hAnsi="Times New Roman" w:cs="Arial"/>
          <w:color w:val="auto"/>
          <w:sz w:val="21"/>
          <w:szCs w:val="21"/>
        </w:rPr>
        <w:fldChar w:fldCharType="begin"/>
      </w:r>
      <w:r w:rsidRPr="00100C82">
        <w:rPr>
          <w:rFonts w:ascii="Times New Roman" w:hAnsi="Times New Roman" w:cs="Arial"/>
          <w:color w:val="auto"/>
          <w:sz w:val="21"/>
          <w:szCs w:val="21"/>
        </w:rPr>
        <w:instrText xml:space="preserve"> ADDIN EN.CITE &lt;EndNote&gt;&lt;Cite&gt;&lt;Author&gt;Luo&lt;/Author&gt;&lt;Year&gt;2009&lt;/Year&gt;&lt;RecNum&gt;632&lt;/RecNum&gt;&lt;DisplayText&gt;&lt;style face="superscript"&gt;1&lt;/style&gt;&lt;/DisplayText&gt;&lt;record&gt;&lt;rec-number&gt;632&lt;/rec-number&gt;&lt;foreign-keys&gt;&lt;key app="EN" db-id="tz0e0vz2hd2awce0v5rva0fm0pdtx99zvrpx" timestamp="1537927455"&gt;632&lt;/key&gt;&lt;/foreign-keys&gt;&lt;ref-type name="Journal Article"&gt;17&lt;/ref-type&gt;&lt;contributors&gt;&lt;authors&gt;&lt;author&gt;Luo, W.&lt;/author&gt;&lt;author&gt;Friedman, M. S.&lt;/author&gt;&lt;author&gt;Shedden, K.&lt;/author&gt;&lt;author&gt;Hankenson, K. D.&lt;/author&gt;&lt;author&gt;Woolf, P. J.&lt;/author&gt;&lt;/authors&gt;&lt;/contributors&gt;&lt;auth-address&gt;Department of Biomedical Engineering, University of Michigan, Ann Arbor, MI 48109, USA. luo@cshl.edu&lt;/auth-address&gt;&lt;titles&gt;&lt;title&gt;GAGE: generally applicable gene set enrichment for pathway analysis&lt;/title&gt;&lt;secondary-title&gt;BMC Bioinformatics&lt;/secondary-title&gt;&lt;/titles&gt;&lt;periodical&gt;&lt;full-title&gt;BMC Bioinformatics&lt;/full-title&gt;&lt;abbr-1&gt;BMC bioinformatics&lt;/abbr-1&gt;&lt;/periodical&gt;&lt;pages&gt;161&lt;/pages&gt;&lt;volume&gt;10&lt;/volume&gt;&lt;keywords&gt;&lt;keyword&gt;Algorithms&lt;/keyword&gt;&lt;keyword&gt;Bone Morphogenetic Protein 6/genetics/metabolism&lt;/keyword&gt;&lt;keyword&gt;Computer Simulation&lt;/keyword&gt;&lt;keyword&gt;Gene Expression Profiling/*methods&lt;/keyword&gt;&lt;keyword&gt;*Gene Regulatory Networks&lt;/keyword&gt;&lt;keyword&gt;Humans&lt;/keyword&gt;&lt;keyword&gt;Lung Neoplasms/genetics/metabolism&lt;/keyword&gt;&lt;keyword&gt;*Models, Statistical&lt;/keyword&gt;&lt;keyword&gt;Oligonucleotide Array Sequence Analysis&lt;/keyword&gt;&lt;keyword&gt;Reproducibility of Results&lt;/keyword&gt;&lt;keyword&gt;Sensitivity and Specificity&lt;/keyword&gt;&lt;keyword&gt;*Signal Transduction&lt;/keyword&gt;&lt;keyword&gt;*Software&lt;/keyword&gt;&lt;/keywords&gt;&lt;dates&gt;&lt;year&gt;2009&lt;/year&gt;&lt;pub-dates&gt;&lt;date&gt;May 27&lt;/date&gt;&lt;/pub-dates&gt;&lt;/dates&gt;&lt;isbn&gt;1471-2105 (Electronic)&amp;#xD;1471-2105 (Linking)&lt;/isbn&gt;&lt;accession-num&gt;19473525&lt;/accession-num&gt;&lt;urls&gt;&lt;related-urls&gt;&lt;url&gt;https://www.ncbi.nlm.nih.gov/pubmed/19473525&lt;/url&gt;&lt;url&gt;https://www.ncbi.nlm.nih.gov/pmc/articles/PMC2696452/pdf/1471-2105-10-161.pdf&lt;/url&gt;&lt;/related-urls&gt;&lt;/urls&gt;&lt;custom2&gt;PMC2696452&lt;/custom2&gt;&lt;electronic-resource-num&gt;10.1186/1471-2105-10-161&lt;/electronic-resource-num&gt;&lt;/record&gt;&lt;/Cite&gt;&lt;/EndNote&gt;</w:instrText>
      </w:r>
      <w:r w:rsidRPr="00100C82">
        <w:rPr>
          <w:rFonts w:ascii="Times New Roman" w:hAnsi="Times New Roman" w:cs="Arial"/>
          <w:color w:val="auto"/>
          <w:sz w:val="21"/>
          <w:szCs w:val="21"/>
        </w:rPr>
        <w:fldChar w:fldCharType="separate"/>
      </w:r>
      <w:r w:rsidRPr="00100C82">
        <w:rPr>
          <w:rFonts w:ascii="Times New Roman" w:hAnsi="Times New Roman" w:cs="Arial"/>
          <w:noProof/>
          <w:color w:val="auto"/>
          <w:sz w:val="21"/>
          <w:szCs w:val="21"/>
          <w:vertAlign w:val="superscript"/>
        </w:rPr>
        <w:t>1</w:t>
      </w:r>
      <w:r w:rsidRPr="00100C82">
        <w:rPr>
          <w:rFonts w:ascii="Times New Roman" w:hAnsi="Times New Roman" w:cs="Arial"/>
          <w:color w:val="auto"/>
          <w:sz w:val="21"/>
          <w:szCs w:val="21"/>
        </w:rPr>
        <w:fldChar w:fldCharType="end"/>
      </w:r>
      <w:r w:rsidRPr="00100C82">
        <w:rPr>
          <w:rFonts w:ascii="Times New Roman" w:hAnsi="Times New Roman" w:cs="Arial"/>
          <w:color w:val="auto"/>
          <w:sz w:val="21"/>
          <w:szCs w:val="21"/>
        </w:rPr>
        <w:t xml:space="preserve"> is applicable independently of RNA-</w:t>
      </w:r>
      <w:proofErr w:type="spellStart"/>
      <w:r w:rsidRPr="00100C82">
        <w:rPr>
          <w:rFonts w:ascii="Times New Roman" w:hAnsi="Times New Roman" w:cs="Arial"/>
          <w:color w:val="auto"/>
          <w:sz w:val="21"/>
          <w:szCs w:val="21"/>
        </w:rPr>
        <w:t>Seq</w:t>
      </w:r>
      <w:proofErr w:type="spellEnd"/>
      <w:r w:rsidRPr="00100C82">
        <w:rPr>
          <w:rFonts w:ascii="Times New Roman" w:hAnsi="Times New Roman" w:cs="Arial"/>
          <w:color w:val="auto"/>
          <w:sz w:val="21"/>
          <w:szCs w:val="21"/>
        </w:rPr>
        <w:t xml:space="preserve"> data attributes including sample sizes, experimental designs, assay platforms, and other types of heterogeneity, and consistently achieves superior performance over other frequently used methods. Gene set enrichment was calculated using the R/Bioconductor package “gage”</w:t>
      </w:r>
      <w:r w:rsidRPr="00100C82">
        <w:rPr>
          <w:rFonts w:ascii="Times New Roman" w:hAnsi="Times New Roman" w:cs="Arial"/>
          <w:color w:val="auto"/>
          <w:sz w:val="21"/>
          <w:szCs w:val="21"/>
        </w:rPr>
        <w:fldChar w:fldCharType="begin"/>
      </w:r>
      <w:r w:rsidRPr="00100C82">
        <w:rPr>
          <w:rFonts w:ascii="Times New Roman" w:hAnsi="Times New Roman" w:cs="Arial"/>
          <w:color w:val="auto"/>
          <w:sz w:val="21"/>
          <w:szCs w:val="21"/>
        </w:rPr>
        <w:instrText xml:space="preserve"> ADDIN EN.CITE &lt;EndNote&gt;&lt;Cite&gt;&lt;Author&gt;Luo&lt;/Author&gt;&lt;Year&gt;2009&lt;/Year&gt;&lt;RecNum&gt;632&lt;/RecNum&gt;&lt;DisplayText&gt;&lt;style face="superscript"&gt;1&lt;/style&gt;&lt;/DisplayText&gt;&lt;record&gt;&lt;rec-number&gt;632&lt;/rec-number&gt;&lt;foreign-keys&gt;&lt;key app="EN" db-id="tz0e0vz2hd2awce0v5rva0fm0pdtx99zvrpx" timestamp="1537927455"&gt;632&lt;/key&gt;&lt;/foreign-keys&gt;&lt;ref-type name="Journal Article"&gt;17&lt;/ref-type&gt;&lt;contributors&gt;&lt;authors&gt;&lt;author&gt;Luo, W.&lt;/author&gt;&lt;author&gt;Friedman, M. S.&lt;/author&gt;&lt;author&gt;Shedden, K.&lt;/author&gt;&lt;author&gt;Hankenson, K. D.&lt;/author&gt;&lt;author&gt;Woolf, P. J.&lt;/author&gt;&lt;/authors&gt;&lt;/contributors&gt;&lt;auth-address&gt;Department of Biomedical Engineering, University of Michigan, Ann Arbor, MI 48109, USA. luo@cshl.edu&lt;/auth-address&gt;&lt;titles&gt;&lt;title&gt;GAGE: generally applicable gene set enrichment for pathway analysis&lt;/title&gt;&lt;secondary-title&gt;BMC Bioinformatics&lt;/secondary-title&gt;&lt;/titles&gt;&lt;periodical&gt;&lt;full-title&gt;BMC Bioinformatics&lt;/full-title&gt;&lt;abbr-1&gt;BMC bioinformatics&lt;/abbr-1&gt;&lt;/periodical&gt;&lt;pages&gt;161&lt;/pages&gt;&lt;volume&gt;10&lt;/volume&gt;&lt;keywords&gt;&lt;keyword&gt;Algorithms&lt;/keyword&gt;&lt;keyword&gt;Bone Morphogenetic Protein 6/genetics/metabolism&lt;/keyword&gt;&lt;keyword&gt;Computer Simulation&lt;/keyword&gt;&lt;keyword&gt;Gene Expression Profiling/*methods&lt;/keyword&gt;&lt;keyword&gt;*Gene Regulatory Networks&lt;/keyword&gt;&lt;keyword&gt;Humans&lt;/keyword&gt;&lt;keyword&gt;Lung Neoplasms/genetics/metabolism&lt;/keyword&gt;&lt;keyword&gt;*Models, Statistical&lt;/keyword&gt;&lt;keyword&gt;Oligonucleotide Array Sequence Analysis&lt;/keyword&gt;&lt;keyword&gt;Reproducibility of Results&lt;/keyword&gt;&lt;keyword&gt;Sensitivity and Specificity&lt;/keyword&gt;&lt;keyword&gt;*Signal Transduction&lt;/keyword&gt;&lt;keyword&gt;*Software&lt;/keyword&gt;&lt;/keywords&gt;&lt;dates&gt;&lt;year&gt;2009&lt;/year&gt;&lt;pub-dates&gt;&lt;date&gt;May 27&lt;/date&gt;&lt;/pub-dates&gt;&lt;/dates&gt;&lt;isbn&gt;1471-2105 (Electronic)&amp;#xD;1471-2105 (Linking)&lt;/isbn&gt;&lt;accession-num&gt;19473525&lt;/accession-num&gt;&lt;urls&gt;&lt;related-urls&gt;&lt;url&gt;https://www.ncbi.nlm.nih.gov/pubmed/19473525&lt;/url&gt;&lt;url&gt;https://www.ncbi.nlm.nih.gov/pmc/articles/PMC2696452/pdf/1471-2105-10-161.pdf&lt;/url&gt;&lt;/related-urls&gt;&lt;/urls&gt;&lt;custom2&gt;PMC2696452&lt;/custom2&gt;&lt;electronic-resource-num&gt;10.1186/1471-2105-10-161&lt;/electronic-resource-num&gt;&lt;/record&gt;&lt;/Cite&gt;&lt;/EndNote&gt;</w:instrText>
      </w:r>
      <w:r w:rsidRPr="00100C82">
        <w:rPr>
          <w:rFonts w:ascii="Times New Roman" w:hAnsi="Times New Roman" w:cs="Arial"/>
          <w:color w:val="auto"/>
          <w:sz w:val="21"/>
          <w:szCs w:val="21"/>
        </w:rPr>
        <w:fldChar w:fldCharType="separate"/>
      </w:r>
      <w:r w:rsidRPr="00100C82">
        <w:rPr>
          <w:rFonts w:ascii="Times New Roman" w:hAnsi="Times New Roman" w:cs="Arial"/>
          <w:noProof/>
          <w:color w:val="auto"/>
          <w:sz w:val="21"/>
          <w:szCs w:val="21"/>
          <w:vertAlign w:val="superscript"/>
        </w:rPr>
        <w:t>1</w:t>
      </w:r>
      <w:r w:rsidRPr="00100C82">
        <w:rPr>
          <w:rFonts w:ascii="Times New Roman" w:hAnsi="Times New Roman" w:cs="Arial"/>
          <w:color w:val="auto"/>
          <w:sz w:val="21"/>
          <w:szCs w:val="21"/>
        </w:rPr>
        <w:fldChar w:fldCharType="end"/>
      </w:r>
      <w:r w:rsidRPr="00100C82">
        <w:rPr>
          <w:rFonts w:ascii="Times New Roman" w:hAnsi="Times New Roman" w:cs="Arial"/>
          <w:color w:val="auto"/>
          <w:sz w:val="21"/>
          <w:szCs w:val="21"/>
        </w:rPr>
        <w:t xml:space="preserve"> with functional terms from human go ontology as gene sets in each subgroup. Enriched GO terms were determined by comparing each subgroup against the others with a significance </w:t>
      </w:r>
      <w:proofErr w:type="spellStart"/>
      <w:r w:rsidRPr="00100C82">
        <w:rPr>
          <w:rFonts w:ascii="Times New Roman" w:hAnsi="Times New Roman" w:cs="Arial"/>
          <w:color w:val="auto"/>
          <w:sz w:val="21"/>
          <w:szCs w:val="21"/>
        </w:rPr>
        <w:t>cutoff</w:t>
      </w:r>
      <w:proofErr w:type="spellEnd"/>
      <w:r w:rsidRPr="00100C82">
        <w:rPr>
          <w:rFonts w:ascii="Times New Roman" w:hAnsi="Times New Roman" w:cs="Arial"/>
          <w:color w:val="auto"/>
          <w:sz w:val="21"/>
          <w:szCs w:val="21"/>
        </w:rPr>
        <w:t xml:space="preserve"> of FDR &lt; 0.05. Gage uses </w:t>
      </w:r>
      <w:proofErr w:type="spellStart"/>
      <w:proofErr w:type="gramStart"/>
      <w:r w:rsidRPr="00100C82">
        <w:rPr>
          <w:rFonts w:ascii="Times New Roman" w:hAnsi="Times New Roman" w:cs="Arial"/>
          <w:color w:val="auto"/>
          <w:sz w:val="21"/>
          <w:szCs w:val="21"/>
        </w:rPr>
        <w:t>stat.mean</w:t>
      </w:r>
      <w:proofErr w:type="spellEnd"/>
      <w:proofErr w:type="gramEnd"/>
      <w:r w:rsidRPr="00100C82">
        <w:rPr>
          <w:rFonts w:ascii="Times New Roman" w:hAnsi="Times New Roman" w:cs="Arial"/>
          <w:color w:val="auto"/>
          <w:sz w:val="21"/>
          <w:szCs w:val="21"/>
        </w:rPr>
        <w:t xml:space="preserve"> which is  the average fold change of per gene set to indicates the direction of the changes. The results of gage were plotted by ggplot2. </w:t>
      </w:r>
    </w:p>
    <w:p w14:paraId="3DAF634B" w14:textId="77777777" w:rsidR="00156F2F" w:rsidRPr="00100C82" w:rsidRDefault="00156F2F" w:rsidP="00156F2F">
      <w:pPr>
        <w:spacing w:line="480" w:lineRule="auto"/>
        <w:jc w:val="left"/>
        <w:rPr>
          <w:rFonts w:ascii="Times New Roman" w:hAnsi="Times New Roman" w:cs="Arial"/>
          <w:color w:val="auto"/>
          <w:sz w:val="21"/>
          <w:szCs w:val="21"/>
        </w:rPr>
      </w:pPr>
    </w:p>
    <w:p w14:paraId="0C810074" w14:textId="77777777" w:rsidR="00156F2F" w:rsidRPr="00100C82" w:rsidRDefault="00156F2F" w:rsidP="00156F2F">
      <w:pPr>
        <w:spacing w:line="480" w:lineRule="auto"/>
        <w:jc w:val="left"/>
        <w:rPr>
          <w:rFonts w:ascii="Times New Roman" w:hAnsi="Times New Roman" w:cs="Arial"/>
          <w:b/>
          <w:bCs/>
          <w:color w:val="auto"/>
          <w:sz w:val="21"/>
          <w:szCs w:val="21"/>
        </w:rPr>
      </w:pPr>
      <w:r w:rsidRPr="00100C82">
        <w:rPr>
          <w:rFonts w:ascii="Times New Roman" w:hAnsi="Times New Roman" w:cs="Arial"/>
          <w:b/>
          <w:bCs/>
          <w:color w:val="auto"/>
          <w:sz w:val="21"/>
          <w:szCs w:val="21"/>
        </w:rPr>
        <w:t xml:space="preserve">Differentially expressed gene </w:t>
      </w:r>
    </w:p>
    <w:p w14:paraId="4BFB0B33" w14:textId="77777777" w:rsidR="00156F2F" w:rsidRPr="00100C82" w:rsidRDefault="00156F2F" w:rsidP="00156F2F">
      <w:pPr>
        <w:spacing w:line="480" w:lineRule="auto"/>
        <w:jc w:val="left"/>
        <w:rPr>
          <w:rFonts w:ascii="Times New Roman" w:hAnsi="Times New Roman" w:cs="Arial"/>
          <w:color w:val="auto"/>
          <w:sz w:val="21"/>
          <w:szCs w:val="21"/>
        </w:rPr>
      </w:pPr>
      <w:r w:rsidRPr="00100C82">
        <w:rPr>
          <w:rFonts w:ascii="Times New Roman" w:hAnsi="Times New Roman" w:cs="Arial"/>
          <w:color w:val="auto"/>
          <w:sz w:val="21"/>
          <w:szCs w:val="21"/>
        </w:rPr>
        <w:t>To identify differentially expressed genes (DEGs) among the metabolic subgroups, we used R/Bioconductor package “DEseq2”</w:t>
      </w:r>
      <w:r w:rsidRPr="00100C82">
        <w:rPr>
          <w:rFonts w:ascii="Times New Roman" w:hAnsi="Times New Roman" w:cs="Arial"/>
          <w:color w:val="auto"/>
          <w:sz w:val="21"/>
          <w:szCs w:val="21"/>
        </w:rPr>
        <w:fldChar w:fldCharType="begin"/>
      </w:r>
      <w:r w:rsidRPr="00100C82">
        <w:rPr>
          <w:rFonts w:ascii="Times New Roman" w:hAnsi="Times New Roman" w:cs="Arial"/>
          <w:color w:val="auto"/>
          <w:sz w:val="21"/>
          <w:szCs w:val="21"/>
        </w:rPr>
        <w:instrText xml:space="preserve"> ADDIN EN.CITE &lt;EndNote&gt;&lt;Cite&gt;&lt;Author&gt;Love&lt;/Author&gt;&lt;Year&gt;2014&lt;/Year&gt;&lt;RecNum&gt;662&lt;/RecNum&gt;&lt;DisplayText&gt;&lt;style face="superscript"&gt;2&lt;/style&gt;&lt;/DisplayText&gt;&lt;record&gt;&lt;rec-number&gt;662&lt;/rec-number&gt;&lt;foreign-keys&gt;&lt;key app="EN" db-id="tz0e0vz2hd2awce0v5rva0fm0pdtx99zvrpx" timestamp="1553871486"&gt;662&lt;/key&gt;&lt;/foreign-keys&gt;&lt;ref-type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Biol&lt;/full-title&gt;&lt;abbr-1&gt;Genome biology&lt;/abbr-1&gt;&lt;/periodical&gt;&lt;pages&gt;550&lt;/pages&gt;&lt;volume&gt;15&lt;/volume&gt;&lt;number&gt;12&lt;/number&gt;&lt;keywords&gt;&lt;keyword&gt;Algorithms&lt;/keyword&gt;&lt;keyword&gt;Computational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Pr="00100C82">
        <w:rPr>
          <w:rFonts w:ascii="Times New Roman" w:hAnsi="Times New Roman" w:cs="Arial"/>
          <w:color w:val="auto"/>
          <w:sz w:val="21"/>
          <w:szCs w:val="21"/>
        </w:rPr>
        <w:fldChar w:fldCharType="separate"/>
      </w:r>
      <w:r w:rsidRPr="00100C82">
        <w:rPr>
          <w:rFonts w:ascii="Times New Roman" w:hAnsi="Times New Roman" w:cs="Arial"/>
          <w:noProof/>
          <w:color w:val="auto"/>
          <w:sz w:val="21"/>
          <w:szCs w:val="21"/>
          <w:vertAlign w:val="superscript"/>
        </w:rPr>
        <w:t>2</w:t>
      </w:r>
      <w:r w:rsidRPr="00100C82">
        <w:rPr>
          <w:rFonts w:ascii="Times New Roman" w:hAnsi="Times New Roman" w:cs="Arial"/>
          <w:color w:val="auto"/>
          <w:sz w:val="21"/>
          <w:szCs w:val="21"/>
        </w:rPr>
        <w:fldChar w:fldCharType="end"/>
      </w:r>
      <w:r w:rsidRPr="00100C82">
        <w:rPr>
          <w:rFonts w:ascii="Times New Roman" w:hAnsi="Times New Roman" w:cs="Arial"/>
          <w:color w:val="auto"/>
          <w:sz w:val="21"/>
          <w:szCs w:val="21"/>
        </w:rPr>
        <w:t xml:space="preserve"> on gene-level fragment counts. For DE analysis, gene expression was compared between each paired subgroup. We calculated the numbers of DEGs with a cut-off FDR&lt;=0.05 and log2(Fold Chang(FC)) &gt;=2, and the numbers were illustrated by R package “VennDiagram”</w:t>
      </w:r>
      <w:r w:rsidRPr="00100C82">
        <w:rPr>
          <w:rFonts w:ascii="Times New Roman" w:hAnsi="Times New Roman" w:cs="Arial"/>
          <w:color w:val="auto"/>
          <w:sz w:val="21"/>
          <w:szCs w:val="21"/>
        </w:rPr>
        <w:fldChar w:fldCharType="begin"/>
      </w:r>
      <w:r w:rsidRPr="00100C82">
        <w:rPr>
          <w:rFonts w:ascii="Times New Roman" w:hAnsi="Times New Roman" w:cs="Arial"/>
          <w:color w:val="auto"/>
          <w:sz w:val="21"/>
          <w:szCs w:val="21"/>
        </w:rPr>
        <w:instrText xml:space="preserve"> ADDIN EN.CITE &lt;EndNote&gt;&lt;Cite&gt;&lt;Author&gt;Chen&lt;/Author&gt;&lt;Year&gt;2011&lt;/Year&gt;&lt;RecNum&gt;663&lt;/RecNum&gt;&lt;DisplayText&gt;&lt;style face="superscript"&gt;3&lt;/style&gt;&lt;/DisplayText&gt;&lt;record&gt;&lt;rec-number&gt;663&lt;/rec-number&gt;&lt;foreign-keys&gt;&lt;key app="EN" db-id="tz0e0vz2hd2awce0v5rva0fm0pdtx99zvrpx" timestamp="1553905517"&gt;663&lt;/key&gt;&lt;/foreign-keys&gt;&lt;ref-type name="Journal Article"&gt;17&lt;/ref-type&gt;&lt;contributors&gt;&lt;authors&gt;&lt;author&gt;Chen, H.&lt;/author&gt;&lt;author&gt;Boutros, P. C.&lt;/author&gt;&lt;/authors&gt;&lt;/contributors&gt;&lt;auth-address&gt;Informatics and Biocomputing Platform, Ontario Institute for Cancer Research, MaRS Centre, South Tower, 101 College Street, Suite 800, Toronto, Ontario, M5G 0A3, Canada.&lt;/auth-address&gt;&lt;titles&gt;&lt;title&gt;VennDiagram: a package for the generation of highly-customizable Venn and Euler diagrams in R&lt;/title&gt;&lt;secondary-title&gt;BMC Bioinformatics&lt;/secondary-title&gt;&lt;/titles&gt;&lt;periodical&gt;&lt;full-title&gt;BMC Bioinformatics&lt;/full-title&gt;&lt;abbr-1&gt;BMC bioinformatics&lt;/abbr-1&gt;&lt;/periodical&gt;&lt;pages&gt;35&lt;/pages&gt;&lt;volume&gt;12&lt;/volume&gt;&lt;keywords&gt;&lt;keyword&gt;Computational Biology/*methods&lt;/keyword&gt;&lt;keyword&gt;Computer Graphics&lt;/keyword&gt;&lt;keyword&gt;*Data Interpretation, Statistical&lt;/keyword&gt;&lt;keyword&gt;*Software&lt;/keyword&gt;&lt;/keywords&gt;&lt;dates&gt;&lt;year&gt;2011&lt;/year&gt;&lt;pub-dates&gt;&lt;date&gt;Jan 26&lt;/date&gt;&lt;/pub-dates&gt;&lt;/dates&gt;&lt;isbn&gt;1471-2105 (Electronic)&amp;#xD;1471-2105 (Linking)&lt;/isbn&gt;&lt;accession-num&gt;21269502&lt;/accession-num&gt;&lt;urls&gt;&lt;related-urls&gt;&lt;url&gt;https://www.ncbi.nlm.nih.gov/pubmed/21269502&lt;/url&gt;&lt;/related-urls&gt;&lt;/urls&gt;&lt;custom2&gt;PMC3041657&lt;/custom2&gt;&lt;electronic-resource-num&gt;10.1186/1471-2105-12-35&lt;/electronic-resource-num&gt;&lt;/record&gt;&lt;/Cite&gt;&lt;/EndNote&gt;</w:instrText>
      </w:r>
      <w:r w:rsidRPr="00100C82">
        <w:rPr>
          <w:rFonts w:ascii="Times New Roman" w:hAnsi="Times New Roman" w:cs="Arial"/>
          <w:color w:val="auto"/>
          <w:sz w:val="21"/>
          <w:szCs w:val="21"/>
        </w:rPr>
        <w:fldChar w:fldCharType="separate"/>
      </w:r>
      <w:r w:rsidRPr="00100C82">
        <w:rPr>
          <w:rFonts w:ascii="Times New Roman" w:hAnsi="Times New Roman" w:cs="Arial"/>
          <w:noProof/>
          <w:color w:val="auto"/>
          <w:sz w:val="21"/>
          <w:szCs w:val="21"/>
          <w:vertAlign w:val="superscript"/>
        </w:rPr>
        <w:t>3</w:t>
      </w:r>
      <w:r w:rsidRPr="00100C82">
        <w:rPr>
          <w:rFonts w:ascii="Times New Roman" w:hAnsi="Times New Roman" w:cs="Arial"/>
          <w:color w:val="auto"/>
          <w:sz w:val="21"/>
          <w:szCs w:val="21"/>
        </w:rPr>
        <w:fldChar w:fldCharType="end"/>
      </w:r>
      <w:r w:rsidRPr="00100C82">
        <w:rPr>
          <w:rFonts w:ascii="Times New Roman" w:hAnsi="Times New Roman" w:cs="Arial"/>
          <w:color w:val="auto"/>
          <w:sz w:val="21"/>
          <w:szCs w:val="21"/>
        </w:rPr>
        <w:t xml:space="preserve">. We used the </w:t>
      </w:r>
      <w:proofErr w:type="spellStart"/>
      <w:r w:rsidRPr="00100C82">
        <w:rPr>
          <w:rFonts w:ascii="Times New Roman" w:hAnsi="Times New Roman" w:cs="Arial"/>
          <w:color w:val="auto"/>
          <w:sz w:val="21"/>
          <w:szCs w:val="21"/>
        </w:rPr>
        <w:t>Reactome</w:t>
      </w:r>
      <w:proofErr w:type="spellEnd"/>
      <w:r w:rsidRPr="00100C82">
        <w:rPr>
          <w:rFonts w:ascii="Times New Roman" w:hAnsi="Times New Roman" w:cs="Arial"/>
          <w:color w:val="auto"/>
          <w:sz w:val="21"/>
          <w:szCs w:val="21"/>
        </w:rPr>
        <w:t xml:space="preserve"> pathway database to construct functional interaction (FI) networks to evaluate the functions of DEGs in each cluster. </w:t>
      </w:r>
    </w:p>
    <w:p w14:paraId="78E9920B" w14:textId="77777777" w:rsidR="00156F2F" w:rsidRPr="00100C82" w:rsidRDefault="00156F2F" w:rsidP="00156F2F">
      <w:pPr>
        <w:spacing w:line="480" w:lineRule="auto"/>
        <w:jc w:val="left"/>
        <w:rPr>
          <w:rFonts w:ascii="Times New Roman" w:hAnsi="Times New Roman" w:cs="Arial"/>
          <w:sz w:val="21"/>
          <w:szCs w:val="21"/>
        </w:rPr>
      </w:pPr>
    </w:p>
    <w:p w14:paraId="3394AD21" w14:textId="77777777" w:rsidR="00156F2F" w:rsidRPr="00100C82" w:rsidRDefault="00156F2F" w:rsidP="00156F2F">
      <w:pPr>
        <w:spacing w:line="480" w:lineRule="auto"/>
        <w:jc w:val="left"/>
        <w:rPr>
          <w:rFonts w:ascii="Times New Roman" w:hAnsi="Times New Roman" w:cs="Arial"/>
          <w:b/>
          <w:bCs/>
          <w:sz w:val="21"/>
          <w:szCs w:val="21"/>
        </w:rPr>
      </w:pPr>
      <w:r w:rsidRPr="00100C82">
        <w:rPr>
          <w:rFonts w:ascii="Times New Roman" w:hAnsi="Times New Roman" w:cs="Arial"/>
          <w:b/>
          <w:bCs/>
          <w:sz w:val="21"/>
          <w:szCs w:val="21"/>
        </w:rPr>
        <w:t>Ligand-receptor pair connectivity mapping</w:t>
      </w:r>
    </w:p>
    <w:p w14:paraId="69C28BA6" w14:textId="77777777" w:rsidR="00156F2F" w:rsidRPr="00100C82" w:rsidRDefault="00156F2F" w:rsidP="00156F2F">
      <w:pPr>
        <w:spacing w:line="480" w:lineRule="auto"/>
        <w:jc w:val="left"/>
        <w:rPr>
          <w:rFonts w:ascii="Times New Roman" w:hAnsi="Times New Roman" w:cs="Arial"/>
          <w:sz w:val="21"/>
          <w:szCs w:val="21"/>
        </w:rPr>
      </w:pPr>
      <w:r w:rsidRPr="00100C82">
        <w:rPr>
          <w:rFonts w:ascii="Times New Roman" w:hAnsi="Times New Roman" w:cs="Arial"/>
          <w:sz w:val="21"/>
          <w:szCs w:val="21"/>
        </w:rPr>
        <w:t>The list of ligand-receptor pairs from a recent study</w:t>
      </w:r>
      <w:r w:rsidRPr="00100C82">
        <w:rPr>
          <w:rFonts w:ascii="Times New Roman" w:hAnsi="Times New Roman" w:cs="Arial"/>
          <w:sz w:val="21"/>
          <w:szCs w:val="21"/>
        </w:rPr>
        <w:fldChar w:fldCharType="begin">
          <w:fldData xml:space="preserve">PEVuZE5vdGU+PENpdGU+PEF1dGhvcj5SYW1pbG93c2tpPC9BdXRob3I+PFllYXI+MjAxNTwvWWVh
cj48UmVjTnVtPjU0NzwvUmVjTnVtPjxEaXNwbGF5VGV4dD48c3R5bGUgZmFjZT0ic3VwZXJzY3Jp
cHQiPjQ8L3N0eWxlPjwvRGlzcGxheVRleHQ+PHJlY29yZD48cmVjLW51bWJlcj41NDc8L3JlYy1u
dW1iZXI+PGZvcmVpZ24ta2V5cz48a2V5IGFwcD0iRU4iIGRiLWlkPSJ0ejBlMHZ6MmhkMmF3Y2Uw
djVydmEwZm0wcGR0eDk5enZycHgiIHRpbWVzdGFtcD0iMTUxOTI2OTA3NyI+NTQ3PC9rZXk+PGtl
eSBhcHA9IkVOV2ViIiBkYi1pZD0iIj4wPC9rZXk+PC9mb3JlaWduLWtleXM+PHJlZi10eXBlIG5h
bWU9IkpvdXJuYWwgQXJ0aWNsZSI+MTc8L3JlZi10eXBlPjxjb250cmlidXRvcnM+PGF1dGhvcnM+
PGF1dGhvcj5SYW1pbG93c2tpLCBKLiBBLjwvYXV0aG9yPjxhdXRob3I+R29sZGJlcmcsIFQuPC9h
dXRob3I+PGF1dGhvcj5IYXJzaGJhcmdlciwgSi48L2F1dGhvcj48YXV0aG9yPktsb3BwbWFubiwg
RS48L2F1dGhvcj48YXV0aG9yPkxpemlvLCBNLjwvYXV0aG9yPjxhdXRob3I+U2F0YWdvcGFtLCBW
LiBQLjwvYXV0aG9yPjxhdXRob3I+SXRvaCwgTS48L2F1dGhvcj48YXV0aG9yPkthd2FqaSwgSC48
L2F1dGhvcj48YXV0aG9yPkNhcm5pbmNpLCBQLjwvYXV0aG9yPjxhdXRob3I+Um9zdCwgQi48L2F1
dGhvcj48YXV0aG9yPkZvcnJlc3QsIEEuIFIuPC9hdXRob3I+PC9hdXRob3JzPjwvY29udHJpYnV0
b3JzPjxhdXRoLWFkZHJlc3M+UklLRU4gQ2VudGVyIGZvciBMaWZlIFNjaWVuY2UgVGVjaG5vbG9n
aWVzLCBEaXZpc2lvbiBvZiBHZW5vbWljIFRlY2hub2xvZ2llcywgMS03LTIyIFN1ZWhpcm8tY2hv
LCBUc3VydW1pLWt1LCBZb2tvaGFtYSAyMzAtMDA0NSBKYXBhbi4mI3hEOzFdIERlcGFydG1lbnQg
Zm9yIEJpb2luZm9ybWF0aWNzIGFuZCBDb21wdXRhdGlvbmFsIEJpb2xvZ3ktSTEyLCBUZWNobmlz
Y2hlIFVuaXZlcnNpdGF0IE11bmNoZW4gKFRVTSksIEJvbHR6bWFubnN0cmFzc2UgMywgODU3NDgg
R2FyY2hpbmcsIEdlcm1hbnkgWzJdIFRVTSBHcmFkdWF0ZSBTY2hvb2wsIENlbnRlciBvZiBEb2N0
b3JhbCBTdHVkaWVzIGluIEluZm9ybWF0aWNzIGFuZCBpdHMgQXBwbGljYXRpb25zIChDZURvU0lB
KSwgQm9sdHptYW5uc3RyYXNzZSAxMSwgODU3NDggR2FyY2hpbmcsIEdlcm1hbnkuJiN4RDtEZXBh
cnRtZW50IGZvciBCaW9pbmZvcm1hdGljcyBhbmQgQ29tcHV0YXRpb25hbCBCaW9sb2d5LUkxMiwg
VGVjaG5pc2NoZSBVbml2ZXJzaXRhdCBNdW5jaGVuIChUVU0pLCBCb2x0em1hbm5zdHJhc3NlIDMs
IDg1NzQ4IEdhcmNoaW5nLCBHZXJtYW55LiYjeEQ7THV4ZW1ib3VyZyBDZW50cmUgZm9yIFN5c3Rl
bXMgQmlvbWVkaWNpbmUsIENhbXB1cyBCZWx2YWwsIDcgQXZlbnVlIGRlcyBIYXV0cyBGb3VybmVh
dXgsIEwtNDM2MiBCZWx2YWwsIEx1eGVtYm91cmcuJiN4RDsxXSBSSUtFTiBDZW50ZXIgZm9yIExp
ZmUgU2NpZW5jZSBUZWNobm9sb2dpZXMsIERpdmlzaW9uIG9mIEdlbm9taWMgVGVjaG5vbG9naWVz
LCAxLTctMjIgU3VlaGlyby1jaG8sIFRzdXJ1bWkta3UsIFlva29oYW1hIDIzMC0wMDQ1IEphcGFu
IFsyXSBSSUtFTiBQcmV2ZW50aXZlIE1lZGljaW5lIGFuZCBEaWFnbm9zaXMgSW5ub3ZhdGlvbiBQ
cm9ncmFtLCAyLTEgSGlyb3Nhd2EsIFdha28sIFNhaXRhbWEgMzUxLTAxOTgsIEphcGFuLiYjeEQ7
MV0gUklLRU4gQ2VudGVyIGZvciBMaWZlIFNjaWVuY2UgVGVjaG5vbG9naWVzLCBEaXZpc2lvbiBv
ZiBHZW5vbWljIFRlY2hub2xvZ2llcywgMS03LTIyIFN1ZWhpcm8tY2hvLCBUc3VydW1pLWt1LCBZ
b2tvaGFtYSAyMzAtMDA0NSBKYXBhbiBbMl0gSGFycnkgUGVya2lucyBJbnN0aXR1dGUgb2YgTWVk
aWNhbCBSZXNlYXJjaCwgUUVJSSBNZWRpY2FsIENlbnRyZSBhbmQgQ2VudHJlIGZvciBNZWRpY2Fs
IFJlc2VhcmNoLCB0aGUgVW5pdmVyc2l0eSBvZiBXZXN0ZXJuIEF1c3RyYWxpYSwgUE8gQm94IDcy
MTQsIDYgVmVyZHVuIFN0cmVldCwgTmVkbGFuZHMsIFBlcnRoLCBXZXN0ZXJuIEF1c3RyYWxpYSA2
MDA4LCBBdXN0cmFsaWEuPC9hdXRoLWFkZHJlc3M+PHRpdGxlcz48dGl0bGU+QSBkcmFmdCBuZXR3
b3JrIG9mIGxpZ2FuZC1yZWNlcHRvci1tZWRpYXRlZCBtdWx0aWNlbGx1bGFyIHNpZ25hbGxpbmcg
aW4gaHVtYW48L3RpdGxlPjxzZWNvbmRhcnktdGl0bGU+TmF0IENvbW11bjwvc2Vjb25kYXJ5LXRp
dGxlPjwvdGl0bGVzPjxwZXJpb2RpY2FsPjxmdWxsLXRpdGxlPk5hdCBDb21tdW48L2Z1bGwtdGl0
bGU+PC9wZXJpb2RpY2FsPjxwYWdlcz43ODY2PC9wYWdlcz48dm9sdW1lPjY8L3ZvbHVtZT48a2V5
d29yZHM+PGtleXdvcmQ+QW5pbWFsczwva2V5d29yZD48a2V5d29yZD4qQ2VsbCBDb21tdW5pY2F0
aW9uPC9rZXl3b3JkPjxrZXl3b3JkPkV2b2x1dGlvbiwgTW9sZWN1bGFyPC9rZXl3b3JkPjxrZXl3
b3JkPkh1bWFuczwva2V5d29yZD48a2V5d29yZD5MaWdhbmRzPC9rZXl3b3JkPjxrZXl3b3JkPlJl
Y2VwdG9ycywgQ2VsbCBTdXJmYWNlLyptZXRhYm9saXNtPC9rZXl3b3JkPjxrZXl3b3JkPlNvZnR3
YXJlPC9rZXl3b3JkPjwva2V5d29yZHM+PGRhdGVzPjx5ZWFyPjIwMTU8L3llYXI+PHB1Yi1kYXRl
cz48ZGF0ZT5KdWwgMjI8L2RhdGU+PC9wdWItZGF0ZXM+PC9kYXRlcz48aXNibj4yMDQxLTE3MjMg
KEVsZWN0cm9uaWMpJiN4RDsyMDQxLTE3MjMgKExpbmtpbmcpPC9pc2JuPjxhY2Nlc3Npb24tbnVt
PjI2MTk4MzE5PC9hY2Nlc3Npb24tbnVtPjx1cmxzPjxyZWxhdGVkLXVybHM+PHVybD5odHRwczov
L3d3dy5uY2JpLm5sbS5uaWguZ292L3B1Ym1lZC8yNjE5ODMxOTwvdXJsPjwvcmVsYXRlZC11cmxz
PjwvdXJscz48Y3VzdG9tMj5QTUM0NTI1MTc4PC9jdXN0b20yPjxlbGVjdHJvbmljLXJlc291cmNl
LW51bT4xMC4xMDM4L25jb21tczg4NjY8L2VsZWN0cm9uaWMtcmVzb3VyY2UtbnVtPjwvcmVjb3Jk
PjwvQ2l0ZT48L0VuZE5vdGU+
</w:fldData>
        </w:fldChar>
      </w:r>
      <w:r w:rsidRPr="00100C82">
        <w:rPr>
          <w:rFonts w:ascii="Times New Roman" w:hAnsi="Times New Roman" w:cs="Arial"/>
          <w:sz w:val="21"/>
          <w:szCs w:val="21"/>
        </w:rPr>
        <w:instrText xml:space="preserve"> ADDIN EN.CITE </w:instrText>
      </w:r>
      <w:r w:rsidRPr="00100C82">
        <w:rPr>
          <w:rFonts w:ascii="Times New Roman" w:hAnsi="Times New Roman" w:cs="Arial"/>
          <w:sz w:val="21"/>
          <w:szCs w:val="21"/>
        </w:rPr>
        <w:fldChar w:fldCharType="begin">
          <w:fldData xml:space="preserve">PEVuZE5vdGU+PENpdGU+PEF1dGhvcj5SYW1pbG93c2tpPC9BdXRob3I+PFllYXI+MjAxNTwvWWVh
cj48UmVjTnVtPjU0NzwvUmVjTnVtPjxEaXNwbGF5VGV4dD48c3R5bGUgZmFjZT0ic3VwZXJzY3Jp
cHQiPjQ8L3N0eWxlPjwvRGlzcGxheVRleHQ+PHJlY29yZD48cmVjLW51bWJlcj41NDc8L3JlYy1u
dW1iZXI+PGZvcmVpZ24ta2V5cz48a2V5IGFwcD0iRU4iIGRiLWlkPSJ0ejBlMHZ6MmhkMmF3Y2Uw
djVydmEwZm0wcGR0eDk5enZycHgiIHRpbWVzdGFtcD0iMTUxOTI2OTA3NyI+NTQ3PC9rZXk+PGtl
eSBhcHA9IkVOV2ViIiBkYi1pZD0iIj4wPC9rZXk+PC9mb3JlaWduLWtleXM+PHJlZi10eXBlIG5h
bWU9IkpvdXJuYWwgQXJ0aWNsZSI+MTc8L3JlZi10eXBlPjxjb250cmlidXRvcnM+PGF1dGhvcnM+
PGF1dGhvcj5SYW1pbG93c2tpLCBKLiBBLjwvYXV0aG9yPjxhdXRob3I+R29sZGJlcmcsIFQuPC9h
dXRob3I+PGF1dGhvcj5IYXJzaGJhcmdlciwgSi48L2F1dGhvcj48YXV0aG9yPktsb3BwbWFubiwg
RS48L2F1dGhvcj48YXV0aG9yPkxpemlvLCBNLjwvYXV0aG9yPjxhdXRob3I+U2F0YWdvcGFtLCBW
LiBQLjwvYXV0aG9yPjxhdXRob3I+SXRvaCwgTS48L2F1dGhvcj48YXV0aG9yPkthd2FqaSwgSC48
L2F1dGhvcj48YXV0aG9yPkNhcm5pbmNpLCBQLjwvYXV0aG9yPjxhdXRob3I+Um9zdCwgQi48L2F1
dGhvcj48YXV0aG9yPkZvcnJlc3QsIEEuIFIuPC9hdXRob3I+PC9hdXRob3JzPjwvY29udHJpYnV0
b3JzPjxhdXRoLWFkZHJlc3M+UklLRU4gQ2VudGVyIGZvciBMaWZlIFNjaWVuY2UgVGVjaG5vbG9n
aWVzLCBEaXZpc2lvbiBvZiBHZW5vbWljIFRlY2hub2xvZ2llcywgMS03LTIyIFN1ZWhpcm8tY2hv
LCBUc3VydW1pLWt1LCBZb2tvaGFtYSAyMzAtMDA0NSBKYXBhbi4mI3hEOzFdIERlcGFydG1lbnQg
Zm9yIEJpb2luZm9ybWF0aWNzIGFuZCBDb21wdXRhdGlvbmFsIEJpb2xvZ3ktSTEyLCBUZWNobmlz
Y2hlIFVuaXZlcnNpdGF0IE11bmNoZW4gKFRVTSksIEJvbHR6bWFubnN0cmFzc2UgMywgODU3NDgg
R2FyY2hpbmcsIEdlcm1hbnkgWzJdIFRVTSBHcmFkdWF0ZSBTY2hvb2wsIENlbnRlciBvZiBEb2N0
b3JhbCBTdHVkaWVzIGluIEluZm9ybWF0aWNzIGFuZCBpdHMgQXBwbGljYXRpb25zIChDZURvU0lB
KSwgQm9sdHptYW5uc3RyYXNzZSAxMSwgODU3NDggR2FyY2hpbmcsIEdlcm1hbnkuJiN4RDtEZXBh
cnRtZW50IGZvciBCaW9pbmZvcm1hdGljcyBhbmQgQ29tcHV0YXRpb25hbCBCaW9sb2d5LUkxMiwg
VGVjaG5pc2NoZSBVbml2ZXJzaXRhdCBNdW5jaGVuIChUVU0pLCBCb2x0em1hbm5zdHJhc3NlIDMs
IDg1NzQ4IEdhcmNoaW5nLCBHZXJtYW55LiYjeEQ7THV4ZW1ib3VyZyBDZW50cmUgZm9yIFN5c3Rl
bXMgQmlvbWVkaWNpbmUsIENhbXB1cyBCZWx2YWwsIDcgQXZlbnVlIGRlcyBIYXV0cyBGb3VybmVh
dXgsIEwtNDM2MiBCZWx2YWwsIEx1eGVtYm91cmcuJiN4RDsxXSBSSUtFTiBDZW50ZXIgZm9yIExp
ZmUgU2NpZW5jZSBUZWNobm9sb2dpZXMsIERpdmlzaW9uIG9mIEdlbm9taWMgVGVjaG5vbG9naWVz
LCAxLTctMjIgU3VlaGlyby1jaG8sIFRzdXJ1bWkta3UsIFlva29oYW1hIDIzMC0wMDQ1IEphcGFu
IFsyXSBSSUtFTiBQcmV2ZW50aXZlIE1lZGljaW5lIGFuZCBEaWFnbm9zaXMgSW5ub3ZhdGlvbiBQ
cm9ncmFtLCAyLTEgSGlyb3Nhd2EsIFdha28sIFNhaXRhbWEgMzUxLTAxOTgsIEphcGFuLiYjeEQ7
MV0gUklLRU4gQ2VudGVyIGZvciBMaWZlIFNjaWVuY2UgVGVjaG5vbG9naWVzLCBEaXZpc2lvbiBv
ZiBHZW5vbWljIFRlY2hub2xvZ2llcywgMS03LTIyIFN1ZWhpcm8tY2hvLCBUc3VydW1pLWt1LCBZ
b2tvaGFtYSAyMzAtMDA0NSBKYXBhbiBbMl0gSGFycnkgUGVya2lucyBJbnN0aXR1dGUgb2YgTWVk
aWNhbCBSZXNlYXJjaCwgUUVJSSBNZWRpY2FsIENlbnRyZSBhbmQgQ2VudHJlIGZvciBNZWRpY2Fs
IFJlc2VhcmNoLCB0aGUgVW5pdmVyc2l0eSBvZiBXZXN0ZXJuIEF1c3RyYWxpYSwgUE8gQm94IDcy
MTQsIDYgVmVyZHVuIFN0cmVldCwgTmVkbGFuZHMsIFBlcnRoLCBXZXN0ZXJuIEF1c3RyYWxpYSA2
MDA4LCBBdXN0cmFsaWEuPC9hdXRoLWFkZHJlc3M+PHRpdGxlcz48dGl0bGU+QSBkcmFmdCBuZXR3
b3JrIG9mIGxpZ2FuZC1yZWNlcHRvci1tZWRpYXRlZCBtdWx0aWNlbGx1bGFyIHNpZ25hbGxpbmcg
aW4gaHVtYW48L3RpdGxlPjxzZWNvbmRhcnktdGl0bGU+TmF0IENvbW11bjwvc2Vjb25kYXJ5LXRp
dGxlPjwvdGl0bGVzPjxwZXJpb2RpY2FsPjxmdWxsLXRpdGxlPk5hdCBDb21tdW48L2Z1bGwtdGl0
bGU+PC9wZXJpb2RpY2FsPjxwYWdlcz43ODY2PC9wYWdlcz48dm9sdW1lPjY8L3ZvbHVtZT48a2V5
d29yZHM+PGtleXdvcmQ+QW5pbWFsczwva2V5d29yZD48a2V5d29yZD4qQ2VsbCBDb21tdW5pY2F0
aW9uPC9rZXl3b3JkPjxrZXl3b3JkPkV2b2x1dGlvbiwgTW9sZWN1bGFyPC9rZXl3b3JkPjxrZXl3
b3JkPkh1bWFuczwva2V5d29yZD48a2V5d29yZD5MaWdhbmRzPC9rZXl3b3JkPjxrZXl3b3JkPlJl
Y2VwdG9ycywgQ2VsbCBTdXJmYWNlLyptZXRhYm9saXNtPC9rZXl3b3JkPjxrZXl3b3JkPlNvZnR3
YXJlPC9rZXl3b3JkPjwva2V5d29yZHM+PGRhdGVzPjx5ZWFyPjIwMTU8L3llYXI+PHB1Yi1kYXRl
cz48ZGF0ZT5KdWwgMjI8L2RhdGU+PC9wdWItZGF0ZXM+PC9kYXRlcz48aXNibj4yMDQxLTE3MjMg
KEVsZWN0cm9uaWMpJiN4RDsyMDQxLTE3MjMgKExpbmtpbmcpPC9pc2JuPjxhY2Nlc3Npb24tbnVt
PjI2MTk4MzE5PC9hY2Nlc3Npb24tbnVtPjx1cmxzPjxyZWxhdGVkLXVybHM+PHVybD5odHRwczov
L3d3dy5uY2JpLm5sbS5uaWguZ292L3B1Ym1lZC8yNjE5ODMxOTwvdXJsPjwvcmVsYXRlZC11cmxz
PjwvdXJscz48Y3VzdG9tMj5QTUM0NTI1MTc4PC9jdXN0b20yPjxlbGVjdHJvbmljLXJlc291cmNl
LW51bT4xMC4xMDM4L25jb21tczg4NjY8L2VsZWN0cm9uaWMtcmVzb3VyY2UtbnVtPjwvcmVjb3Jk
PjwvQ2l0ZT48L0VuZE5vdGU+
</w:fldData>
        </w:fldChar>
      </w:r>
      <w:r w:rsidRPr="00100C82">
        <w:rPr>
          <w:rFonts w:ascii="Times New Roman" w:hAnsi="Times New Roman" w:cs="Arial"/>
          <w:sz w:val="21"/>
          <w:szCs w:val="21"/>
        </w:rPr>
        <w:instrText xml:space="preserve"> ADDIN EN.CITE.DATA </w:instrText>
      </w:r>
      <w:r w:rsidRPr="00100C82">
        <w:rPr>
          <w:rFonts w:ascii="Times New Roman" w:hAnsi="Times New Roman" w:cs="Arial"/>
          <w:sz w:val="21"/>
          <w:szCs w:val="21"/>
        </w:rPr>
      </w:r>
      <w:r w:rsidRPr="00100C82">
        <w:rPr>
          <w:rFonts w:ascii="Times New Roman" w:hAnsi="Times New Roman" w:cs="Arial"/>
          <w:sz w:val="21"/>
          <w:szCs w:val="21"/>
        </w:rPr>
        <w:fldChar w:fldCharType="end"/>
      </w:r>
      <w:r w:rsidRPr="00100C82">
        <w:rPr>
          <w:rFonts w:ascii="Times New Roman" w:hAnsi="Times New Roman" w:cs="Arial"/>
          <w:sz w:val="21"/>
          <w:szCs w:val="21"/>
        </w:rPr>
      </w:r>
      <w:r w:rsidRPr="00100C82">
        <w:rPr>
          <w:rFonts w:ascii="Times New Roman" w:hAnsi="Times New Roman" w:cs="Arial"/>
          <w:sz w:val="21"/>
          <w:szCs w:val="21"/>
        </w:rPr>
        <w:fldChar w:fldCharType="separate"/>
      </w:r>
      <w:r w:rsidRPr="00100C82">
        <w:rPr>
          <w:rFonts w:ascii="Times New Roman" w:hAnsi="Times New Roman" w:cs="Arial"/>
          <w:noProof/>
          <w:sz w:val="21"/>
          <w:szCs w:val="21"/>
          <w:vertAlign w:val="superscript"/>
        </w:rPr>
        <w:t>4</w:t>
      </w:r>
      <w:r w:rsidRPr="00100C82">
        <w:rPr>
          <w:rFonts w:ascii="Times New Roman" w:hAnsi="Times New Roman" w:cs="Arial"/>
          <w:sz w:val="21"/>
          <w:szCs w:val="21"/>
        </w:rPr>
        <w:fldChar w:fldCharType="end"/>
      </w:r>
      <w:r w:rsidRPr="00100C82">
        <w:rPr>
          <w:rFonts w:ascii="Times New Roman" w:hAnsi="Times New Roman" w:cs="Arial"/>
          <w:sz w:val="21"/>
          <w:szCs w:val="21"/>
        </w:rPr>
        <w:t xml:space="preserve"> (containing 2,557 ligand-receptor pairs) was applied. In each cluster, we identified ligand-receptor pairs expressed in tissue X-tissue Y communication by two steps: (1) Both of the CPM of ligand and receptor were higher than 30 in tissue X and tissue Y. (2) The ligand-receptor pairing in step1 was expressed in more than 25% samples. At last, we count the number of expressed ligand-receptor pairs of tissues crosstalk in each cluster. </w:t>
      </w:r>
    </w:p>
    <w:p w14:paraId="67745624" w14:textId="77777777" w:rsidR="00156F2F" w:rsidRPr="00100C82" w:rsidRDefault="00156F2F" w:rsidP="00156F2F">
      <w:pPr>
        <w:spacing w:line="480" w:lineRule="auto"/>
        <w:jc w:val="left"/>
        <w:rPr>
          <w:rFonts w:ascii="Times New Roman" w:hAnsi="Times New Roman" w:cs="Arial"/>
          <w:sz w:val="21"/>
          <w:szCs w:val="21"/>
        </w:rPr>
      </w:pPr>
      <w:r w:rsidRPr="00100C82">
        <w:rPr>
          <w:rFonts w:ascii="Times New Roman" w:hAnsi="Times New Roman" w:cs="Arial"/>
          <w:sz w:val="21"/>
          <w:szCs w:val="21"/>
        </w:rPr>
        <w:t>To characterized the potential communication of clusters, we compared different ligand-receptor pairs and their functions between every two clusters. Base on the number of expressed ligand-receptor pairs, we calculated the occurrence ratio (OR) for ligand-receptor pairs of tissue-crosstalk in each cluster using the following algorithm. For each ligand-receptor pairs L of tissue X-tissue Y crosstalk in cluster A: OR= (the number of L of tissue X-tissue Y in cluster A / the number of samples containing tissue X-tissue Y in cluster A) / (the number of L of tissue X-tissue Y in all clusters / the number of samples containing tissue X-tissue Y in all clusters). Ligand-receptor pair with log2(OR)&gt;1 was considered as a high expressed ligand-receptor pair of tissue X-tissue Y in cluster A. So that, we had identified all highly expressed ligand-receptor pair of all tissue-</w:t>
      </w:r>
      <w:proofErr w:type="spellStart"/>
      <w:r w:rsidRPr="00100C82">
        <w:rPr>
          <w:rFonts w:ascii="Times New Roman" w:hAnsi="Times New Roman" w:cs="Arial"/>
          <w:sz w:val="21"/>
          <w:szCs w:val="21"/>
        </w:rPr>
        <w:t>crosstalks</w:t>
      </w:r>
      <w:proofErr w:type="spellEnd"/>
      <w:r w:rsidRPr="00100C82">
        <w:rPr>
          <w:rFonts w:ascii="Times New Roman" w:hAnsi="Times New Roman" w:cs="Arial"/>
          <w:sz w:val="21"/>
          <w:szCs w:val="21"/>
        </w:rPr>
        <w:t xml:space="preserve"> in all clusters and characterized them functions by R package “clusterprofile”</w:t>
      </w:r>
      <w:r w:rsidRPr="00100C82">
        <w:rPr>
          <w:rFonts w:ascii="Times New Roman" w:hAnsi="Times New Roman" w:cs="Arial"/>
          <w:sz w:val="21"/>
          <w:szCs w:val="21"/>
        </w:rPr>
        <w:fldChar w:fldCharType="begin"/>
      </w:r>
      <w:r w:rsidRPr="00100C82">
        <w:rPr>
          <w:rFonts w:ascii="Times New Roman" w:hAnsi="Times New Roman" w:cs="Arial"/>
          <w:sz w:val="21"/>
          <w:szCs w:val="21"/>
        </w:rPr>
        <w:instrText xml:space="preserve"> ADDIN EN.CITE &lt;EndNote&gt;&lt;Cite&gt;&lt;Author&gt;Yu&lt;/Author&gt;&lt;Year&gt;2012&lt;/Year&gt;&lt;RecNum&gt;630&lt;/RecNum&gt;&lt;DisplayText&gt;&lt;style face="superscript"&gt;5&lt;/style&gt;&lt;/DisplayText&gt;&lt;record&gt;&lt;rec-number&gt;630&lt;/rec-number&gt;&lt;foreign-keys&gt;&lt;key app="EN" db-id="tz0e0vz2hd2awce0v5rva0fm0pdtx99zvrpx" timestamp="1537229304"&gt;630&lt;/key&gt;&lt;/foreign-keys&gt;&lt;ref-type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titles&gt;&lt;periodical&gt;&lt;full-title&gt;OMICS&lt;/full-title&gt;&lt;/periodical&gt;&lt;pages&gt;284-7&lt;/pages&gt;&lt;volume&gt;16&lt;/volume&gt;&lt;number&gt;5&lt;/number&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1557-8100 (Electronic)&amp;#xD;1536-2310 (Linking)&lt;/isbn&gt;&lt;accession-num&gt;22455463&lt;/accession-num&gt;&lt;urls&gt;&lt;related-urls&gt;&lt;url&gt;https://www.ncbi.nlm.nih.gov/pubmed/22455463&lt;/url&gt;&lt;url&gt;https://www.ncbi.nlm.nih.gov/pmc/articles/PMC3339379/pdf/omi.2011.0118.pdf&lt;/url&gt;&lt;/related-urls&gt;&lt;/urls&gt;&lt;custom2&gt;PMC3339379&lt;/custom2&gt;&lt;electronic-resource-num&gt;10.1089/omi.2011.0118&lt;/electronic-resource-num&gt;&lt;/record&gt;&lt;/Cite&gt;&lt;/EndNote&gt;</w:instrText>
      </w:r>
      <w:r w:rsidRPr="00100C82">
        <w:rPr>
          <w:rFonts w:ascii="Times New Roman" w:hAnsi="Times New Roman" w:cs="Arial"/>
          <w:sz w:val="21"/>
          <w:szCs w:val="21"/>
        </w:rPr>
        <w:fldChar w:fldCharType="separate"/>
      </w:r>
      <w:r w:rsidRPr="00100C82">
        <w:rPr>
          <w:rFonts w:ascii="Times New Roman" w:hAnsi="Times New Roman" w:cs="Arial"/>
          <w:noProof/>
          <w:sz w:val="21"/>
          <w:szCs w:val="21"/>
          <w:vertAlign w:val="superscript"/>
        </w:rPr>
        <w:t>5</w:t>
      </w:r>
      <w:r w:rsidRPr="00100C82">
        <w:rPr>
          <w:rFonts w:ascii="Times New Roman" w:hAnsi="Times New Roman" w:cs="Arial"/>
          <w:sz w:val="21"/>
          <w:szCs w:val="21"/>
        </w:rPr>
        <w:fldChar w:fldCharType="end"/>
      </w:r>
      <w:r w:rsidRPr="00100C82">
        <w:rPr>
          <w:rFonts w:ascii="Times New Roman" w:hAnsi="Times New Roman" w:cs="Arial"/>
          <w:sz w:val="21"/>
          <w:szCs w:val="21"/>
        </w:rPr>
        <w:t xml:space="preserve"> with p-value&lt;=0.01 and q-value&lt;=0.05. </w:t>
      </w:r>
      <w:proofErr w:type="spellStart"/>
      <w:r w:rsidRPr="00100C82">
        <w:rPr>
          <w:rFonts w:ascii="Times New Roman" w:hAnsi="Times New Roman" w:cs="Arial"/>
          <w:sz w:val="21"/>
          <w:szCs w:val="21"/>
        </w:rPr>
        <w:t>BgRatio</w:t>
      </w:r>
      <w:proofErr w:type="spellEnd"/>
      <w:r w:rsidRPr="00100C82">
        <w:rPr>
          <w:rFonts w:ascii="Times New Roman" w:hAnsi="Times New Roman" w:cs="Arial"/>
          <w:sz w:val="21"/>
          <w:szCs w:val="21"/>
        </w:rPr>
        <w:t xml:space="preserve"> is M/N where M is the size of the gene-set annotated to the GO node and N is the total number of genes in the background. </w:t>
      </w:r>
      <w:proofErr w:type="spellStart"/>
      <w:r w:rsidRPr="00100C82">
        <w:rPr>
          <w:rFonts w:ascii="Times New Roman" w:hAnsi="Times New Roman" w:cs="Arial"/>
          <w:sz w:val="21"/>
          <w:szCs w:val="21"/>
        </w:rPr>
        <w:t>GeneRatio</w:t>
      </w:r>
      <w:proofErr w:type="spellEnd"/>
      <w:r w:rsidRPr="00100C82">
        <w:rPr>
          <w:rFonts w:ascii="Times New Roman" w:hAnsi="Times New Roman" w:cs="Arial"/>
          <w:sz w:val="21"/>
          <w:szCs w:val="21"/>
        </w:rPr>
        <w:t xml:space="preserve"> is k/n where k is the number of genes within that list n, which are annotated to the GO node, n is the size of the list of genes. Enrichment score measured the degree of enrichment in the GO node which was calculated by </w:t>
      </w:r>
      <w:proofErr w:type="spellStart"/>
      <w:r w:rsidRPr="00100C82">
        <w:rPr>
          <w:rFonts w:ascii="Times New Roman" w:hAnsi="Times New Roman" w:cs="Arial"/>
          <w:sz w:val="21"/>
          <w:szCs w:val="21"/>
        </w:rPr>
        <w:t>GeneRatio</w:t>
      </w:r>
      <w:proofErr w:type="spellEnd"/>
      <w:r w:rsidRPr="00100C82">
        <w:rPr>
          <w:rFonts w:ascii="Times New Roman" w:hAnsi="Times New Roman" w:cs="Arial"/>
          <w:sz w:val="21"/>
          <w:szCs w:val="21"/>
        </w:rPr>
        <w:t>/</w:t>
      </w:r>
      <w:proofErr w:type="spellStart"/>
      <w:r w:rsidRPr="00100C82">
        <w:rPr>
          <w:rFonts w:ascii="Times New Roman" w:hAnsi="Times New Roman" w:cs="Arial"/>
          <w:sz w:val="21"/>
          <w:szCs w:val="21"/>
        </w:rPr>
        <w:t>BgRatio</w:t>
      </w:r>
      <w:proofErr w:type="spellEnd"/>
      <w:r w:rsidRPr="00100C82">
        <w:rPr>
          <w:rFonts w:ascii="Times New Roman" w:hAnsi="Times New Roman" w:cs="Arial"/>
          <w:sz w:val="21"/>
          <w:szCs w:val="21"/>
        </w:rPr>
        <w:t>.</w:t>
      </w:r>
    </w:p>
    <w:p w14:paraId="75198010" w14:textId="77777777" w:rsidR="00156F2F" w:rsidRPr="00100C82" w:rsidRDefault="00156F2F" w:rsidP="00156F2F">
      <w:pPr>
        <w:spacing w:line="480" w:lineRule="auto"/>
        <w:jc w:val="left"/>
        <w:rPr>
          <w:rFonts w:ascii="Times New Roman" w:hAnsi="Times New Roman" w:cs="Arial"/>
          <w:color w:val="auto"/>
          <w:sz w:val="21"/>
          <w:szCs w:val="21"/>
        </w:rPr>
      </w:pPr>
    </w:p>
    <w:p w14:paraId="6E52CF9C" w14:textId="77777777" w:rsidR="00156F2F" w:rsidRPr="00100C82" w:rsidRDefault="00156F2F" w:rsidP="00156F2F">
      <w:pPr>
        <w:spacing w:line="480" w:lineRule="auto"/>
        <w:jc w:val="left"/>
        <w:rPr>
          <w:rFonts w:ascii="Times New Roman" w:hAnsi="Times New Roman" w:cs="Arial"/>
          <w:b/>
          <w:bCs/>
          <w:color w:val="auto"/>
          <w:sz w:val="21"/>
          <w:szCs w:val="21"/>
        </w:rPr>
      </w:pPr>
      <w:r w:rsidRPr="00100C82">
        <w:rPr>
          <w:rFonts w:ascii="Times New Roman" w:hAnsi="Times New Roman" w:cs="Arial"/>
          <w:b/>
          <w:bCs/>
          <w:color w:val="auto"/>
          <w:sz w:val="21"/>
          <w:szCs w:val="21"/>
        </w:rPr>
        <w:t>Marker genes in each subgroup</w:t>
      </w:r>
    </w:p>
    <w:p w14:paraId="79F37FCA" w14:textId="77777777" w:rsidR="00156F2F" w:rsidRPr="00100C82" w:rsidRDefault="00156F2F" w:rsidP="00156F2F">
      <w:pPr>
        <w:spacing w:line="480" w:lineRule="auto"/>
        <w:jc w:val="left"/>
        <w:rPr>
          <w:rFonts w:ascii="Times New Roman" w:hAnsi="Times New Roman" w:cs="Arial"/>
          <w:color w:val="auto"/>
          <w:sz w:val="21"/>
          <w:szCs w:val="21"/>
        </w:rPr>
      </w:pPr>
      <w:r w:rsidRPr="00100C82">
        <w:rPr>
          <w:rFonts w:ascii="Times New Roman" w:hAnsi="Times New Roman" w:cs="Arial"/>
          <w:color w:val="auto"/>
          <w:sz w:val="21"/>
          <w:szCs w:val="21"/>
        </w:rPr>
        <w:t>Marker genes in each subgroup were identified by SC3</w:t>
      </w:r>
      <w:r w:rsidRPr="00100C82">
        <w:rPr>
          <w:rFonts w:ascii="Times New Roman" w:hAnsi="Times New Roman" w:cs="Arial"/>
          <w:color w:val="auto"/>
          <w:sz w:val="21"/>
          <w:szCs w:val="21"/>
        </w:rPr>
        <w:fldChar w:fldCharType="begin">
          <w:fldData xml:space="preserve">PEVuZE5vdGU+PENpdGU+PEF1dGhvcj5LaXNlbGV2PC9BdXRob3I+PFllYXI+MjAxNzwvWWVhcj48
UmVjTnVtPjU3MTwvUmVjTnVtPjxEaXNwbGF5VGV4dD48c3R5bGUgZmFjZT0ic3VwZXJzY3JpcHQi
PjY8L3N0eWxlPjwvRGlzcGxheVRleHQ+PHJlY29yZD48cmVjLW51bWJlcj41NzE8L3JlYy1udW1i
ZXI+PGZvcmVpZ24ta2V5cz48a2V5IGFwcD0iRU4iIGRiLWlkPSJ0ejBlMHZ6MmhkMmF3Y2UwdjVy
dmEwZm0wcGR0eDk5enZycHgiIHRpbWVzdGFtcD0iMTUyMjE5OTI5OCI+NTcxPC9rZXk+PGtleSBh
cHA9IkVOV2ViIiBkYi1pZD0iIj4wPC9rZXk+PC9mb3JlaWduLWtleXM+PHJlZi10eXBlIG5hbWU9
IkpvdXJuYWwgQXJ0aWNsZSI+MTc8L3JlZi10eXBlPjxjb250cmlidXRvcnM+PGF1dGhvcnM+PGF1
dGhvcj5LaXNlbGV2LCBWLiBZLjwvYXV0aG9yPjxhdXRob3I+S2lyc2NobmVyLCBLLjwvYXV0aG9y
PjxhdXRob3I+U2NoYXViLCBNLiBULjwvYXV0aG9yPjxhdXRob3I+QW5kcmV3cywgVC48L2F1dGhv
cj48YXV0aG9yPllpdSwgQS48L2F1dGhvcj48YXV0aG9yPkNoYW5kcmEsIFQuPC9hdXRob3I+PGF1
dGhvcj5OYXRhcmFqYW4sIEsuIE4uPC9hdXRob3I+PGF1dGhvcj5SZWlrLCBXLjwvYXV0aG9yPjxh
dXRob3I+QmFyYWhvbmEsIE0uPC9hdXRob3I+PGF1dGhvcj5HcmVlbiwgQS4gUi48L2F1dGhvcj48
YXV0aG9yPkhlbWJlcmcsIE0uPC9hdXRob3I+PC9hdXRob3JzPjwvY29udHJpYnV0b3JzPjxhdXRo
LWFkZHJlc3M+V2VsbGNvbWUgVHJ1c3QgU2FuZ2VyIEluc3RpdHV0ZSwgSGlueHRvbiwgQ2FtYnJp
ZGdlLCBVSy4mI3hEO0NhbWJyaWRnZSBJbnN0aXR1dGUgZm9yIE1lZGljYWwgUmVzZWFyY2gsIFdl
bGxjb21lIFRydXN0L01SQyBTdGVtIENlbGwgSW5zdGl0dXRlIGFuZCBEZXBhcnRtZW50IG9mIEhh
ZW1hdG9sb2d5LCBVbml2ZXJzaXR5IG9mIENhbWJyaWRnZSwgSGlsbHMgUm9hZCwgQ2FtYnJpZGdl
LCBVSy4mI3hEO0RlcGFydG1lbnQgb2YgTWF0aGVtYXRpY3MgYW5kIG5hWHlzLCBVbml2ZXJzaXR5
IG9mIE5hbXVyLCBOYW11ciwgQmVsZ2l1bS4mI3hEO0lDVEVBTSwgVW5pdmVyc2l0ZSBDYXRob2xp
cXVlIGRlIExvdXZhaW4sIExvdXZhaW4tbGEtTmV1dmUsIEJlbGdpdW0uJiN4RDtFcGlnZW5ldGlj
cyBQcm9ncmFtbWUsIFRoZSBCYWJyYWhhbSBJbnN0aXR1dGUsIEJhYnJhaGFtLCBDYW1icmlkZ2Us
IFVLLiYjeEQ7RU1CTC1FdXJvcGVhbiBCaW9pbmZvcm1hdGljcyBJbnN0aXR1dGUsIEhpbnh0b24s
IENhbWJyaWRnZSwgVUsuJiN4RDtDZW50cmUgZm9yIFRyb3Bob2JsYXN0IFJlc2VhcmNoLCBVbml2
ZXJzaXR5IG9mIENhbWJyaWRnZSwgQ2FtYnJpZGdlLCBVSy4mI3hEO0RlcGFydG1lbnQgb2YgTWF0
aGVtYXRpY3MsIEltcGVyaWFsIENvbGxlZ2UgTG9uZG9uLCBMb25kb24sIFVLLjwvYXV0aC1hZGRy
ZXNzPjx0aXRsZXM+PHRpdGxlPlNDMzogY29uc2Vuc3VzIGNsdXN0ZXJpbmcgb2Ygc2luZ2xlLWNl
bGwgUk5BLXNlcSBkYXRhPC90aXRsZT48c2Vjb25kYXJ5LXRpdGxlPk5hdCBNZXRob2RzPC9zZWNv
bmRhcnktdGl0bGU+PC90aXRsZXM+PHBlcmlvZGljYWw+PGZ1bGwtdGl0bGU+TmF0IE1ldGhvZHM8
L2Z1bGwtdGl0bGU+PGFiYnItMT5OYXR1cmUgbWV0aG9kczwvYWJici0xPjwvcGVyaW9kaWNhbD48
cGFnZXM+NDgzLTQ4NjwvcGFnZXM+PHZvbHVtZT4xNDwvdm9sdW1lPjxudW1iZXI+NTwvbnVtYmVy
PjxlZGl0aW9uPjIwMTcvMDMvMjg8L2VkaXRpb24+PGtleXdvcmRzPjxrZXl3b3JkPkNsdXN0ZXIg
QW5hbHlzaXM8L2tleXdvcmQ+PGtleXdvcmQ+RGF0YXNldHMgYXMgVG9waWM8L2tleXdvcmQ+PGtl
eXdvcmQ+R2VuZSBFeHByZXNzaW9uIFByb2ZpbGluZy8qbWV0aG9kczwva2V5d29yZD48a2V5d29y
ZD5IZW1hdG9wb2lldGljIFN0ZW0gQ2VsbHMvY3l0b2xvZ3k8L2tleXdvcmQ+PGtleXdvcmQ+SGln
aC1UaHJvdWdocHV0IE51Y2xlb3RpZGUgU2VxdWVuY2luZy8qbWV0aG9kczwva2V5d29yZD48a2V5
d29yZD5IdW1hbnM8L2tleXdvcmQ+PGtleXdvcmQ+U2VxdWVuY2UgQW5hbHlzaXMsIFJOQS8qbWV0
aG9kczwva2V5d29yZD48a2V5d29yZD5TaW5nbGUtQ2VsbCBBbmFseXNpcy8qbWV0aG9kczwva2V5
d29yZD48a2V5d29yZD5TdXBwb3J0IFZlY3RvciBNYWNoaW5lPC9rZXl3b3JkPjwva2V5d29yZHM+
PGRhdGVzPjx5ZWFyPjIwMTc8L3llYXI+PHB1Yi1kYXRlcz48ZGF0ZT5NYXk8L2RhdGU+PC9wdWIt
ZGF0ZXM+PC9kYXRlcz48aXNibj4xNTQ4LTcxMDUgKEVsZWN0cm9uaWMpJiN4RDsxNTQ4LTcwOTEg
KExpbmtpbmcpPC9pc2JuPjxhY2Nlc3Npb24tbnVtPjI4MzQ2NDUxPC9hY2Nlc3Npb24tbnVtPjx1
cmxzPjxyZWxhdGVkLXVybHM+PHVybD5odHRwczovL3d3dy5uY2JpLm5sbS5uaWguZ292L3B1Ym1l
ZC8yODM0NjQ1MTwvdXJsPjwvcmVsYXRlZC11cmxzPjwvdXJscz48Y3VzdG9tMj5QTUM1NDEwMTcw
PC9jdXN0b20yPjxlbGVjdHJvbmljLXJlc291cmNlLW51bT4xMC4xMDM4L25tZXRoLjQyMzY8L2Vs
ZWN0cm9uaWMtcmVzb3VyY2UtbnVtPjwvcmVjb3JkPjwvQ2l0ZT48L0VuZE5vdGU+
</w:fldData>
        </w:fldChar>
      </w:r>
      <w:r w:rsidRPr="00100C82">
        <w:rPr>
          <w:rFonts w:ascii="Times New Roman" w:hAnsi="Times New Roman" w:cs="Arial"/>
          <w:color w:val="auto"/>
          <w:sz w:val="21"/>
          <w:szCs w:val="21"/>
        </w:rPr>
        <w:instrText xml:space="preserve"> ADDIN EN.CITE </w:instrText>
      </w:r>
      <w:r w:rsidRPr="00100C82">
        <w:rPr>
          <w:rFonts w:ascii="Times New Roman" w:hAnsi="Times New Roman" w:cs="Arial"/>
          <w:color w:val="auto"/>
          <w:sz w:val="21"/>
          <w:szCs w:val="21"/>
        </w:rPr>
        <w:fldChar w:fldCharType="begin">
          <w:fldData xml:space="preserve">PEVuZE5vdGU+PENpdGU+PEF1dGhvcj5LaXNlbGV2PC9BdXRob3I+PFllYXI+MjAxNzwvWWVhcj48
UmVjTnVtPjU3MTwvUmVjTnVtPjxEaXNwbGF5VGV4dD48c3R5bGUgZmFjZT0ic3VwZXJzY3JpcHQi
PjY8L3N0eWxlPjwvRGlzcGxheVRleHQ+PHJlY29yZD48cmVjLW51bWJlcj41NzE8L3JlYy1udW1i
ZXI+PGZvcmVpZ24ta2V5cz48a2V5IGFwcD0iRU4iIGRiLWlkPSJ0ejBlMHZ6MmhkMmF3Y2UwdjVy
dmEwZm0wcGR0eDk5enZycHgiIHRpbWVzdGFtcD0iMTUyMjE5OTI5OCI+NTcxPC9rZXk+PGtleSBh
cHA9IkVOV2ViIiBkYi1pZD0iIj4wPC9rZXk+PC9mb3JlaWduLWtleXM+PHJlZi10eXBlIG5hbWU9
IkpvdXJuYWwgQXJ0aWNsZSI+MTc8L3JlZi10eXBlPjxjb250cmlidXRvcnM+PGF1dGhvcnM+PGF1
dGhvcj5LaXNlbGV2LCBWLiBZLjwvYXV0aG9yPjxhdXRob3I+S2lyc2NobmVyLCBLLjwvYXV0aG9y
PjxhdXRob3I+U2NoYXViLCBNLiBULjwvYXV0aG9yPjxhdXRob3I+QW5kcmV3cywgVC48L2F1dGhv
cj48YXV0aG9yPllpdSwgQS48L2F1dGhvcj48YXV0aG9yPkNoYW5kcmEsIFQuPC9hdXRob3I+PGF1
dGhvcj5OYXRhcmFqYW4sIEsuIE4uPC9hdXRob3I+PGF1dGhvcj5SZWlrLCBXLjwvYXV0aG9yPjxh
dXRob3I+QmFyYWhvbmEsIE0uPC9hdXRob3I+PGF1dGhvcj5HcmVlbiwgQS4gUi48L2F1dGhvcj48
YXV0aG9yPkhlbWJlcmcsIE0uPC9hdXRob3I+PC9hdXRob3JzPjwvY29udHJpYnV0b3JzPjxhdXRo
LWFkZHJlc3M+V2VsbGNvbWUgVHJ1c3QgU2FuZ2VyIEluc3RpdHV0ZSwgSGlueHRvbiwgQ2FtYnJp
ZGdlLCBVSy4mI3hEO0NhbWJyaWRnZSBJbnN0aXR1dGUgZm9yIE1lZGljYWwgUmVzZWFyY2gsIFdl
bGxjb21lIFRydXN0L01SQyBTdGVtIENlbGwgSW5zdGl0dXRlIGFuZCBEZXBhcnRtZW50IG9mIEhh
ZW1hdG9sb2d5LCBVbml2ZXJzaXR5IG9mIENhbWJyaWRnZSwgSGlsbHMgUm9hZCwgQ2FtYnJpZGdl
LCBVSy4mI3hEO0RlcGFydG1lbnQgb2YgTWF0aGVtYXRpY3MgYW5kIG5hWHlzLCBVbml2ZXJzaXR5
IG9mIE5hbXVyLCBOYW11ciwgQmVsZ2l1bS4mI3hEO0lDVEVBTSwgVW5pdmVyc2l0ZSBDYXRob2xp
cXVlIGRlIExvdXZhaW4sIExvdXZhaW4tbGEtTmV1dmUsIEJlbGdpdW0uJiN4RDtFcGlnZW5ldGlj
cyBQcm9ncmFtbWUsIFRoZSBCYWJyYWhhbSBJbnN0aXR1dGUsIEJhYnJhaGFtLCBDYW1icmlkZ2Us
IFVLLiYjeEQ7RU1CTC1FdXJvcGVhbiBCaW9pbmZvcm1hdGljcyBJbnN0aXR1dGUsIEhpbnh0b24s
IENhbWJyaWRnZSwgVUsuJiN4RDtDZW50cmUgZm9yIFRyb3Bob2JsYXN0IFJlc2VhcmNoLCBVbml2
ZXJzaXR5IG9mIENhbWJyaWRnZSwgQ2FtYnJpZGdlLCBVSy4mI3hEO0RlcGFydG1lbnQgb2YgTWF0
aGVtYXRpY3MsIEltcGVyaWFsIENvbGxlZ2UgTG9uZG9uLCBMb25kb24sIFVLLjwvYXV0aC1hZGRy
ZXNzPjx0aXRsZXM+PHRpdGxlPlNDMzogY29uc2Vuc3VzIGNsdXN0ZXJpbmcgb2Ygc2luZ2xlLWNl
bGwgUk5BLXNlcSBkYXRhPC90aXRsZT48c2Vjb25kYXJ5LXRpdGxlPk5hdCBNZXRob2RzPC9zZWNv
bmRhcnktdGl0bGU+PC90aXRsZXM+PHBlcmlvZGljYWw+PGZ1bGwtdGl0bGU+TmF0IE1ldGhvZHM8
L2Z1bGwtdGl0bGU+PGFiYnItMT5OYXR1cmUgbWV0aG9kczwvYWJici0xPjwvcGVyaW9kaWNhbD48
cGFnZXM+NDgzLTQ4NjwvcGFnZXM+PHZvbHVtZT4xNDwvdm9sdW1lPjxudW1iZXI+NTwvbnVtYmVy
PjxlZGl0aW9uPjIwMTcvMDMvMjg8L2VkaXRpb24+PGtleXdvcmRzPjxrZXl3b3JkPkNsdXN0ZXIg
QW5hbHlzaXM8L2tleXdvcmQ+PGtleXdvcmQ+RGF0YXNldHMgYXMgVG9waWM8L2tleXdvcmQ+PGtl
eXdvcmQ+R2VuZSBFeHByZXNzaW9uIFByb2ZpbGluZy8qbWV0aG9kczwva2V5d29yZD48a2V5d29y
ZD5IZW1hdG9wb2lldGljIFN0ZW0gQ2VsbHMvY3l0b2xvZ3k8L2tleXdvcmQ+PGtleXdvcmQ+SGln
aC1UaHJvdWdocHV0IE51Y2xlb3RpZGUgU2VxdWVuY2luZy8qbWV0aG9kczwva2V5d29yZD48a2V5
d29yZD5IdW1hbnM8L2tleXdvcmQ+PGtleXdvcmQ+U2VxdWVuY2UgQW5hbHlzaXMsIFJOQS8qbWV0
aG9kczwva2V5d29yZD48a2V5d29yZD5TaW5nbGUtQ2VsbCBBbmFseXNpcy8qbWV0aG9kczwva2V5
d29yZD48a2V5d29yZD5TdXBwb3J0IFZlY3RvciBNYWNoaW5lPC9rZXl3b3JkPjwva2V5d29yZHM+
PGRhdGVzPjx5ZWFyPjIwMTc8L3llYXI+PHB1Yi1kYXRlcz48ZGF0ZT5NYXk8L2RhdGU+PC9wdWIt
ZGF0ZXM+PC9kYXRlcz48aXNibj4xNTQ4LTcxMDUgKEVsZWN0cm9uaWMpJiN4RDsxNTQ4LTcwOTEg
KExpbmtpbmcpPC9pc2JuPjxhY2Nlc3Npb24tbnVtPjI4MzQ2NDUxPC9hY2Nlc3Npb24tbnVtPjx1
cmxzPjxyZWxhdGVkLXVybHM+PHVybD5odHRwczovL3d3dy5uY2JpLm5sbS5uaWguZ292L3B1Ym1l
ZC8yODM0NjQ1MTwvdXJsPjwvcmVsYXRlZC11cmxzPjwvdXJscz48Y3VzdG9tMj5QTUM1NDEwMTcw
PC9jdXN0b20yPjxlbGVjdHJvbmljLXJlc291cmNlLW51bT4xMC4xMDM4L25tZXRoLjQyMzY8L2Vs
ZWN0cm9uaWMtcmVzb3VyY2UtbnVtPjwvcmVjb3JkPjwvQ2l0ZT48L0VuZE5vdGU+
</w:fldData>
        </w:fldChar>
      </w:r>
      <w:r w:rsidRPr="00100C82">
        <w:rPr>
          <w:rFonts w:ascii="Times New Roman" w:hAnsi="Times New Roman" w:cs="Arial"/>
          <w:color w:val="auto"/>
          <w:sz w:val="21"/>
          <w:szCs w:val="21"/>
        </w:rPr>
        <w:instrText xml:space="preserve"> ADDIN EN.CITE.DATA </w:instrText>
      </w:r>
      <w:r w:rsidRPr="00100C82">
        <w:rPr>
          <w:rFonts w:ascii="Times New Roman" w:hAnsi="Times New Roman" w:cs="Arial"/>
          <w:color w:val="auto"/>
          <w:sz w:val="21"/>
          <w:szCs w:val="21"/>
        </w:rPr>
      </w:r>
      <w:r w:rsidRPr="00100C82">
        <w:rPr>
          <w:rFonts w:ascii="Times New Roman" w:hAnsi="Times New Roman" w:cs="Arial"/>
          <w:color w:val="auto"/>
          <w:sz w:val="21"/>
          <w:szCs w:val="21"/>
        </w:rPr>
        <w:fldChar w:fldCharType="end"/>
      </w:r>
      <w:r w:rsidRPr="00100C82">
        <w:rPr>
          <w:rFonts w:ascii="Times New Roman" w:hAnsi="Times New Roman" w:cs="Arial"/>
          <w:color w:val="auto"/>
          <w:sz w:val="21"/>
          <w:szCs w:val="21"/>
        </w:rPr>
      </w:r>
      <w:r w:rsidRPr="00100C82">
        <w:rPr>
          <w:rFonts w:ascii="Times New Roman" w:hAnsi="Times New Roman" w:cs="Arial"/>
          <w:color w:val="auto"/>
          <w:sz w:val="21"/>
          <w:szCs w:val="21"/>
        </w:rPr>
        <w:fldChar w:fldCharType="separate"/>
      </w:r>
      <w:r w:rsidRPr="00100C82">
        <w:rPr>
          <w:rFonts w:ascii="Times New Roman" w:hAnsi="Times New Roman" w:cs="Arial"/>
          <w:noProof/>
          <w:color w:val="auto"/>
          <w:sz w:val="21"/>
          <w:szCs w:val="21"/>
          <w:vertAlign w:val="superscript"/>
        </w:rPr>
        <w:t>6</w:t>
      </w:r>
      <w:r w:rsidRPr="00100C82">
        <w:rPr>
          <w:rFonts w:ascii="Times New Roman" w:hAnsi="Times New Roman" w:cs="Arial"/>
          <w:color w:val="auto"/>
          <w:sz w:val="21"/>
          <w:szCs w:val="21"/>
        </w:rPr>
        <w:fldChar w:fldCharType="end"/>
      </w:r>
      <w:r w:rsidRPr="00100C82">
        <w:rPr>
          <w:rFonts w:ascii="Times New Roman" w:hAnsi="Times New Roman" w:cs="Arial"/>
          <w:color w:val="auto"/>
          <w:sz w:val="21"/>
          <w:szCs w:val="21"/>
        </w:rPr>
        <w:t xml:space="preserve"> with the adjusted p-value&lt;0.05. The functional enrichment analysis of marker genes in each subgroup was performed using </w:t>
      </w:r>
      <w:proofErr w:type="spellStart"/>
      <w:r w:rsidRPr="00100C82">
        <w:rPr>
          <w:rFonts w:ascii="Times New Roman" w:hAnsi="Times New Roman" w:cs="Arial"/>
          <w:color w:val="auto"/>
          <w:sz w:val="21"/>
          <w:szCs w:val="21"/>
        </w:rPr>
        <w:t>enrichGO</w:t>
      </w:r>
      <w:proofErr w:type="spellEnd"/>
      <w:r w:rsidRPr="00100C82">
        <w:rPr>
          <w:rFonts w:ascii="Times New Roman" w:hAnsi="Times New Roman" w:cs="Arial"/>
          <w:color w:val="auto"/>
          <w:sz w:val="21"/>
          <w:szCs w:val="21"/>
        </w:rPr>
        <w:t xml:space="preserve"> in R package “</w:t>
      </w:r>
      <w:proofErr w:type="spellStart"/>
      <w:r w:rsidRPr="00100C82">
        <w:rPr>
          <w:rFonts w:ascii="Times New Roman" w:hAnsi="Times New Roman" w:cs="Arial"/>
          <w:color w:val="auto"/>
          <w:sz w:val="21"/>
          <w:szCs w:val="21"/>
        </w:rPr>
        <w:t>clusterprofile</w:t>
      </w:r>
      <w:proofErr w:type="spellEnd"/>
      <w:r w:rsidRPr="00100C82">
        <w:rPr>
          <w:rFonts w:ascii="Times New Roman" w:hAnsi="Times New Roman" w:cs="Arial"/>
          <w:color w:val="auto"/>
          <w:sz w:val="21"/>
          <w:szCs w:val="21"/>
        </w:rPr>
        <w:t xml:space="preserve">” with default parameters. </w:t>
      </w:r>
    </w:p>
    <w:p w14:paraId="0D7A6CC9" w14:textId="77777777" w:rsidR="00156F2F" w:rsidRPr="00100C82" w:rsidRDefault="00156F2F" w:rsidP="00156F2F">
      <w:pPr>
        <w:spacing w:line="480" w:lineRule="auto"/>
        <w:jc w:val="left"/>
        <w:rPr>
          <w:rFonts w:ascii="Times New Roman" w:eastAsiaTheme="minorEastAsia" w:hAnsi="Times New Roman" w:cs="Arial"/>
          <w:color w:val="auto"/>
          <w:sz w:val="21"/>
          <w:szCs w:val="21"/>
        </w:rPr>
      </w:pPr>
    </w:p>
    <w:p w14:paraId="2CAC0D00" w14:textId="77777777" w:rsidR="00156F2F" w:rsidRPr="00100C82" w:rsidRDefault="00156F2F" w:rsidP="00156F2F">
      <w:pPr>
        <w:spacing w:line="480" w:lineRule="auto"/>
        <w:jc w:val="left"/>
        <w:rPr>
          <w:rFonts w:ascii="Times New Roman" w:hAnsi="Times New Roman" w:cs="Arial"/>
          <w:b/>
          <w:bCs/>
          <w:sz w:val="21"/>
          <w:szCs w:val="21"/>
        </w:rPr>
      </w:pPr>
      <w:r w:rsidRPr="00100C82">
        <w:rPr>
          <w:rFonts w:ascii="Times New Roman" w:hAnsi="Times New Roman" w:cs="Arial"/>
          <w:b/>
          <w:bCs/>
          <w:sz w:val="21"/>
          <w:szCs w:val="21"/>
        </w:rPr>
        <w:lastRenderedPageBreak/>
        <w:t>Classification with random forest model</w:t>
      </w:r>
    </w:p>
    <w:p w14:paraId="5F7B7265" w14:textId="77777777" w:rsidR="00156F2F" w:rsidRPr="00100C82" w:rsidRDefault="00156F2F" w:rsidP="00156F2F">
      <w:pPr>
        <w:spacing w:line="480" w:lineRule="auto"/>
        <w:jc w:val="left"/>
        <w:rPr>
          <w:rFonts w:ascii="Times New Roman" w:hAnsi="Times New Roman" w:cs="Arial"/>
          <w:sz w:val="21"/>
          <w:szCs w:val="21"/>
        </w:rPr>
      </w:pPr>
      <w:r w:rsidRPr="00100C82">
        <w:rPr>
          <w:rFonts w:ascii="Times New Roman" w:hAnsi="Times New Roman" w:cs="Arial"/>
          <w:sz w:val="21"/>
          <w:szCs w:val="21"/>
        </w:rPr>
        <w:t>Random forest machine learning algorithm is called an ensemble method that combines the predictions of several classifiers to achieve improved prediction accuracy. Here we used the random forest method to build a classification model. Firstly, the marker genes in the specific functional GO term of each subgroup were selected as features to training the classification model. Then, the model was trained with the 2000 trees and a number of predictors/3 as the maximum tree depth. We used three-fold cross-validation to make sure the model is stable. Models were built using the R package randomForest</w:t>
      </w:r>
      <w:r w:rsidRPr="00100C82">
        <w:rPr>
          <w:rFonts w:ascii="Times New Roman" w:hAnsi="Times New Roman" w:cs="Arial"/>
          <w:sz w:val="21"/>
          <w:szCs w:val="21"/>
        </w:rPr>
        <w:fldChar w:fldCharType="begin"/>
      </w:r>
      <w:r w:rsidRPr="00100C82">
        <w:rPr>
          <w:rFonts w:ascii="Times New Roman" w:hAnsi="Times New Roman" w:cs="Arial"/>
          <w:sz w:val="21"/>
          <w:szCs w:val="21"/>
        </w:rPr>
        <w:instrText xml:space="preserve"> ADDIN EN.CITE &lt;EndNote&gt;&lt;Cite&gt;&lt;Author&gt;Svetnik&lt;/Author&gt;&lt;Year&gt;2003&lt;/Year&gt;&lt;RecNum&gt;683&lt;/RecNum&gt;&lt;DisplayText&gt;&lt;style face="superscript"&gt;7&lt;/style&gt;&lt;/DisplayText&gt;&lt;record&gt;&lt;rec-number&gt;683&lt;/rec-number&gt;&lt;foreign-keys&gt;&lt;key app="EN" db-id="tz0e0vz2hd2awce0v5rva0fm0pdtx99zvrpx" timestamp="1563345568"&gt;683&lt;/key&gt;&lt;/foreign-keys&gt;&lt;ref-type name="Journal Article"&gt;17&lt;/ref-type&gt;&lt;contributors&gt;&lt;authors&gt;&lt;author&gt;Svetnik, V.&lt;/author&gt;&lt;author&gt;Liaw, A.&lt;/author&gt;&lt;author&gt;Tong, C.&lt;/author&gt;&lt;author&gt;Culberson, J. C.&lt;/author&gt;&lt;author&gt;Sheridan, R. P.&lt;/author&gt;&lt;author&gt;Feuston, B. P.&lt;/author&gt;&lt;/authors&gt;&lt;/contributors&gt;&lt;auth-address&gt;Biometrics Research, Merck Research Laboratories, PO Box 2000, Rahway, New Jersey 07065, USA. vladimir_svetnik@merck.com&lt;/auth-address&gt;&lt;titles&gt;&lt;title&gt;Random forest: a classification and regression tool for compound classification and QSAR modeling&lt;/title&gt;&lt;secondary-title&gt;J Chem Inf Comput Sci&lt;/secondary-title&gt;&lt;/titles&gt;&lt;periodical&gt;&lt;full-title&gt;J Chem Inf Comput Sci&lt;/full-title&gt;&lt;/periodical&gt;&lt;pages&gt;1947-58&lt;/pages&gt;&lt;volume&gt;43&lt;/volume&gt;&lt;number&gt;6&lt;/number&gt;&lt;dates&gt;&lt;year&gt;2003&lt;/year&gt;&lt;pub-dates&gt;&lt;date&gt;Nov-Dec&lt;/date&gt;&lt;/pub-dates&gt;&lt;/dates&gt;&lt;isbn&gt;0095-2338 (Print)&amp;#xD;0095-2338 (Linking)&lt;/isbn&gt;&lt;accession-num&gt;14632445&lt;/accession-num&gt;&lt;urls&gt;&lt;related-urls&gt;&lt;url&gt;https://www.ncbi.nlm.nih.gov/pubmed/14632445&lt;/url&gt;&lt;/related-urls&gt;&lt;/urls&gt;&lt;electronic-resource-num&gt;10.1021/ci034160g&lt;/electronic-resource-num&gt;&lt;/record&gt;&lt;/Cite&gt;&lt;/EndNote&gt;</w:instrText>
      </w:r>
      <w:r w:rsidRPr="00100C82">
        <w:rPr>
          <w:rFonts w:ascii="Times New Roman" w:hAnsi="Times New Roman" w:cs="Arial"/>
          <w:sz w:val="21"/>
          <w:szCs w:val="21"/>
        </w:rPr>
        <w:fldChar w:fldCharType="separate"/>
      </w:r>
      <w:r w:rsidRPr="00100C82">
        <w:rPr>
          <w:rFonts w:ascii="Times New Roman" w:hAnsi="Times New Roman" w:cs="Arial"/>
          <w:noProof/>
          <w:sz w:val="21"/>
          <w:szCs w:val="21"/>
          <w:vertAlign w:val="superscript"/>
        </w:rPr>
        <w:t>7</w:t>
      </w:r>
      <w:r w:rsidRPr="00100C82">
        <w:rPr>
          <w:rFonts w:ascii="Times New Roman" w:hAnsi="Times New Roman" w:cs="Arial"/>
          <w:sz w:val="21"/>
          <w:szCs w:val="21"/>
        </w:rPr>
        <w:fldChar w:fldCharType="end"/>
      </w:r>
      <w:r w:rsidRPr="00100C82">
        <w:rPr>
          <w:rFonts w:ascii="Times New Roman" w:hAnsi="Times New Roman" w:cs="Arial"/>
          <w:sz w:val="21"/>
          <w:szCs w:val="21"/>
        </w:rPr>
        <w:t xml:space="preserve"> and ROC curves (supplementary figure 7) were plotted by ROCR</w:t>
      </w:r>
      <w:r w:rsidRPr="00100C82">
        <w:rPr>
          <w:rFonts w:ascii="Times New Roman" w:hAnsi="Times New Roman" w:cs="Arial"/>
          <w:sz w:val="21"/>
          <w:szCs w:val="21"/>
        </w:rPr>
        <w:fldChar w:fldCharType="begin"/>
      </w:r>
      <w:r w:rsidRPr="00100C82">
        <w:rPr>
          <w:rFonts w:ascii="Times New Roman" w:hAnsi="Times New Roman" w:cs="Arial"/>
          <w:sz w:val="21"/>
          <w:szCs w:val="21"/>
        </w:rPr>
        <w:instrText xml:space="preserve"> ADDIN EN.CITE &lt;EndNote&gt;&lt;Cite&gt;&lt;Author&gt;Sing&lt;/Author&gt;&lt;Year&gt;2005&lt;/Year&gt;&lt;RecNum&gt;684&lt;/RecNum&gt;&lt;DisplayText&gt;&lt;style face="superscript"&gt;8&lt;/style&gt;&lt;/DisplayText&gt;&lt;record&gt;&lt;rec-number&gt;684&lt;/rec-number&gt;&lt;foreign-keys&gt;&lt;key app="EN" db-id="tz0e0vz2hd2awce0v5rva0fm0pdtx99zvrpx" timestamp="1563345885"&gt;684&lt;/key&gt;&lt;/foreign-keys&gt;&lt;ref-type name="Journal Article"&gt;17&lt;/ref-type&gt;&lt;contributors&gt;&lt;authors&gt;&lt;author&gt;Sing, T.&lt;/author&gt;&lt;author&gt;Sander, O.&lt;/author&gt;&lt;author&gt;Beerenwinkel, N.&lt;/author&gt;&lt;author&gt;Lengauer, T.&lt;/author&gt;&lt;/authors&gt;&lt;/contributors&gt;&lt;auth-address&gt;Department of Computational Biology and Applied Algorithmics, Max-Planck-Institute for Informatics, Saarbrucken, Germany. tobias.sing@mpi-sb.mpg.de&lt;/auth-address&gt;&lt;titles&gt;&lt;title&gt;ROCR: visualizing classifier performance in R&lt;/title&gt;&lt;secondary-title&gt;Bioinformatics&lt;/secondary-title&gt;&lt;/titles&gt;&lt;periodical&gt;&lt;full-title&gt;Bioinformatics&lt;/full-title&gt;&lt;/periodical&gt;&lt;pages&gt;3940-1&lt;/pages&gt;&lt;volume&gt;21&lt;/volume&gt;&lt;number&gt;20&lt;/number&gt;&lt;keywords&gt;&lt;keyword&gt;*Computer Graphics&lt;/keyword&gt;&lt;keyword&gt;*Data Interpretation, Statistical&lt;/keyword&gt;&lt;keyword&gt;Pattern Recognition, Automated/*methods&lt;/keyword&gt;&lt;keyword&gt;*Programming Languages&lt;/keyword&gt;&lt;keyword&gt;*ROC Curve&lt;/keyword&gt;&lt;keyword&gt;*Software&lt;/keyword&gt;&lt;keyword&gt;*Software Validation&lt;/keyword&gt;&lt;keyword&gt;*User-Computer Interface&lt;/keyword&gt;&lt;/keywords&gt;&lt;dates&gt;&lt;year&gt;2005&lt;/year&gt;&lt;pub-dates&gt;&lt;date&gt;Oct 15&lt;/date&gt;&lt;/pub-dates&gt;&lt;/dates&gt;&lt;isbn&gt;1367-4803 (Print)&amp;#xD;1367-4803 (Linking)&lt;/isbn&gt;&lt;accession-num&gt;16096348&lt;/accession-num&gt;&lt;urls&gt;&lt;related-urls&gt;&lt;url&gt;https://www.ncbi.nlm.nih.gov/pubmed/16096348&lt;/url&gt;&lt;/related-urls&gt;&lt;/urls&gt;&lt;electronic-resource-num&gt;10.1093/bioinformatics/bti623&lt;/electronic-resource-num&gt;&lt;/record&gt;&lt;/Cite&gt;&lt;/EndNote&gt;</w:instrText>
      </w:r>
      <w:r w:rsidRPr="00100C82">
        <w:rPr>
          <w:rFonts w:ascii="Times New Roman" w:hAnsi="Times New Roman" w:cs="Arial"/>
          <w:sz w:val="21"/>
          <w:szCs w:val="21"/>
        </w:rPr>
        <w:fldChar w:fldCharType="separate"/>
      </w:r>
      <w:r w:rsidRPr="00100C82">
        <w:rPr>
          <w:rFonts w:ascii="Times New Roman" w:hAnsi="Times New Roman" w:cs="Arial"/>
          <w:noProof/>
          <w:sz w:val="21"/>
          <w:szCs w:val="21"/>
          <w:vertAlign w:val="superscript"/>
        </w:rPr>
        <w:t>8</w:t>
      </w:r>
      <w:r w:rsidRPr="00100C82">
        <w:rPr>
          <w:rFonts w:ascii="Times New Roman" w:hAnsi="Times New Roman" w:cs="Arial"/>
          <w:sz w:val="21"/>
          <w:szCs w:val="21"/>
        </w:rPr>
        <w:fldChar w:fldCharType="end"/>
      </w:r>
      <w:r w:rsidRPr="00100C82">
        <w:rPr>
          <w:rFonts w:ascii="Times New Roman" w:hAnsi="Times New Roman" w:cs="Arial"/>
          <w:sz w:val="21"/>
          <w:szCs w:val="21"/>
        </w:rPr>
        <w:t>. At last, two public datasets, E-MTAB-6266</w:t>
      </w:r>
      <w:r w:rsidRPr="00100C82">
        <w:rPr>
          <w:rFonts w:ascii="Times New Roman" w:hAnsi="Times New Roman" w:cs="Arial"/>
          <w:sz w:val="21"/>
          <w:szCs w:val="21"/>
        </w:rPr>
        <w:fldChar w:fldCharType="begin">
          <w:fldData xml:space="preserve">PEVuZE5vdGU+PENpdGU+PEF1dGhvcj5Tb3VsPC9BdXRob3I+PFllYXI+MjAxNzwvWWVhcj48UmVj
TnVtPjUyNjwvUmVjTnVtPjxEaXNwbGF5VGV4dD48c3R5bGUgZmFjZT0ic3VwZXJzY3JpcHQiPjk8
L3N0eWxlPjwvRGlzcGxheVRleHQ+PHJlY29yZD48cmVjLW51bWJlcj41MjY8L3JlYy1udW1iZXI+
PGZvcmVpZ24ta2V5cz48a2V5IGFwcD0iRU4iIGRiLWlkPSJ0ejBlMHZ6MmhkMmF3Y2UwdjVydmEw
Zm0wcGR0eDk5enZycHgiIHRpbWVzdGFtcD0iMTUxNTAzMzQzNCI+NTI2PC9rZXk+PGtleSBhcHA9
IkVOV2ViIiBkYi1pZD0iIj4wPC9rZXk+PC9mb3JlaWduLWtleXM+PHJlZi10eXBlIG5hbWU9Ikpv
dXJuYWwgQXJ0aWNsZSI+MTc8L3JlZi10eXBlPjxjb250cmlidXRvcnM+PGF1dGhvcnM+PGF1dGhv
cj5Tb3VsLCBKLjwvYXV0aG9yPjxhdXRob3I+RHVubiwgUy4gTC48L2F1dGhvcj48YXV0aG9yPkFu
YW5kLCBTLjwvYXV0aG9yPjxhdXRob3I+U2VycmFjaW5vLUluZ2xvdHQsIEYuPC9hdXRob3I+PGF1
dGhvcj5TY2h3YXJ0eiwgSi4gTS48L2F1dGhvcj48YXV0aG9yPkJvb3QtSGFuZGZvcmQsIFIuIFAu
PC9hdXRob3I+PGF1dGhvcj5IYXJkaW5naGFtLCBULiBFLjwvYXV0aG9yPjwvYXV0aG9ycz48L2Nv
bnRyaWJ1dG9ycz48YXV0aC1hZGRyZXNzPldlbGxjb21lIFRydXN0IENlbnRyZSBmb3IgQ2VsbC1N
YXRyaXggUmVzZWFyY2gsIERpdmlzaW9uIG9mIENlbGwtTWF0cml4IEJpb2xvZ3kgYW5kIFJlZ2Vu
ZXJhdGl2ZSBNZWRpY2luZSwgU2Nob29sIG9mIEJpb2xvZ2ljYWwgU2NpZW5jZXMsIEZhY3VsdHkg
b2YgQmlvbG9neSwgTWVkaWNpbmUgYW5kIEhlYWx0aCwgTWFuY2hlc3RlciBBY2FkZW1pYyBIZWFs
dGggU2NpZW5jZSBDZW50cmUsIFVuaXZlcnNpdHkgb2YgTWFuY2hlc3RlciwgTWFuY2hlc3Rlciwg
VUsuJiN4RDtEZXBhcnRtZW50IG9mIE9ydGhvcGFlZGljIFN1cmdlcnksIFN0b2NrcG9ydCBOSFMg
Rm91bmRhdGlvbiBUcnVzdCwgU3RvY2twb3J0LCBVSy4mI3hEO0RlcGFydG1lbnQgb2YgVmFzY3Vs
YXIgU3VyZ2VyeSwgQ2VudHJhbCBNYW5jaGVzdGVyIE5IUyBGb3VuZGF0aW9uIFRydXN0LCBNYW5j
aGVzdGVyLCBVSy4mI3hEO0RpdmlzaW9uIG9mIEV2b2x1dGlvbiBhbmQgR2Vub21pYyBTY2llbmNl
cywgU2Nob29sIG9mIEJpb2xvZ2ljYWwgU2NpZW5jZXMsIEZhY3VsdHkgb2YgQmlvbG9neSwgTWVk
aWNpbmUgYW5kIEhlYWx0aCwgTWFuY2hlc3RlciBBY2FkZW1pYyBIZWFsdGggU2NpZW5jZSBDZW50
cmUsIFVuaXZlcnNpdHkgb2YgTWFuY2hlc3RlciwgTWFuY2hlc3RlciwgVUsuPC9hdXRoLWFkZHJl
c3M+PHRpdGxlcz48dGl0bGU+U3RyYXRpZmljYXRpb24gb2Yga25lZSBvc3Rlb2FydGhyaXRpczog
dHdvIG1ham9yIHBhdGllbnQgc3ViZ3JvdXBzIGlkZW50aWZpZWQgYnkgZ2Vub21lLXdpZGUgZXhw
cmVzc2lvbiBhbmFseXNpcyBvZiBhcnRpY3VsYXIgY2FydGlsYWdlPC90aXRsZT48c2Vjb25kYXJ5
LXRpdGxlPkFubiBSaGV1bSBEaXM8L3NlY29uZGFyeS10aXRsZT48L3RpdGxlcz48cGVyaW9kaWNh
bD48ZnVsbC10aXRsZT5Bbm4gUmhldW0gRGlzPC9mdWxsLXRpdGxlPjwvcGVyaW9kaWNhbD48a2V5
d29yZHM+PGtleXdvcmQ+Y2hvbmRyb2N5dGVzPC9rZXl3b3JkPjxrZXl3b3JkPmRpc2Vhc2UgYWN0
aXZpdHk8L2tleXdvcmQ+PGtleXdvcmQ+aW5mbGFtbWF0aW9uPC9rZXl3b3JkPjxrZXl3b3JkPmtu
ZWUgb3N0ZW9hcnRocml0aXM8L2tleXdvcmQ+PGtleXdvcmQ+b3N0ZW9hcnRocml0aXM8L2tleXdv
cmQ+PC9rZXl3b3Jkcz48ZGF0ZXM+PHllYXI+MjAxNzwveWVhcj48cHViLWRhdGVzPjxkYXRlPkRl
YyAyMjwvZGF0ZT48L3B1Yi1kYXRlcz48L2RhdGVzPjxpc2JuPjE0NjgtMjA2MCAoRWxlY3Ryb25p
YykmI3hEOzAwMDMtNDk2NyAoTGlua2luZyk8L2lzYm4+PGFjY2Vzc2lvbi1udW0+MjkyNzM2NDU8
L2FjY2Vzc2lvbi1udW0+PHVybHM+PHJlbGF0ZWQtdXJscz48dXJsPmh0dHBzOi8vd3d3Lm5jYmku
bmxtLm5paC5nb3YvcHVibWVkLzI5MjczNjQ1PC91cmw+PHVybD5odHRwOi8vYXJkLmJtai5jb20v
Y29udGVudC9hbm5yaGV1bWRpcy83Ny8zLzQyMy5mdWxsLnBkZjwvdXJsPjwvcmVsYXRlZC11cmxz
PjwvdXJscz48ZWxlY3Ryb25pYy1yZXNvdXJjZS1udW0+MTAuMTEzNi9hbm5yaGV1bWRpcy0yMDE3
LTIxMjYwMzwvZWxlY3Ryb25pYy1yZXNvdXJjZS1udW0+PC9yZWNvcmQ+PC9DaXRlPjwvRW5kTm90
ZT4A
</w:fldData>
        </w:fldChar>
      </w:r>
      <w:r w:rsidRPr="00100C82">
        <w:rPr>
          <w:rFonts w:ascii="Times New Roman" w:hAnsi="Times New Roman" w:cs="Arial"/>
          <w:sz w:val="21"/>
          <w:szCs w:val="21"/>
        </w:rPr>
        <w:instrText xml:space="preserve"> ADDIN EN.CITE </w:instrText>
      </w:r>
      <w:r w:rsidRPr="00100C82">
        <w:rPr>
          <w:rFonts w:ascii="Times New Roman" w:hAnsi="Times New Roman" w:cs="Arial"/>
          <w:sz w:val="21"/>
          <w:szCs w:val="21"/>
        </w:rPr>
        <w:fldChar w:fldCharType="begin">
          <w:fldData xml:space="preserve">PEVuZE5vdGU+PENpdGU+PEF1dGhvcj5Tb3VsPC9BdXRob3I+PFllYXI+MjAxNzwvWWVhcj48UmVj
TnVtPjUyNjwvUmVjTnVtPjxEaXNwbGF5VGV4dD48c3R5bGUgZmFjZT0ic3VwZXJzY3JpcHQiPjk8
L3N0eWxlPjwvRGlzcGxheVRleHQ+PHJlY29yZD48cmVjLW51bWJlcj41MjY8L3JlYy1udW1iZXI+
PGZvcmVpZ24ta2V5cz48a2V5IGFwcD0iRU4iIGRiLWlkPSJ0ejBlMHZ6MmhkMmF3Y2UwdjVydmEw
Zm0wcGR0eDk5enZycHgiIHRpbWVzdGFtcD0iMTUxNTAzMzQzNCI+NTI2PC9rZXk+PGtleSBhcHA9
IkVOV2ViIiBkYi1pZD0iIj4wPC9rZXk+PC9mb3JlaWduLWtleXM+PHJlZi10eXBlIG5hbWU9Ikpv
dXJuYWwgQXJ0aWNsZSI+MTc8L3JlZi10eXBlPjxjb250cmlidXRvcnM+PGF1dGhvcnM+PGF1dGhv
cj5Tb3VsLCBKLjwvYXV0aG9yPjxhdXRob3I+RHVubiwgUy4gTC48L2F1dGhvcj48YXV0aG9yPkFu
YW5kLCBTLjwvYXV0aG9yPjxhdXRob3I+U2VycmFjaW5vLUluZ2xvdHQsIEYuPC9hdXRob3I+PGF1
dGhvcj5TY2h3YXJ0eiwgSi4gTS48L2F1dGhvcj48YXV0aG9yPkJvb3QtSGFuZGZvcmQsIFIuIFAu
PC9hdXRob3I+PGF1dGhvcj5IYXJkaW5naGFtLCBULiBFLjwvYXV0aG9yPjwvYXV0aG9ycz48L2Nv
bnRyaWJ1dG9ycz48YXV0aC1hZGRyZXNzPldlbGxjb21lIFRydXN0IENlbnRyZSBmb3IgQ2VsbC1N
YXRyaXggUmVzZWFyY2gsIERpdmlzaW9uIG9mIENlbGwtTWF0cml4IEJpb2xvZ3kgYW5kIFJlZ2Vu
ZXJhdGl2ZSBNZWRpY2luZSwgU2Nob29sIG9mIEJpb2xvZ2ljYWwgU2NpZW5jZXMsIEZhY3VsdHkg
b2YgQmlvbG9neSwgTWVkaWNpbmUgYW5kIEhlYWx0aCwgTWFuY2hlc3RlciBBY2FkZW1pYyBIZWFs
dGggU2NpZW5jZSBDZW50cmUsIFVuaXZlcnNpdHkgb2YgTWFuY2hlc3RlciwgTWFuY2hlc3Rlciwg
VUsuJiN4RDtEZXBhcnRtZW50IG9mIE9ydGhvcGFlZGljIFN1cmdlcnksIFN0b2NrcG9ydCBOSFMg
Rm91bmRhdGlvbiBUcnVzdCwgU3RvY2twb3J0LCBVSy4mI3hEO0RlcGFydG1lbnQgb2YgVmFzY3Vs
YXIgU3VyZ2VyeSwgQ2VudHJhbCBNYW5jaGVzdGVyIE5IUyBGb3VuZGF0aW9uIFRydXN0LCBNYW5j
aGVzdGVyLCBVSy4mI3hEO0RpdmlzaW9uIG9mIEV2b2x1dGlvbiBhbmQgR2Vub21pYyBTY2llbmNl
cywgU2Nob29sIG9mIEJpb2xvZ2ljYWwgU2NpZW5jZXMsIEZhY3VsdHkgb2YgQmlvbG9neSwgTWVk
aWNpbmUgYW5kIEhlYWx0aCwgTWFuY2hlc3RlciBBY2FkZW1pYyBIZWFsdGggU2NpZW5jZSBDZW50
cmUsIFVuaXZlcnNpdHkgb2YgTWFuY2hlc3RlciwgTWFuY2hlc3RlciwgVUsuPC9hdXRoLWFkZHJl
c3M+PHRpdGxlcz48dGl0bGU+U3RyYXRpZmljYXRpb24gb2Yga25lZSBvc3Rlb2FydGhyaXRpczog
dHdvIG1ham9yIHBhdGllbnQgc3ViZ3JvdXBzIGlkZW50aWZpZWQgYnkgZ2Vub21lLXdpZGUgZXhw
cmVzc2lvbiBhbmFseXNpcyBvZiBhcnRpY3VsYXIgY2FydGlsYWdlPC90aXRsZT48c2Vjb25kYXJ5
LXRpdGxlPkFubiBSaGV1bSBEaXM8L3NlY29uZGFyeS10aXRsZT48L3RpdGxlcz48cGVyaW9kaWNh
bD48ZnVsbC10aXRsZT5Bbm4gUmhldW0gRGlzPC9mdWxsLXRpdGxlPjwvcGVyaW9kaWNhbD48a2V5
d29yZHM+PGtleXdvcmQ+Y2hvbmRyb2N5dGVzPC9rZXl3b3JkPjxrZXl3b3JkPmRpc2Vhc2UgYWN0
aXZpdHk8L2tleXdvcmQ+PGtleXdvcmQ+aW5mbGFtbWF0aW9uPC9rZXl3b3JkPjxrZXl3b3JkPmtu
ZWUgb3N0ZW9hcnRocml0aXM8L2tleXdvcmQ+PGtleXdvcmQ+b3N0ZW9hcnRocml0aXM8L2tleXdv
cmQ+PC9rZXl3b3Jkcz48ZGF0ZXM+PHllYXI+MjAxNzwveWVhcj48cHViLWRhdGVzPjxkYXRlPkRl
YyAyMjwvZGF0ZT48L3B1Yi1kYXRlcz48L2RhdGVzPjxpc2JuPjE0NjgtMjA2MCAoRWxlY3Ryb25p
YykmI3hEOzAwMDMtNDk2NyAoTGlua2luZyk8L2lzYm4+PGFjY2Vzc2lvbi1udW0+MjkyNzM2NDU8
L2FjY2Vzc2lvbi1udW0+PHVybHM+PHJlbGF0ZWQtdXJscz48dXJsPmh0dHBzOi8vd3d3Lm5jYmku
bmxtLm5paC5nb3YvcHVibWVkLzI5MjczNjQ1PC91cmw+PHVybD5odHRwOi8vYXJkLmJtai5jb20v
Y29udGVudC9hbm5yaGV1bWRpcy83Ny8zLzQyMy5mdWxsLnBkZjwvdXJsPjwvcmVsYXRlZC11cmxz
PjwvdXJscz48ZWxlY3Ryb25pYy1yZXNvdXJjZS1udW0+MTAuMTEzNi9hbm5yaGV1bWRpcy0yMDE3
LTIxMjYwMzwvZWxlY3Ryb25pYy1yZXNvdXJjZS1udW0+PC9yZWNvcmQ+PC9DaXRlPjwvRW5kTm90
ZT4A
</w:fldData>
        </w:fldChar>
      </w:r>
      <w:r w:rsidRPr="00100C82">
        <w:rPr>
          <w:rFonts w:ascii="Times New Roman" w:hAnsi="Times New Roman" w:cs="Arial"/>
          <w:sz w:val="21"/>
          <w:szCs w:val="21"/>
        </w:rPr>
        <w:instrText xml:space="preserve"> ADDIN EN.CITE.DATA </w:instrText>
      </w:r>
      <w:r w:rsidRPr="00100C82">
        <w:rPr>
          <w:rFonts w:ascii="Times New Roman" w:hAnsi="Times New Roman" w:cs="Arial"/>
          <w:sz w:val="21"/>
          <w:szCs w:val="21"/>
        </w:rPr>
      </w:r>
      <w:r w:rsidRPr="00100C82">
        <w:rPr>
          <w:rFonts w:ascii="Times New Roman" w:hAnsi="Times New Roman" w:cs="Arial"/>
          <w:sz w:val="21"/>
          <w:szCs w:val="21"/>
        </w:rPr>
        <w:fldChar w:fldCharType="end"/>
      </w:r>
      <w:r w:rsidRPr="00100C82">
        <w:rPr>
          <w:rFonts w:ascii="Times New Roman" w:hAnsi="Times New Roman" w:cs="Arial"/>
          <w:sz w:val="21"/>
          <w:szCs w:val="21"/>
        </w:rPr>
      </w:r>
      <w:r w:rsidRPr="00100C82">
        <w:rPr>
          <w:rFonts w:ascii="Times New Roman" w:hAnsi="Times New Roman" w:cs="Arial"/>
          <w:sz w:val="21"/>
          <w:szCs w:val="21"/>
        </w:rPr>
        <w:fldChar w:fldCharType="separate"/>
      </w:r>
      <w:r w:rsidRPr="00100C82">
        <w:rPr>
          <w:rFonts w:ascii="Times New Roman" w:hAnsi="Times New Roman" w:cs="Arial"/>
          <w:noProof/>
          <w:sz w:val="21"/>
          <w:szCs w:val="21"/>
          <w:vertAlign w:val="superscript"/>
        </w:rPr>
        <w:t>9</w:t>
      </w:r>
      <w:r w:rsidRPr="00100C82">
        <w:rPr>
          <w:rFonts w:ascii="Times New Roman" w:hAnsi="Times New Roman" w:cs="Arial"/>
          <w:sz w:val="21"/>
          <w:szCs w:val="21"/>
        </w:rPr>
        <w:fldChar w:fldCharType="end"/>
      </w:r>
      <w:r w:rsidRPr="00100C82">
        <w:rPr>
          <w:rFonts w:ascii="Times New Roman" w:hAnsi="Times New Roman" w:cs="Arial"/>
          <w:sz w:val="21"/>
          <w:szCs w:val="21"/>
        </w:rPr>
        <w:t xml:space="preserve"> and GSE114007</w:t>
      </w:r>
      <w:r w:rsidRPr="00100C82">
        <w:rPr>
          <w:rFonts w:ascii="Times New Roman" w:hAnsi="Times New Roman" w:cs="Arial"/>
          <w:sz w:val="21"/>
          <w:szCs w:val="21"/>
        </w:rPr>
        <w:fldChar w:fldCharType="begin">
          <w:fldData xml:space="preserve">PEVuZE5vdGU+PENpdGU+PEF1dGhvcj5GaXNjaDwvQXV0aG9yPjxZZWFyPjIwMTg8L1llYXI+PFJl
Y051bT42ODU8L1JlY051bT48RGlzcGxheVRleHQ+PHN0eWxlIGZhY2U9InN1cGVyc2NyaXB0Ij4x
MDwvc3R5bGU+PC9EaXNwbGF5VGV4dD48cmVjb3JkPjxyZWMtbnVtYmVyPjY4NTwvcmVjLW51bWJl
cj48Zm9yZWlnbi1rZXlzPjxrZXkgYXBwPSJFTiIgZGItaWQ9InR6MGUwdnoyaGQyYXdjZTB2NXJ2
YTBmbTBwZHR4OTl6dnJweCIgdGltZXN0YW1wPSIxNTYzMzQ2NDk3Ij42ODU8L2tleT48L2ZvcmVp
Z24ta2V5cz48cmVmLXR5cGUgbmFtZT0iSm91cm5hbCBBcnRpY2xlIj4xNzwvcmVmLXR5cGU+PGNv
bnRyaWJ1dG9ycz48YXV0aG9ycz48YXV0aG9yPkZpc2NoLCBLLiBNLjwvYXV0aG9yPjxhdXRob3I+
R2FtaW5pLCBSLjwvYXV0aG9yPjxhdXRob3I+QWx2YXJlei1HYXJjaWEsIE8uPC9hdXRob3I+PGF1
dGhvcj5Ba2FnaSwgUi48L2F1dGhvcj48YXV0aG9yPlNhaXRvLCBNLjwvYXV0aG9yPjxhdXRob3I+
TXVyYW1hdHN1LCBZLjwvYXV0aG9yPjxhdXRob3I+U2FzaG8sIFQuPC9hdXRob3I+PGF1dGhvcj5L
b3ppb2wsIEouIEEuPC9hdXRob3I+PGF1dGhvcj5TdSwgQS4gSS48L2F1dGhvcj48YXV0aG9yPkxv
dHosIE0uIEsuPC9hdXRob3I+PC9hdXRob3JzPjwvY29udHJpYnV0b3JzPjxhdXRoLWFkZHJlc3M+
Q2VudGVyIGZvciBDb21wdXRhdGlvbmFsIEJpb2xvZ3kgYW5kIEJpb2luZm9ybWF0aWNzLCBEZXBh
cnRtZW50IG9mIE1lZGljaW5lLCBVbml2ZXJzaXR5IG9mIENhbGlmb3JuaWEsIFNhbiBEaWVnbywg
OTUwMCBHaWxtYW4gRHJpdmUsIExhIEpvbGxhLCBDQSwgVVNBLiYjeEQ7RGVwYXJ0bWVudCBvZiBN
b2xlY3VsYXIgTWVkaWNpbmUsIFRoZSBTY3JpcHBzIFJlc2VhcmNoIEluc3RpdHV0ZSwgMTA1NTAg
Tm9ydGggVG9ycmV5IFBpbmVzIFJvYWQsIExhIEpvbGxhLCBDQSwgVVNBLiYjeEQ7RGVwYXJ0bWVu
dCBvZiBNb2xlY3VsYXIgTWVkaWNpbmUsIFRoZSBTY3JpcHBzIFJlc2VhcmNoIEluc3RpdHV0ZSwg
MTA1NTAgTm9ydGggVG9ycmV5IFBpbmVzIFJvYWQsIExhIEpvbGxhLCBDQSwgVVNBOyBEZXBhcnRt
ZW50IG9mIE9ydGhvcGFlZGljIFN1cmdlcnksIENoaWJhIFVuaXZlcnNpdHkgSG9zcGl0YWwgMS04
LTEgSW5vaGFuYSwgQ2h1by1rdSwgQ2hpYmEsIEphcGFuLiYjeEQ7RGVwYXJ0bWVudCBvZiBPcnRo
b3BhZWRpYyBTdXJnZXJ5LCBDaGliYSBVbml2ZXJzaXR5IEhvc3BpdGFsIDEtOC0xIElub2hhbmEs
IENodW8ta3UsIENoaWJhLCBKYXBhbi4mI3hEO0RlcGFydG1lbnQgb2YgTW9sZWN1bGFyIE1lZGlj
aW5lLCBUaGUgU2NyaXBwcyBSZXNlYXJjaCBJbnN0aXR1dGUsIDEwNTUwIE5vcnRoIFRvcnJleSBQ
aW5lcyBSb2FkLCBMYSBKb2xsYSwgQ0EsIFVTQS4gRWxlY3Ryb25pYyBhZGRyZXNzOiBtbG90ekBz
Y3JpcHBzLmVkdS48L2F1dGgtYWRkcmVzcz48dGl0bGVzPjx0aXRsZT5JZGVudGlmaWNhdGlvbiBv
ZiB0cmFuc2NyaXB0aW9uIGZhY3RvcnMgcmVzcG9uc2libGUgZm9yIGR5c3JlZ3VsYXRlZCBuZXR3
b3JrcyBpbiBodW1hbiBvc3Rlb2FydGhyaXRpcyBjYXJ0aWxhZ2UgYnkgZ2xvYmFsIGdlbmUgZXhw
cmVzc2lvbiBhbmFseXNpczwvdGl0bGU+PHNlY29uZGFyeS10aXRsZT5Pc3Rlb2FydGhyaXRpcyBD
YXJ0aWxhZ2U8L3NlY29uZGFyeS10aXRsZT48L3RpdGxlcz48cGVyaW9kaWNhbD48ZnVsbC10aXRs
ZT5Pc3Rlb2FydGhyaXRpcyBDYXJ0aWxhZ2U8L2Z1bGwtdGl0bGU+PC9wZXJpb2RpY2FsPjxwYWdl
cz4xNTMxLTE1Mzg8L3BhZ2VzPjx2b2x1bWU+MjY8L3ZvbHVtZT48bnVtYmVyPjExPC9udW1iZXI+
PGtleXdvcmRzPjxrZXl3b3JkPkNhcnRpbGFnZTwva2V5d29yZD48a2V5d29yZD5HZW5lIGV4cHJl
c3Npb248L2tleXdvcmQ+PGtleXdvcmQ+VHJhbnNjcmlwdGlvbiBmYWN0b3JzPC9rZXl3b3JkPjwv
a2V5d29yZHM+PGRhdGVzPjx5ZWFyPjIwMTg8L3llYXI+PHB1Yi1kYXRlcz48ZGF0ZT5Ob3Y8L2Rh
dGU+PC9wdWItZGF0ZXM+PC9kYXRlcz48aXNibj4xNTIyLTk2NTMgKEVsZWN0cm9uaWMpJiN4RDsx
MDYzLTQ1ODQgKExpbmtpbmcpPC9pc2JuPjxhY2Nlc3Npb24tbnVtPjMwMDgxMDc0PC9hY2Nlc3Np
b24tbnVtPjx1cmxzPjxyZWxhdGVkLXVybHM+PHVybD5odHRwczovL3d3dy5uY2JpLm5sbS5uaWgu
Z292L3B1Ym1lZC8zMDA4MTA3NDwvdXJsPjwvcmVsYXRlZC11cmxzPjwvdXJscz48Y3VzdG9tMj5Q
TUM2MjQ1NTk4PC9jdXN0b20yPjxlbGVjdHJvbmljLXJlc291cmNlLW51bT4xMC4xMDE2L2ouam9j
YS4yMDE4LjA3LjAxMjwvZWxlY3Ryb25pYy1yZXNvdXJjZS1udW0+PC9yZWNvcmQ+PC9DaXRlPjwv
RW5kTm90ZT4A
</w:fldData>
        </w:fldChar>
      </w:r>
      <w:r w:rsidRPr="00100C82">
        <w:rPr>
          <w:rFonts w:ascii="Times New Roman" w:hAnsi="Times New Roman" w:cs="Arial"/>
          <w:sz w:val="21"/>
          <w:szCs w:val="21"/>
        </w:rPr>
        <w:instrText xml:space="preserve"> ADDIN EN.CITE </w:instrText>
      </w:r>
      <w:r w:rsidRPr="00100C82">
        <w:rPr>
          <w:rFonts w:ascii="Times New Roman" w:hAnsi="Times New Roman" w:cs="Arial"/>
          <w:sz w:val="21"/>
          <w:szCs w:val="21"/>
        </w:rPr>
        <w:fldChar w:fldCharType="begin">
          <w:fldData xml:space="preserve">PEVuZE5vdGU+PENpdGU+PEF1dGhvcj5GaXNjaDwvQXV0aG9yPjxZZWFyPjIwMTg8L1llYXI+PFJl
Y051bT42ODU8L1JlY051bT48RGlzcGxheVRleHQ+PHN0eWxlIGZhY2U9InN1cGVyc2NyaXB0Ij4x
MDwvc3R5bGU+PC9EaXNwbGF5VGV4dD48cmVjb3JkPjxyZWMtbnVtYmVyPjY4NTwvcmVjLW51bWJl
cj48Zm9yZWlnbi1rZXlzPjxrZXkgYXBwPSJFTiIgZGItaWQ9InR6MGUwdnoyaGQyYXdjZTB2NXJ2
YTBmbTBwZHR4OTl6dnJweCIgdGltZXN0YW1wPSIxNTYzMzQ2NDk3Ij42ODU8L2tleT48L2ZvcmVp
Z24ta2V5cz48cmVmLXR5cGUgbmFtZT0iSm91cm5hbCBBcnRpY2xlIj4xNzwvcmVmLXR5cGU+PGNv
bnRyaWJ1dG9ycz48YXV0aG9ycz48YXV0aG9yPkZpc2NoLCBLLiBNLjwvYXV0aG9yPjxhdXRob3I+
R2FtaW5pLCBSLjwvYXV0aG9yPjxhdXRob3I+QWx2YXJlei1HYXJjaWEsIE8uPC9hdXRob3I+PGF1
dGhvcj5Ba2FnaSwgUi48L2F1dGhvcj48YXV0aG9yPlNhaXRvLCBNLjwvYXV0aG9yPjxhdXRob3I+
TXVyYW1hdHN1LCBZLjwvYXV0aG9yPjxhdXRob3I+U2FzaG8sIFQuPC9hdXRob3I+PGF1dGhvcj5L
b3ppb2wsIEouIEEuPC9hdXRob3I+PGF1dGhvcj5TdSwgQS4gSS48L2F1dGhvcj48YXV0aG9yPkxv
dHosIE0uIEsuPC9hdXRob3I+PC9hdXRob3JzPjwvY29udHJpYnV0b3JzPjxhdXRoLWFkZHJlc3M+
Q2VudGVyIGZvciBDb21wdXRhdGlvbmFsIEJpb2xvZ3kgYW5kIEJpb2luZm9ybWF0aWNzLCBEZXBh
cnRtZW50IG9mIE1lZGljaW5lLCBVbml2ZXJzaXR5IG9mIENhbGlmb3JuaWEsIFNhbiBEaWVnbywg
OTUwMCBHaWxtYW4gRHJpdmUsIExhIEpvbGxhLCBDQSwgVVNBLiYjeEQ7RGVwYXJ0bWVudCBvZiBN
b2xlY3VsYXIgTWVkaWNpbmUsIFRoZSBTY3JpcHBzIFJlc2VhcmNoIEluc3RpdHV0ZSwgMTA1NTAg
Tm9ydGggVG9ycmV5IFBpbmVzIFJvYWQsIExhIEpvbGxhLCBDQSwgVVNBLiYjeEQ7RGVwYXJ0bWVu
dCBvZiBNb2xlY3VsYXIgTWVkaWNpbmUsIFRoZSBTY3JpcHBzIFJlc2VhcmNoIEluc3RpdHV0ZSwg
MTA1NTAgTm9ydGggVG9ycmV5IFBpbmVzIFJvYWQsIExhIEpvbGxhLCBDQSwgVVNBOyBEZXBhcnRt
ZW50IG9mIE9ydGhvcGFlZGljIFN1cmdlcnksIENoaWJhIFVuaXZlcnNpdHkgSG9zcGl0YWwgMS04
LTEgSW5vaGFuYSwgQ2h1by1rdSwgQ2hpYmEsIEphcGFuLiYjeEQ7RGVwYXJ0bWVudCBvZiBPcnRo
b3BhZWRpYyBTdXJnZXJ5LCBDaGliYSBVbml2ZXJzaXR5IEhvc3BpdGFsIDEtOC0xIElub2hhbmEs
IENodW8ta3UsIENoaWJhLCBKYXBhbi4mI3hEO0RlcGFydG1lbnQgb2YgTW9sZWN1bGFyIE1lZGlj
aW5lLCBUaGUgU2NyaXBwcyBSZXNlYXJjaCBJbnN0aXR1dGUsIDEwNTUwIE5vcnRoIFRvcnJleSBQ
aW5lcyBSb2FkLCBMYSBKb2xsYSwgQ0EsIFVTQS4gRWxlY3Ryb25pYyBhZGRyZXNzOiBtbG90ekBz
Y3JpcHBzLmVkdS48L2F1dGgtYWRkcmVzcz48dGl0bGVzPjx0aXRsZT5JZGVudGlmaWNhdGlvbiBv
ZiB0cmFuc2NyaXB0aW9uIGZhY3RvcnMgcmVzcG9uc2libGUgZm9yIGR5c3JlZ3VsYXRlZCBuZXR3
b3JrcyBpbiBodW1hbiBvc3Rlb2FydGhyaXRpcyBjYXJ0aWxhZ2UgYnkgZ2xvYmFsIGdlbmUgZXhw
cmVzc2lvbiBhbmFseXNpczwvdGl0bGU+PHNlY29uZGFyeS10aXRsZT5Pc3Rlb2FydGhyaXRpcyBD
YXJ0aWxhZ2U8L3NlY29uZGFyeS10aXRsZT48L3RpdGxlcz48cGVyaW9kaWNhbD48ZnVsbC10aXRs
ZT5Pc3Rlb2FydGhyaXRpcyBDYXJ0aWxhZ2U8L2Z1bGwtdGl0bGU+PC9wZXJpb2RpY2FsPjxwYWdl
cz4xNTMxLTE1Mzg8L3BhZ2VzPjx2b2x1bWU+MjY8L3ZvbHVtZT48bnVtYmVyPjExPC9udW1iZXI+
PGtleXdvcmRzPjxrZXl3b3JkPkNhcnRpbGFnZTwva2V5d29yZD48a2V5d29yZD5HZW5lIGV4cHJl
c3Npb248L2tleXdvcmQ+PGtleXdvcmQ+VHJhbnNjcmlwdGlvbiBmYWN0b3JzPC9rZXl3b3JkPjwv
a2V5d29yZHM+PGRhdGVzPjx5ZWFyPjIwMTg8L3llYXI+PHB1Yi1kYXRlcz48ZGF0ZT5Ob3Y8L2Rh
dGU+PC9wdWItZGF0ZXM+PC9kYXRlcz48aXNibj4xNTIyLTk2NTMgKEVsZWN0cm9uaWMpJiN4RDsx
MDYzLTQ1ODQgKExpbmtpbmcpPC9pc2JuPjxhY2Nlc3Npb24tbnVtPjMwMDgxMDc0PC9hY2Nlc3Np
b24tbnVtPjx1cmxzPjxyZWxhdGVkLXVybHM+PHVybD5odHRwczovL3d3dy5uY2JpLm5sbS5uaWgu
Z292L3B1Ym1lZC8zMDA4MTA3NDwvdXJsPjwvcmVsYXRlZC11cmxzPjwvdXJscz48Y3VzdG9tMj5Q
TUM2MjQ1NTk4PC9jdXN0b20yPjxlbGVjdHJvbmljLXJlc291cmNlLW51bT4xMC4xMDE2L2ouam9j
YS4yMDE4LjA3LjAxMjwvZWxlY3Ryb25pYy1yZXNvdXJjZS1udW0+PC9yZWNvcmQ+PC9DaXRlPjwv
RW5kTm90ZT4A
</w:fldData>
        </w:fldChar>
      </w:r>
      <w:r w:rsidRPr="00100C82">
        <w:rPr>
          <w:rFonts w:ascii="Times New Roman" w:hAnsi="Times New Roman" w:cs="Arial"/>
          <w:sz w:val="21"/>
          <w:szCs w:val="21"/>
        </w:rPr>
        <w:instrText xml:space="preserve"> ADDIN EN.CITE.DATA </w:instrText>
      </w:r>
      <w:r w:rsidRPr="00100C82">
        <w:rPr>
          <w:rFonts w:ascii="Times New Roman" w:hAnsi="Times New Roman" w:cs="Arial"/>
          <w:sz w:val="21"/>
          <w:szCs w:val="21"/>
        </w:rPr>
      </w:r>
      <w:r w:rsidRPr="00100C82">
        <w:rPr>
          <w:rFonts w:ascii="Times New Roman" w:hAnsi="Times New Roman" w:cs="Arial"/>
          <w:sz w:val="21"/>
          <w:szCs w:val="21"/>
        </w:rPr>
        <w:fldChar w:fldCharType="end"/>
      </w:r>
      <w:r w:rsidRPr="00100C82">
        <w:rPr>
          <w:rFonts w:ascii="Times New Roman" w:hAnsi="Times New Roman" w:cs="Arial"/>
          <w:sz w:val="21"/>
          <w:szCs w:val="21"/>
        </w:rPr>
      </w:r>
      <w:r w:rsidRPr="00100C82">
        <w:rPr>
          <w:rFonts w:ascii="Times New Roman" w:hAnsi="Times New Roman" w:cs="Arial"/>
          <w:sz w:val="21"/>
          <w:szCs w:val="21"/>
        </w:rPr>
        <w:fldChar w:fldCharType="separate"/>
      </w:r>
      <w:r w:rsidRPr="00100C82">
        <w:rPr>
          <w:rFonts w:ascii="Times New Roman" w:hAnsi="Times New Roman" w:cs="Arial"/>
          <w:noProof/>
          <w:sz w:val="21"/>
          <w:szCs w:val="21"/>
          <w:vertAlign w:val="superscript"/>
        </w:rPr>
        <w:t>10</w:t>
      </w:r>
      <w:r w:rsidRPr="00100C82">
        <w:rPr>
          <w:rFonts w:ascii="Times New Roman" w:hAnsi="Times New Roman" w:cs="Arial"/>
          <w:sz w:val="21"/>
          <w:szCs w:val="21"/>
        </w:rPr>
        <w:fldChar w:fldCharType="end"/>
      </w:r>
      <w:r w:rsidRPr="00100C82">
        <w:rPr>
          <w:rFonts w:ascii="Times New Roman" w:hAnsi="Times New Roman" w:cs="Arial"/>
          <w:sz w:val="21"/>
          <w:szCs w:val="21"/>
        </w:rPr>
        <w:t xml:space="preserve">, were identified to applying the model. </w:t>
      </w:r>
    </w:p>
    <w:p w14:paraId="57D73828" w14:textId="6D832139" w:rsidR="00156F2F" w:rsidRDefault="00156F2F" w:rsidP="00156F2F">
      <w:pPr>
        <w:spacing w:line="480" w:lineRule="auto"/>
        <w:rPr>
          <w:rFonts w:ascii="Times New Roman" w:hAnsi="Times New Roman" w:cs="Times New Roman"/>
          <w:b/>
          <w:bCs/>
          <w:sz w:val="20"/>
          <w:szCs w:val="20"/>
        </w:rPr>
      </w:pPr>
    </w:p>
    <w:p w14:paraId="5A9E6E6F" w14:textId="0210963C" w:rsidR="00B56535" w:rsidRDefault="00747B00" w:rsidP="00156F2F">
      <w:pPr>
        <w:spacing w:line="480" w:lineRule="auto"/>
        <w:rPr>
          <w:rFonts w:ascii="Times New Roman" w:hAnsi="Times New Roman" w:cs="Times New Roman"/>
          <w:b/>
          <w:bCs/>
          <w:sz w:val="20"/>
          <w:szCs w:val="20"/>
        </w:rPr>
      </w:pPr>
      <w:r>
        <w:rPr>
          <w:rFonts w:ascii="Times New Roman" w:hAnsi="Times New Roman" w:cs="Times New Roman" w:hint="eastAsia"/>
          <w:b/>
          <w:bCs/>
          <w:sz w:val="20"/>
          <w:szCs w:val="20"/>
        </w:rPr>
        <w:t>I</w:t>
      </w:r>
      <w:r w:rsidRPr="000E233B">
        <w:rPr>
          <w:rFonts w:ascii="Times New Roman" w:hAnsi="Times New Roman" w:cs="Times New Roman"/>
          <w:b/>
          <w:bCs/>
          <w:sz w:val="20"/>
          <w:szCs w:val="20"/>
        </w:rPr>
        <w:t>mmunohistochemistry assay</w:t>
      </w:r>
    </w:p>
    <w:p w14:paraId="0F79905B" w14:textId="4454B36D" w:rsidR="00B56535" w:rsidRPr="00B56535" w:rsidRDefault="00B56535" w:rsidP="00156F2F">
      <w:pPr>
        <w:spacing w:line="480" w:lineRule="auto"/>
        <w:rPr>
          <w:rFonts w:ascii="Times New Roman" w:hAnsi="Times New Roman" w:cs="Arial"/>
          <w:sz w:val="21"/>
          <w:szCs w:val="21"/>
        </w:rPr>
      </w:pPr>
      <w:r w:rsidRPr="00B56535">
        <w:rPr>
          <w:rFonts w:ascii="Times New Roman" w:hAnsi="Times New Roman" w:cs="Arial"/>
          <w:sz w:val="21"/>
          <w:szCs w:val="21"/>
        </w:rPr>
        <w:t>Cartilage paraffin sections (6 mm) were incubated with 0.5% (w/v) pepsin (</w:t>
      </w:r>
      <w:proofErr w:type="spellStart"/>
      <w:r w:rsidRPr="00B56535">
        <w:rPr>
          <w:rFonts w:ascii="Times New Roman" w:hAnsi="Times New Roman" w:cs="Arial"/>
          <w:sz w:val="21"/>
          <w:szCs w:val="21"/>
        </w:rPr>
        <w:t>Sangon</w:t>
      </w:r>
      <w:proofErr w:type="spellEnd"/>
      <w:r w:rsidRPr="00B56535">
        <w:rPr>
          <w:rFonts w:ascii="Times New Roman" w:hAnsi="Times New Roman" w:cs="Arial"/>
          <w:sz w:val="21"/>
          <w:szCs w:val="21"/>
        </w:rPr>
        <w:t xml:space="preserve"> Biotech, Shanghai, China) in 5 </w:t>
      </w:r>
      <w:proofErr w:type="spellStart"/>
      <w:r w:rsidRPr="00B56535">
        <w:rPr>
          <w:rFonts w:ascii="Times New Roman" w:hAnsi="Times New Roman" w:cs="Arial"/>
          <w:sz w:val="21"/>
          <w:szCs w:val="21"/>
        </w:rPr>
        <w:t>mM</w:t>
      </w:r>
      <w:proofErr w:type="spellEnd"/>
      <w:r w:rsidRPr="00B56535">
        <w:rPr>
          <w:rFonts w:ascii="Times New Roman" w:hAnsi="Times New Roman" w:cs="Arial"/>
          <w:sz w:val="21"/>
          <w:szCs w:val="21"/>
        </w:rPr>
        <w:t xml:space="preserve"> </w:t>
      </w:r>
      <w:proofErr w:type="spellStart"/>
      <w:r w:rsidRPr="00B56535">
        <w:rPr>
          <w:rFonts w:ascii="Times New Roman" w:hAnsi="Times New Roman" w:cs="Arial"/>
          <w:sz w:val="21"/>
          <w:szCs w:val="21"/>
        </w:rPr>
        <w:t>HCl</w:t>
      </w:r>
      <w:proofErr w:type="spellEnd"/>
      <w:r w:rsidRPr="00B56535">
        <w:rPr>
          <w:rFonts w:ascii="Times New Roman" w:hAnsi="Times New Roman" w:cs="Arial"/>
          <w:sz w:val="21"/>
          <w:szCs w:val="21"/>
        </w:rPr>
        <w:t xml:space="preserve"> at 37 </w:t>
      </w:r>
      <w:proofErr w:type="spellStart"/>
      <w:r w:rsidRPr="00B56535">
        <w:rPr>
          <w:rFonts w:ascii="Times New Roman" w:hAnsi="Times New Roman" w:cs="Arial"/>
          <w:sz w:val="21"/>
          <w:szCs w:val="21"/>
        </w:rPr>
        <w:t>oC</w:t>
      </w:r>
      <w:proofErr w:type="spellEnd"/>
      <w:r w:rsidRPr="00B56535">
        <w:rPr>
          <w:rFonts w:ascii="Times New Roman" w:hAnsi="Times New Roman" w:cs="Arial"/>
          <w:sz w:val="21"/>
          <w:szCs w:val="21"/>
        </w:rPr>
        <w:t xml:space="preserve"> for 30 min for antigen retrieval. Endogenous peroxidase was blocked by incubation with 3% (v/v) hydrogen peroxide in methanol for 10min. Nonspecific protein binding was blocked by incubation with 1% (w/v) BSA. Sections were incubated over-night at 4 </w:t>
      </w:r>
      <w:proofErr w:type="spellStart"/>
      <w:r w:rsidRPr="00B56535">
        <w:rPr>
          <w:rFonts w:ascii="Times New Roman" w:hAnsi="Times New Roman" w:cs="Arial"/>
          <w:sz w:val="21"/>
          <w:szCs w:val="21"/>
        </w:rPr>
        <w:t>oC</w:t>
      </w:r>
      <w:proofErr w:type="spellEnd"/>
      <w:r w:rsidRPr="00B56535">
        <w:rPr>
          <w:rFonts w:ascii="Times New Roman" w:hAnsi="Times New Roman" w:cs="Arial"/>
          <w:sz w:val="21"/>
          <w:szCs w:val="21"/>
        </w:rPr>
        <w:t xml:space="preserve"> with primary antibodies: rabbit anti-ACAN (1:100; </w:t>
      </w:r>
      <w:proofErr w:type="spellStart"/>
      <w:r w:rsidRPr="00B56535">
        <w:rPr>
          <w:rFonts w:ascii="Times New Roman" w:hAnsi="Times New Roman" w:cs="Arial"/>
          <w:sz w:val="21"/>
          <w:szCs w:val="21"/>
        </w:rPr>
        <w:t>Abcam</w:t>
      </w:r>
      <w:proofErr w:type="spellEnd"/>
      <w:r w:rsidRPr="00B56535">
        <w:rPr>
          <w:rFonts w:ascii="Times New Roman" w:hAnsi="Times New Roman" w:cs="Arial"/>
          <w:sz w:val="21"/>
          <w:szCs w:val="21"/>
        </w:rPr>
        <w:t xml:space="preserve">, ab186414), rabbit anti-MMP13 (1:200; </w:t>
      </w:r>
      <w:proofErr w:type="spellStart"/>
      <w:r w:rsidRPr="00B56535">
        <w:rPr>
          <w:rFonts w:ascii="Times New Roman" w:hAnsi="Times New Roman" w:cs="Arial"/>
          <w:sz w:val="21"/>
          <w:szCs w:val="21"/>
        </w:rPr>
        <w:t>Abcam</w:t>
      </w:r>
      <w:proofErr w:type="spellEnd"/>
      <w:r w:rsidRPr="00B56535">
        <w:rPr>
          <w:rFonts w:ascii="Times New Roman" w:hAnsi="Times New Roman" w:cs="Arial"/>
          <w:sz w:val="21"/>
          <w:szCs w:val="21"/>
        </w:rPr>
        <w:t>, ab39012), rabbit anti-</w:t>
      </w:r>
      <w:proofErr w:type="spellStart"/>
      <w:r w:rsidRPr="00B56535">
        <w:rPr>
          <w:rFonts w:ascii="Times New Roman" w:hAnsi="Times New Roman" w:cs="Arial"/>
          <w:sz w:val="21"/>
          <w:szCs w:val="21"/>
        </w:rPr>
        <w:t>Synaptophysin</w:t>
      </w:r>
      <w:proofErr w:type="spellEnd"/>
      <w:r w:rsidRPr="00B56535">
        <w:rPr>
          <w:rFonts w:ascii="Times New Roman" w:hAnsi="Times New Roman" w:cs="Arial"/>
          <w:sz w:val="21"/>
          <w:szCs w:val="21"/>
        </w:rPr>
        <w:t xml:space="preserve"> (1:100; </w:t>
      </w:r>
      <w:proofErr w:type="spellStart"/>
      <w:r w:rsidRPr="00B56535">
        <w:rPr>
          <w:rFonts w:ascii="Times New Roman" w:hAnsi="Times New Roman" w:cs="Arial"/>
          <w:sz w:val="21"/>
          <w:szCs w:val="21"/>
        </w:rPr>
        <w:t>Abcam</w:t>
      </w:r>
      <w:proofErr w:type="spellEnd"/>
      <w:r w:rsidRPr="00B56535">
        <w:rPr>
          <w:rFonts w:ascii="Times New Roman" w:hAnsi="Times New Roman" w:cs="Arial"/>
          <w:sz w:val="21"/>
          <w:szCs w:val="21"/>
        </w:rPr>
        <w:t xml:space="preserve">, ab32127), rabbit anti-CD34 (1:100; </w:t>
      </w:r>
      <w:proofErr w:type="spellStart"/>
      <w:r w:rsidRPr="00B56535">
        <w:rPr>
          <w:rFonts w:ascii="Times New Roman" w:hAnsi="Times New Roman" w:cs="Arial"/>
          <w:sz w:val="21"/>
          <w:szCs w:val="21"/>
        </w:rPr>
        <w:t>Abcam</w:t>
      </w:r>
      <w:proofErr w:type="spellEnd"/>
      <w:r w:rsidRPr="00B56535">
        <w:rPr>
          <w:rFonts w:ascii="Times New Roman" w:hAnsi="Times New Roman" w:cs="Arial"/>
          <w:sz w:val="21"/>
          <w:szCs w:val="21"/>
        </w:rPr>
        <w:t>, ab81289). After washing off the excess primary antibodies, these samples were incubated with secondary antibodies and incubated the section for 1 h at room temperature (RT). DAB detection system (</w:t>
      </w:r>
      <w:proofErr w:type="spellStart"/>
      <w:r w:rsidRPr="00B56535">
        <w:rPr>
          <w:rFonts w:ascii="Times New Roman" w:hAnsi="Times New Roman" w:cs="Arial"/>
          <w:sz w:val="21"/>
          <w:szCs w:val="21"/>
        </w:rPr>
        <w:t>Solarbio</w:t>
      </w:r>
      <w:proofErr w:type="spellEnd"/>
      <w:r w:rsidRPr="00B56535">
        <w:rPr>
          <w:rFonts w:ascii="Times New Roman" w:hAnsi="Times New Roman" w:cs="Arial"/>
          <w:sz w:val="21"/>
          <w:szCs w:val="21"/>
        </w:rPr>
        <w:t>, Cat. #DA1010) were used to visualized the sections. For quantitative analysis, 3 sections from different samples were selected for each group, and the positive/total cell ratio were calculated for each section.</w:t>
      </w:r>
    </w:p>
    <w:p w14:paraId="44CE15C3" w14:textId="007BB9BF" w:rsidR="00B56535" w:rsidRDefault="00B56535" w:rsidP="00156F2F">
      <w:pPr>
        <w:spacing w:line="480" w:lineRule="auto"/>
        <w:rPr>
          <w:rFonts w:ascii="Times New Roman" w:hAnsi="Times New Roman" w:cs="Times New Roman"/>
          <w:b/>
          <w:bCs/>
          <w:sz w:val="20"/>
          <w:szCs w:val="20"/>
        </w:rPr>
      </w:pPr>
    </w:p>
    <w:p w14:paraId="0A0E744F" w14:textId="77777777" w:rsidR="00156F2F" w:rsidRPr="00100C82" w:rsidRDefault="00156F2F" w:rsidP="00156F2F">
      <w:pPr>
        <w:spacing w:line="480" w:lineRule="auto"/>
        <w:rPr>
          <w:rFonts w:ascii="Times New Roman" w:hAnsi="Times New Roman" w:cs="Times New Roman"/>
          <w:sz w:val="20"/>
          <w:szCs w:val="20"/>
        </w:rPr>
      </w:pPr>
    </w:p>
    <w:p w14:paraId="5171B5E0" w14:textId="77777777" w:rsidR="00156F2F" w:rsidRPr="00100C82" w:rsidRDefault="00156F2F" w:rsidP="00156F2F">
      <w:pPr>
        <w:spacing w:line="480" w:lineRule="auto"/>
        <w:jc w:val="left"/>
        <w:rPr>
          <w:rFonts w:ascii="Times New Roman" w:hAnsi="Times New Roman" w:cs="Arial"/>
          <w:color w:val="auto"/>
          <w:sz w:val="21"/>
          <w:szCs w:val="21"/>
        </w:rPr>
      </w:pPr>
    </w:p>
    <w:p w14:paraId="125B397B" w14:textId="77777777" w:rsidR="00156F2F" w:rsidRPr="00100C82" w:rsidRDefault="00156F2F" w:rsidP="00156F2F">
      <w:pPr>
        <w:spacing w:line="480" w:lineRule="auto"/>
        <w:jc w:val="left"/>
        <w:rPr>
          <w:rFonts w:ascii="Times New Roman" w:eastAsiaTheme="minorEastAsia" w:hAnsi="Times New Roman" w:cs="Arial"/>
          <w:b/>
          <w:bCs/>
          <w:color w:val="auto"/>
          <w:sz w:val="21"/>
          <w:szCs w:val="21"/>
        </w:rPr>
      </w:pPr>
      <w:r w:rsidRPr="00100C82">
        <w:rPr>
          <w:rFonts w:ascii="Times New Roman" w:eastAsiaTheme="minorEastAsia" w:hAnsi="Times New Roman" w:cs="Arial"/>
          <w:b/>
          <w:bCs/>
          <w:color w:val="auto"/>
          <w:sz w:val="21"/>
          <w:szCs w:val="21"/>
        </w:rPr>
        <w:t>Reference</w:t>
      </w:r>
    </w:p>
    <w:p w14:paraId="50B8D4C3" w14:textId="77777777" w:rsidR="00156F2F" w:rsidRPr="00100C82" w:rsidRDefault="00156F2F" w:rsidP="00156F2F">
      <w:pPr>
        <w:pStyle w:val="EndNoteBibliography"/>
        <w:spacing w:line="480" w:lineRule="auto"/>
        <w:jc w:val="left"/>
        <w:rPr>
          <w:rFonts w:ascii="Times New Roman" w:hAnsi="Times New Roman"/>
          <w:sz w:val="21"/>
          <w:szCs w:val="21"/>
        </w:rPr>
      </w:pPr>
      <w:r w:rsidRPr="00100C82">
        <w:rPr>
          <w:rFonts w:ascii="Times New Roman" w:hAnsi="Times New Roman"/>
          <w:color w:val="auto"/>
          <w:sz w:val="21"/>
          <w:szCs w:val="21"/>
        </w:rPr>
        <w:fldChar w:fldCharType="begin"/>
      </w:r>
      <w:r w:rsidRPr="00100C82">
        <w:rPr>
          <w:rFonts w:ascii="Times New Roman" w:hAnsi="Times New Roman"/>
          <w:color w:val="auto"/>
          <w:sz w:val="21"/>
          <w:szCs w:val="21"/>
        </w:rPr>
        <w:instrText xml:space="preserve"> ADDIN EN.REFLIST </w:instrText>
      </w:r>
      <w:r w:rsidRPr="00100C82">
        <w:rPr>
          <w:rFonts w:ascii="Times New Roman" w:hAnsi="Times New Roman"/>
          <w:color w:val="auto"/>
          <w:sz w:val="21"/>
          <w:szCs w:val="21"/>
        </w:rPr>
        <w:fldChar w:fldCharType="separate"/>
      </w:r>
      <w:r w:rsidRPr="00100C82">
        <w:rPr>
          <w:rFonts w:ascii="Times New Roman" w:hAnsi="Times New Roman"/>
          <w:sz w:val="21"/>
          <w:szCs w:val="21"/>
        </w:rPr>
        <w:t>1.</w:t>
      </w:r>
      <w:r w:rsidRPr="00100C82">
        <w:rPr>
          <w:rFonts w:ascii="Times New Roman" w:hAnsi="Times New Roman"/>
          <w:sz w:val="21"/>
          <w:szCs w:val="21"/>
        </w:rPr>
        <w:tab/>
        <w:t>Luo W, Friedman MS, Shedden K, Hankenson KD, Woolf PJ. GAGE: generally applicable gene set enrichment for pathway analysis. BMC bioinformatics 2009; 10: 161.</w:t>
      </w:r>
    </w:p>
    <w:p w14:paraId="5DC715B4" w14:textId="77777777" w:rsidR="00156F2F" w:rsidRPr="00100C82" w:rsidRDefault="00156F2F" w:rsidP="00156F2F">
      <w:pPr>
        <w:pStyle w:val="EndNoteBibliography"/>
        <w:spacing w:line="480" w:lineRule="auto"/>
        <w:jc w:val="left"/>
        <w:rPr>
          <w:rFonts w:ascii="Times New Roman" w:hAnsi="Times New Roman"/>
          <w:sz w:val="21"/>
          <w:szCs w:val="21"/>
        </w:rPr>
      </w:pPr>
      <w:r w:rsidRPr="00100C82">
        <w:rPr>
          <w:rFonts w:ascii="Times New Roman" w:hAnsi="Times New Roman"/>
          <w:sz w:val="21"/>
          <w:szCs w:val="21"/>
        </w:rPr>
        <w:lastRenderedPageBreak/>
        <w:t>2.</w:t>
      </w:r>
      <w:r w:rsidRPr="00100C82">
        <w:rPr>
          <w:rFonts w:ascii="Times New Roman" w:hAnsi="Times New Roman"/>
          <w:sz w:val="21"/>
          <w:szCs w:val="21"/>
        </w:rPr>
        <w:tab/>
        <w:t>Love MI, Huber W, Anders S. Moderated estimation of fold change and dispersion for RNA-seq data with DESeq2. Genome biology 2014; 15(12): 550.</w:t>
      </w:r>
    </w:p>
    <w:p w14:paraId="39988491" w14:textId="77777777" w:rsidR="00156F2F" w:rsidRPr="00100C82" w:rsidRDefault="00156F2F" w:rsidP="00156F2F">
      <w:pPr>
        <w:pStyle w:val="EndNoteBibliography"/>
        <w:spacing w:line="480" w:lineRule="auto"/>
        <w:jc w:val="left"/>
        <w:rPr>
          <w:rFonts w:ascii="Times New Roman" w:hAnsi="Times New Roman"/>
          <w:sz w:val="21"/>
          <w:szCs w:val="21"/>
        </w:rPr>
      </w:pPr>
      <w:r w:rsidRPr="00100C82">
        <w:rPr>
          <w:rFonts w:ascii="Times New Roman" w:hAnsi="Times New Roman"/>
          <w:sz w:val="21"/>
          <w:szCs w:val="21"/>
        </w:rPr>
        <w:t>3.</w:t>
      </w:r>
      <w:r w:rsidRPr="00100C82">
        <w:rPr>
          <w:rFonts w:ascii="Times New Roman" w:hAnsi="Times New Roman"/>
          <w:sz w:val="21"/>
          <w:szCs w:val="21"/>
        </w:rPr>
        <w:tab/>
        <w:t>Chen H, Boutros PC. VennDiagram: a package for the generation of highly-customizable Venn and Euler diagrams in R. BMC bioinformatics 2011; 12: 35.</w:t>
      </w:r>
    </w:p>
    <w:p w14:paraId="2B2270EA" w14:textId="77777777" w:rsidR="00156F2F" w:rsidRPr="00100C82" w:rsidRDefault="00156F2F" w:rsidP="00156F2F">
      <w:pPr>
        <w:pStyle w:val="EndNoteBibliography"/>
        <w:spacing w:line="480" w:lineRule="auto"/>
        <w:jc w:val="left"/>
        <w:rPr>
          <w:rFonts w:ascii="Times New Roman" w:hAnsi="Times New Roman"/>
          <w:sz w:val="21"/>
          <w:szCs w:val="21"/>
        </w:rPr>
      </w:pPr>
      <w:r w:rsidRPr="00100C82">
        <w:rPr>
          <w:rFonts w:ascii="Times New Roman" w:hAnsi="Times New Roman"/>
          <w:sz w:val="21"/>
          <w:szCs w:val="21"/>
        </w:rPr>
        <w:t>4.</w:t>
      </w:r>
      <w:r w:rsidRPr="00100C82">
        <w:rPr>
          <w:rFonts w:ascii="Times New Roman" w:hAnsi="Times New Roman"/>
          <w:sz w:val="21"/>
          <w:szCs w:val="21"/>
        </w:rPr>
        <w:tab/>
        <w:t>Ramilowski JA, Goldberg T, Harshbarger J, et al. A draft network of ligand-receptor-mediated multicellular signalling in human. Nat Commun 2015; 6: 7866.</w:t>
      </w:r>
    </w:p>
    <w:p w14:paraId="63528A5C" w14:textId="77777777" w:rsidR="00156F2F" w:rsidRPr="00100C82" w:rsidRDefault="00156F2F" w:rsidP="00156F2F">
      <w:pPr>
        <w:pStyle w:val="EndNoteBibliography"/>
        <w:spacing w:line="480" w:lineRule="auto"/>
        <w:jc w:val="left"/>
        <w:rPr>
          <w:rFonts w:ascii="Times New Roman" w:hAnsi="Times New Roman"/>
          <w:sz w:val="21"/>
          <w:szCs w:val="21"/>
        </w:rPr>
      </w:pPr>
      <w:r w:rsidRPr="00100C82">
        <w:rPr>
          <w:rFonts w:ascii="Times New Roman" w:hAnsi="Times New Roman"/>
          <w:sz w:val="21"/>
          <w:szCs w:val="21"/>
        </w:rPr>
        <w:t>5.</w:t>
      </w:r>
      <w:r w:rsidRPr="00100C82">
        <w:rPr>
          <w:rFonts w:ascii="Times New Roman" w:hAnsi="Times New Roman"/>
          <w:sz w:val="21"/>
          <w:szCs w:val="21"/>
        </w:rPr>
        <w:tab/>
        <w:t>Yu G, Wang LG, Han Y, He QY. clusterProfiler: an R package for comparing biological themes among gene clusters. OMICS 2012; 16(5): 284-7.</w:t>
      </w:r>
    </w:p>
    <w:p w14:paraId="7092E4F4" w14:textId="77777777" w:rsidR="00156F2F" w:rsidRPr="00100C82" w:rsidRDefault="00156F2F" w:rsidP="00156F2F">
      <w:pPr>
        <w:pStyle w:val="EndNoteBibliography"/>
        <w:spacing w:line="480" w:lineRule="auto"/>
        <w:jc w:val="left"/>
        <w:rPr>
          <w:rFonts w:ascii="Times New Roman" w:hAnsi="Times New Roman"/>
          <w:sz w:val="21"/>
          <w:szCs w:val="21"/>
        </w:rPr>
      </w:pPr>
      <w:r w:rsidRPr="00100C82">
        <w:rPr>
          <w:rFonts w:ascii="Times New Roman" w:hAnsi="Times New Roman"/>
          <w:sz w:val="21"/>
          <w:szCs w:val="21"/>
        </w:rPr>
        <w:t>6.</w:t>
      </w:r>
      <w:r w:rsidRPr="00100C82">
        <w:rPr>
          <w:rFonts w:ascii="Times New Roman" w:hAnsi="Times New Roman"/>
          <w:sz w:val="21"/>
          <w:szCs w:val="21"/>
        </w:rPr>
        <w:tab/>
        <w:t>Kiselev VY, Kirschner K, Schaub MT, et al. SC3: consensus clustering of single-cell RNA-seq data. Nature methods 2017; 14(5): 483-6.</w:t>
      </w:r>
    </w:p>
    <w:p w14:paraId="4E66564E" w14:textId="77777777" w:rsidR="00156F2F" w:rsidRPr="00100C82" w:rsidRDefault="00156F2F" w:rsidP="00156F2F">
      <w:pPr>
        <w:pStyle w:val="EndNoteBibliography"/>
        <w:spacing w:line="480" w:lineRule="auto"/>
        <w:jc w:val="left"/>
        <w:rPr>
          <w:rFonts w:ascii="Times New Roman" w:hAnsi="Times New Roman"/>
          <w:sz w:val="21"/>
          <w:szCs w:val="21"/>
        </w:rPr>
      </w:pPr>
      <w:r w:rsidRPr="00100C82">
        <w:rPr>
          <w:rFonts w:ascii="Times New Roman" w:hAnsi="Times New Roman"/>
          <w:sz w:val="21"/>
          <w:szCs w:val="21"/>
        </w:rPr>
        <w:t>7.</w:t>
      </w:r>
      <w:r w:rsidRPr="00100C82">
        <w:rPr>
          <w:rFonts w:ascii="Times New Roman" w:hAnsi="Times New Roman"/>
          <w:sz w:val="21"/>
          <w:szCs w:val="21"/>
        </w:rPr>
        <w:tab/>
        <w:t>Svetnik V, Liaw A, Tong C, Culberson JC, Sheridan RP, Feuston BP. Random forest: a classification and regression tool for compound classification and QSAR modeling. J Chem Inf Comput Sci 2003; 43(6): 1947-58.</w:t>
      </w:r>
    </w:p>
    <w:p w14:paraId="4709DD4E" w14:textId="77777777" w:rsidR="00156F2F" w:rsidRPr="00100C82" w:rsidRDefault="00156F2F" w:rsidP="00156F2F">
      <w:pPr>
        <w:pStyle w:val="EndNoteBibliography"/>
        <w:spacing w:line="480" w:lineRule="auto"/>
        <w:jc w:val="left"/>
        <w:rPr>
          <w:rFonts w:ascii="Times New Roman" w:hAnsi="Times New Roman"/>
          <w:sz w:val="21"/>
          <w:szCs w:val="21"/>
        </w:rPr>
      </w:pPr>
      <w:r w:rsidRPr="00100C82">
        <w:rPr>
          <w:rFonts w:ascii="Times New Roman" w:hAnsi="Times New Roman"/>
          <w:sz w:val="21"/>
          <w:szCs w:val="21"/>
        </w:rPr>
        <w:t>8.</w:t>
      </w:r>
      <w:r w:rsidRPr="00100C82">
        <w:rPr>
          <w:rFonts w:ascii="Times New Roman" w:hAnsi="Times New Roman"/>
          <w:sz w:val="21"/>
          <w:szCs w:val="21"/>
        </w:rPr>
        <w:tab/>
        <w:t>Sing T, Sander O, Beerenwinkel N, Lengauer T. ROCR: visualizing classifier performance in R. Bioinformatics 2005; 21(20): 3940-1.</w:t>
      </w:r>
    </w:p>
    <w:p w14:paraId="607BD38C" w14:textId="77777777" w:rsidR="00156F2F" w:rsidRPr="00100C82" w:rsidRDefault="00156F2F" w:rsidP="00156F2F">
      <w:pPr>
        <w:pStyle w:val="EndNoteBibliography"/>
        <w:spacing w:line="480" w:lineRule="auto"/>
        <w:jc w:val="left"/>
        <w:rPr>
          <w:rFonts w:ascii="Times New Roman" w:hAnsi="Times New Roman"/>
          <w:sz w:val="21"/>
          <w:szCs w:val="21"/>
        </w:rPr>
      </w:pPr>
      <w:r w:rsidRPr="00100C82">
        <w:rPr>
          <w:rFonts w:ascii="Times New Roman" w:hAnsi="Times New Roman"/>
          <w:sz w:val="21"/>
          <w:szCs w:val="21"/>
        </w:rPr>
        <w:t>9.</w:t>
      </w:r>
      <w:r w:rsidRPr="00100C82">
        <w:rPr>
          <w:rFonts w:ascii="Times New Roman" w:hAnsi="Times New Roman"/>
          <w:sz w:val="21"/>
          <w:szCs w:val="21"/>
        </w:rPr>
        <w:tab/>
        <w:t>Soul J, Dunn SL, Anand S, et al. Stratification of knee osteoarthritis: two major patient subgroups identified by genome-wide expression analysis of articular cartilage. Ann Rheum Dis 2017.</w:t>
      </w:r>
    </w:p>
    <w:p w14:paraId="096F9660" w14:textId="77777777" w:rsidR="00156F2F" w:rsidRPr="00100C82" w:rsidRDefault="00156F2F" w:rsidP="00156F2F">
      <w:pPr>
        <w:pStyle w:val="EndNoteBibliography"/>
        <w:spacing w:line="480" w:lineRule="auto"/>
        <w:jc w:val="left"/>
        <w:rPr>
          <w:rFonts w:ascii="Times New Roman" w:hAnsi="Times New Roman"/>
          <w:sz w:val="21"/>
          <w:szCs w:val="21"/>
        </w:rPr>
      </w:pPr>
      <w:r w:rsidRPr="00100C82">
        <w:rPr>
          <w:rFonts w:ascii="Times New Roman" w:hAnsi="Times New Roman"/>
          <w:sz w:val="21"/>
          <w:szCs w:val="21"/>
        </w:rPr>
        <w:t>10.</w:t>
      </w:r>
      <w:r w:rsidRPr="00100C82">
        <w:rPr>
          <w:rFonts w:ascii="Times New Roman" w:hAnsi="Times New Roman"/>
          <w:sz w:val="21"/>
          <w:szCs w:val="21"/>
        </w:rPr>
        <w:tab/>
        <w:t>Fisch KM, Gamini R, Alvarez-Garcia O, et al. Identification of transcription factors responsible for dysregulated networks in human osteoarthritis cartilage by global gene expression analysis. Osteoarthritis Cartilage 2018; 26(11): 1531-8.</w:t>
      </w:r>
    </w:p>
    <w:p w14:paraId="200E9875" w14:textId="09B6661D" w:rsidR="00B011F1" w:rsidRPr="00100C82" w:rsidRDefault="00156F2F" w:rsidP="00156F2F">
      <w:pPr>
        <w:rPr>
          <w:rFonts w:ascii="Times New Roman" w:hAnsi="Times New Roman"/>
        </w:rPr>
      </w:pPr>
      <w:r w:rsidRPr="00100C82">
        <w:rPr>
          <w:rFonts w:ascii="Times New Roman" w:hAnsi="Times New Roman" w:cs="Arial"/>
          <w:color w:val="auto"/>
          <w:sz w:val="21"/>
          <w:szCs w:val="21"/>
        </w:rPr>
        <w:fldChar w:fldCharType="end"/>
      </w:r>
    </w:p>
    <w:sectPr w:rsidR="00B011F1" w:rsidRPr="00100C82" w:rsidSect="00757DC2">
      <w:footerReference w:type="default" r:id="rId6"/>
      <w:pgSz w:w="11900" w:h="16840"/>
      <w:pgMar w:top="1440" w:right="1800" w:bottom="1440" w:left="1800" w:header="851" w:footer="992"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61834" w14:textId="77777777" w:rsidR="001822FA" w:rsidRDefault="001822FA">
      <w:r>
        <w:separator/>
      </w:r>
    </w:p>
  </w:endnote>
  <w:endnote w:type="continuationSeparator" w:id="0">
    <w:p w14:paraId="77CA4ACA" w14:textId="77777777" w:rsidR="001822FA" w:rsidRDefault="00182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5813521"/>
      <w:docPartObj>
        <w:docPartGallery w:val="Page Numbers (Bottom of Page)"/>
        <w:docPartUnique/>
      </w:docPartObj>
    </w:sdtPr>
    <w:sdtEndPr/>
    <w:sdtContent>
      <w:p w14:paraId="2731C747" w14:textId="38B06E18" w:rsidR="00BD7013" w:rsidRDefault="00100C82">
        <w:pPr>
          <w:pStyle w:val="a5"/>
          <w:jc w:val="center"/>
        </w:pPr>
        <w:r>
          <w:fldChar w:fldCharType="begin"/>
        </w:r>
        <w:r>
          <w:instrText>PAGE   \* MERGEFORMAT</w:instrText>
        </w:r>
        <w:r>
          <w:fldChar w:fldCharType="separate"/>
        </w:r>
        <w:r w:rsidR="007B3883" w:rsidRPr="007B3883">
          <w:rPr>
            <w:noProof/>
            <w:lang w:val="zh-CN"/>
          </w:rPr>
          <w:t>1</w:t>
        </w:r>
        <w:r>
          <w:fldChar w:fldCharType="end"/>
        </w:r>
      </w:p>
    </w:sdtContent>
  </w:sdt>
  <w:p w14:paraId="3BB6A3B1" w14:textId="77777777" w:rsidR="00BD7013" w:rsidRDefault="001822FA">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C4FFB2" w14:textId="77777777" w:rsidR="001822FA" w:rsidRDefault="001822FA">
      <w:r>
        <w:separator/>
      </w:r>
    </w:p>
  </w:footnote>
  <w:footnote w:type="continuationSeparator" w:id="0">
    <w:p w14:paraId="715C9169" w14:textId="77777777" w:rsidR="001822FA" w:rsidRDefault="001822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zNDa3MDI1NzEzNDBV0lEKTi0uzszPAykwrgUA2zvQqCwAAAA="/>
  </w:docVars>
  <w:rsids>
    <w:rsidRoot w:val="00156F2F"/>
    <w:rsid w:val="00040C98"/>
    <w:rsid w:val="000805F1"/>
    <w:rsid w:val="000E233B"/>
    <w:rsid w:val="00100C82"/>
    <w:rsid w:val="001300EF"/>
    <w:rsid w:val="00156F2F"/>
    <w:rsid w:val="001822FA"/>
    <w:rsid w:val="00183DCF"/>
    <w:rsid w:val="004214CF"/>
    <w:rsid w:val="00747B00"/>
    <w:rsid w:val="007B3883"/>
    <w:rsid w:val="00A1696C"/>
    <w:rsid w:val="00B011F1"/>
    <w:rsid w:val="00B0664D"/>
    <w:rsid w:val="00B16FA3"/>
    <w:rsid w:val="00B36D0A"/>
    <w:rsid w:val="00B56535"/>
    <w:rsid w:val="00BA5F3D"/>
    <w:rsid w:val="00C40A95"/>
    <w:rsid w:val="00DA3E67"/>
    <w:rsid w:val="00F37CFF"/>
    <w:rsid w:val="00FF0A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A3B07"/>
  <w15:chartTrackingRefBased/>
  <w15:docId w15:val="{E6D581F2-1A49-7948-AAB1-630815E02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6F2F"/>
    <w:pPr>
      <w:widowControl w:val="0"/>
      <w:pBdr>
        <w:top w:val="nil"/>
        <w:left w:val="nil"/>
        <w:bottom w:val="nil"/>
        <w:right w:val="nil"/>
        <w:between w:val="nil"/>
        <w:bar w:val="nil"/>
      </w:pBdr>
      <w:jc w:val="both"/>
    </w:pPr>
    <w:rPr>
      <w:rFonts w:ascii="Arial" w:eastAsia="Arial Unicode MS" w:hAnsi="Arial" w:cs="Arial Unicode MS"/>
      <w:color w:val="000000"/>
      <w:kern w:val="2"/>
      <w:u w:color="000000"/>
      <w:bdr w:val="nil"/>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6F2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56F2F"/>
    <w:rPr>
      <w:rFonts w:ascii="Arial" w:eastAsia="Arial Unicode MS" w:hAnsi="Arial" w:cs="Arial Unicode MS"/>
      <w:color w:val="000000"/>
      <w:kern w:val="2"/>
      <w:sz w:val="18"/>
      <w:szCs w:val="18"/>
      <w:u w:color="000000"/>
      <w:bdr w:val="nil"/>
      <w:lang w:val="en-GB"/>
    </w:rPr>
  </w:style>
  <w:style w:type="paragraph" w:styleId="a5">
    <w:name w:val="footer"/>
    <w:basedOn w:val="a"/>
    <w:link w:val="a6"/>
    <w:uiPriority w:val="99"/>
    <w:unhideWhenUsed/>
    <w:rsid w:val="00156F2F"/>
    <w:pPr>
      <w:tabs>
        <w:tab w:val="center" w:pos="4153"/>
        <w:tab w:val="right" w:pos="8306"/>
      </w:tabs>
      <w:snapToGrid w:val="0"/>
      <w:jc w:val="left"/>
    </w:pPr>
    <w:rPr>
      <w:sz w:val="18"/>
      <w:szCs w:val="18"/>
    </w:rPr>
  </w:style>
  <w:style w:type="character" w:customStyle="1" w:styleId="a6">
    <w:name w:val="页脚 字符"/>
    <w:basedOn w:val="a0"/>
    <w:link w:val="a5"/>
    <w:uiPriority w:val="99"/>
    <w:rsid w:val="00156F2F"/>
    <w:rPr>
      <w:rFonts w:ascii="Arial" w:eastAsia="Arial Unicode MS" w:hAnsi="Arial" w:cs="Arial Unicode MS"/>
      <w:color w:val="000000"/>
      <w:kern w:val="2"/>
      <w:sz w:val="18"/>
      <w:szCs w:val="18"/>
      <w:u w:color="000000"/>
      <w:bdr w:val="nil"/>
      <w:lang w:val="en-GB"/>
    </w:rPr>
  </w:style>
  <w:style w:type="character" w:styleId="a7">
    <w:name w:val="line number"/>
    <w:basedOn w:val="a0"/>
    <w:uiPriority w:val="99"/>
    <w:semiHidden/>
    <w:unhideWhenUsed/>
    <w:rsid w:val="00156F2F"/>
  </w:style>
  <w:style w:type="paragraph" w:customStyle="1" w:styleId="EndNoteBibliography">
    <w:name w:val="EndNote Bibliography"/>
    <w:basedOn w:val="a"/>
    <w:link w:val="EndNoteBibliography0"/>
    <w:rsid w:val="00156F2F"/>
    <w:rPr>
      <w:rFonts w:cs="Arial"/>
      <w:noProof/>
      <w:lang w:val="en-US"/>
    </w:rPr>
  </w:style>
  <w:style w:type="character" w:customStyle="1" w:styleId="EndNoteBibliography0">
    <w:name w:val="EndNote Bibliography 字符"/>
    <w:basedOn w:val="a0"/>
    <w:link w:val="EndNoteBibliography"/>
    <w:rsid w:val="00156F2F"/>
    <w:rPr>
      <w:rFonts w:ascii="Arial" w:eastAsia="Arial Unicode MS" w:hAnsi="Arial" w:cs="Arial"/>
      <w:noProof/>
      <w:color w:val="000000"/>
      <w:kern w:val="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5</Pages>
  <Words>3305</Words>
  <Characters>18839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Chunhui YUAN 原春晖</dc:creator>
  <cp:keywords/>
  <dc:description/>
  <cp:lastModifiedBy>Yuan Chunhui</cp:lastModifiedBy>
  <cp:revision>7</cp:revision>
  <dcterms:created xsi:type="dcterms:W3CDTF">2019-10-25T00:28:00Z</dcterms:created>
  <dcterms:modified xsi:type="dcterms:W3CDTF">2020-06-03T05:20:00Z</dcterms:modified>
</cp:coreProperties>
</file>