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140" w:rsidRPr="00A552A8" w:rsidRDefault="00376140" w:rsidP="00376140">
      <w:pPr>
        <w:autoSpaceDE w:val="0"/>
        <w:autoSpaceDN w:val="0"/>
        <w:adjustRightInd w:val="0"/>
        <w:jc w:val="left"/>
        <w:rPr>
          <w:rFonts w:ascii="AdvOT46dcae81" w:hAnsi="AdvOT46dcae81" w:cs="AdvOT46dcae81"/>
          <w:b/>
          <w:kern w:val="0"/>
          <w:sz w:val="28"/>
          <w:szCs w:val="18"/>
        </w:rPr>
      </w:pPr>
      <w:r w:rsidRPr="00A552A8">
        <w:rPr>
          <w:rFonts w:ascii="AdvOT3b30f6db.B" w:hAnsi="AdvOT3b30f6db.B" w:cs="AdvOT3b30f6db.B"/>
          <w:b/>
          <w:kern w:val="0"/>
          <w:sz w:val="28"/>
          <w:szCs w:val="18"/>
        </w:rPr>
        <w:t xml:space="preserve">Box 1 </w:t>
      </w:r>
      <w:r w:rsidRPr="00A552A8">
        <w:rPr>
          <w:rFonts w:ascii="AdvOT46dcae81" w:hAnsi="AdvOT46dcae81" w:cs="AdvOT46dcae81"/>
          <w:b/>
          <w:kern w:val="0"/>
          <w:sz w:val="28"/>
          <w:szCs w:val="18"/>
        </w:rPr>
        <w:t>Introduction of Genome-Wide Association Studies</w:t>
      </w:r>
      <w:r w:rsidRPr="00A552A8">
        <w:rPr>
          <w:rFonts w:ascii="AdvOT46dcae81" w:hAnsi="AdvOT46dcae81" w:cs="AdvOT46dcae81" w:hint="eastAsia"/>
          <w:b/>
          <w:kern w:val="0"/>
          <w:sz w:val="28"/>
          <w:szCs w:val="18"/>
        </w:rPr>
        <w:t xml:space="preserve"> </w:t>
      </w:r>
      <w:r w:rsidRPr="00A552A8">
        <w:rPr>
          <w:rFonts w:ascii="AdvOT46dcae81" w:hAnsi="AdvOT46dcae81" w:cs="AdvOT46dcae81"/>
          <w:b/>
          <w:kern w:val="0"/>
          <w:sz w:val="28"/>
          <w:szCs w:val="18"/>
        </w:rPr>
        <w:t>(GWASs)</w:t>
      </w:r>
    </w:p>
    <w:p w:rsidR="00376140" w:rsidRPr="00A552A8" w:rsidRDefault="00376140" w:rsidP="00376140">
      <w:pPr>
        <w:autoSpaceDE w:val="0"/>
        <w:autoSpaceDN w:val="0"/>
        <w:adjustRightInd w:val="0"/>
        <w:spacing w:line="360" w:lineRule="auto"/>
        <w:jc w:val="left"/>
        <w:rPr>
          <w:rFonts w:ascii="AdvOT3b30f6db.B" w:hAnsi="AdvOT3b30f6db.B" w:cs="AdvOT3b30f6db.B"/>
          <w:b/>
          <w:kern w:val="0"/>
          <w:szCs w:val="14"/>
        </w:rPr>
      </w:pPr>
      <w:r w:rsidRPr="00A552A8">
        <w:rPr>
          <w:rFonts w:ascii="AdvOT3b30f6db.B" w:hAnsi="AdvOT3b30f6db.B" w:cs="AdvOT3b30f6db.B"/>
          <w:b/>
          <w:kern w:val="0"/>
          <w:szCs w:val="14"/>
        </w:rPr>
        <w:t>(1) Principle</w:t>
      </w:r>
    </w:p>
    <w:p w:rsidR="00376140" w:rsidRPr="00376140" w:rsidRDefault="00376140" w:rsidP="00376140">
      <w:pPr>
        <w:autoSpaceDE w:val="0"/>
        <w:autoSpaceDN w:val="0"/>
        <w:adjustRightInd w:val="0"/>
        <w:spacing w:line="360" w:lineRule="auto"/>
        <w:jc w:val="left"/>
        <w:rPr>
          <w:rFonts w:ascii="AdvOT46dcae81" w:hAnsi="AdvOT46dcae81" w:cs="AdvOT46dcae81"/>
          <w:kern w:val="0"/>
          <w:szCs w:val="14"/>
        </w:rPr>
      </w:pPr>
      <w:r w:rsidRPr="00376140">
        <w:rPr>
          <w:rFonts w:ascii="AdvOT46dcae81" w:hAnsi="AdvOT46dcae81" w:cs="AdvOT46dcae81"/>
          <w:kern w:val="0"/>
          <w:szCs w:val="14"/>
        </w:rPr>
        <w:t>GWASs represent a valuable approach to type hundreds of thousands of single</w:t>
      </w:r>
      <w:r w:rsidRPr="00376140">
        <w:rPr>
          <w:rFonts w:ascii="AdvOT46dcae81" w:hAnsi="AdvOT46dcae81" w:cs="AdvOT46dcae81" w:hint="eastAsia"/>
          <w:kern w:val="0"/>
          <w:szCs w:val="14"/>
        </w:rPr>
        <w:t>-</w:t>
      </w:r>
      <w:r w:rsidRPr="00376140">
        <w:rPr>
          <w:rFonts w:ascii="AdvOT46dcae81" w:hAnsi="AdvOT46dcae81" w:cs="AdvOT46dcae81"/>
          <w:kern w:val="0"/>
          <w:szCs w:val="14"/>
        </w:rPr>
        <w:t>nucleotide</w:t>
      </w:r>
      <w:r w:rsidRPr="00376140">
        <w:rPr>
          <w:rFonts w:ascii="AdvOT46dcae81" w:hAnsi="AdvOT46dcae81" w:cs="AdvOT46dcae81" w:hint="eastAsia"/>
          <w:kern w:val="0"/>
          <w:szCs w:val="14"/>
        </w:rPr>
        <w:t xml:space="preserve"> </w:t>
      </w:r>
      <w:r w:rsidRPr="00376140">
        <w:rPr>
          <w:rFonts w:ascii="AdvOT46dcae81" w:hAnsi="AdvOT46dcae81" w:cs="AdvOT46dcae81"/>
          <w:kern w:val="0"/>
          <w:szCs w:val="14"/>
        </w:rPr>
        <w:t>polymorphisms (SNPs) to investigate the associations between</w:t>
      </w:r>
      <w:r w:rsidRPr="00376140">
        <w:rPr>
          <w:rFonts w:ascii="AdvOT46dcae81" w:hAnsi="AdvOT46dcae81" w:cs="AdvOT46dcae81" w:hint="eastAsia"/>
          <w:kern w:val="0"/>
          <w:szCs w:val="14"/>
        </w:rPr>
        <w:t xml:space="preserve"> </w:t>
      </w:r>
      <w:r w:rsidRPr="00376140">
        <w:rPr>
          <w:rFonts w:ascii="AdvOT46dcae81" w:hAnsi="AdvOT46dcae81" w:cs="AdvOT46dcae81"/>
          <w:kern w:val="0"/>
          <w:szCs w:val="14"/>
        </w:rPr>
        <w:t>genetic variants and traits, including diseases.</w:t>
      </w:r>
    </w:p>
    <w:p w:rsidR="00376140" w:rsidRPr="00A552A8" w:rsidRDefault="00376140" w:rsidP="00376140">
      <w:pPr>
        <w:autoSpaceDE w:val="0"/>
        <w:autoSpaceDN w:val="0"/>
        <w:adjustRightInd w:val="0"/>
        <w:spacing w:line="360" w:lineRule="auto"/>
        <w:jc w:val="left"/>
        <w:rPr>
          <w:rFonts w:ascii="AdvOT3b30f6db.B" w:hAnsi="AdvOT3b30f6db.B" w:cs="AdvOT3b30f6db.B"/>
          <w:b/>
          <w:kern w:val="0"/>
          <w:szCs w:val="14"/>
        </w:rPr>
      </w:pPr>
      <w:r w:rsidRPr="00A552A8">
        <w:rPr>
          <w:rFonts w:ascii="AdvOT3b30f6db.B" w:hAnsi="AdvOT3b30f6db.B" w:cs="AdvOT3b30f6db.B"/>
          <w:b/>
          <w:kern w:val="0"/>
          <w:szCs w:val="14"/>
        </w:rPr>
        <w:t>(2) SNPs and Genetic Variation</w:t>
      </w:r>
      <w:r w:rsidRPr="00A552A8">
        <w:rPr>
          <w:rFonts w:ascii="AdvOT3b30f6db.B" w:hAnsi="AdvOT3b30f6db.B" w:cs="AdvOT3b30f6db.B" w:hint="eastAsia"/>
          <w:b/>
          <w:kern w:val="0"/>
          <w:szCs w:val="14"/>
        </w:rPr>
        <w:t xml:space="preserve"> </w:t>
      </w:r>
    </w:p>
    <w:p w:rsidR="00376140" w:rsidRPr="00376140" w:rsidRDefault="00376140" w:rsidP="00376140">
      <w:pPr>
        <w:autoSpaceDE w:val="0"/>
        <w:autoSpaceDN w:val="0"/>
        <w:adjustRightInd w:val="0"/>
        <w:spacing w:line="360" w:lineRule="auto"/>
        <w:jc w:val="left"/>
        <w:rPr>
          <w:rFonts w:ascii="AdvOT3b30f6db.B" w:hAnsi="AdvOT3b30f6db.B" w:cs="AdvOT3b30f6db.B"/>
          <w:kern w:val="0"/>
          <w:szCs w:val="14"/>
        </w:rPr>
      </w:pPr>
      <w:r w:rsidRPr="00376140">
        <w:rPr>
          <w:rFonts w:ascii="AdvOT46dcae81" w:hAnsi="AdvOT46dcae81" w:cs="AdvOT46dcae81"/>
          <w:kern w:val="0"/>
          <w:szCs w:val="14"/>
        </w:rPr>
        <w:t>SNPs are an area of DNA that varies in a single nucleotide or base pair, which are</w:t>
      </w:r>
      <w:r w:rsidRPr="00376140">
        <w:rPr>
          <w:rFonts w:ascii="AdvOT3b30f6db.B" w:hAnsi="AdvOT3b30f6db.B" w:cs="AdvOT3b30f6db.B" w:hint="eastAsia"/>
          <w:kern w:val="0"/>
          <w:szCs w:val="14"/>
        </w:rPr>
        <w:t xml:space="preserve"> </w:t>
      </w:r>
      <w:r w:rsidRPr="00376140">
        <w:rPr>
          <w:rFonts w:ascii="AdvOT46dcae81" w:hAnsi="AdvOT46dcae81" w:cs="AdvOT46dcae81"/>
          <w:kern w:val="0"/>
          <w:szCs w:val="14"/>
        </w:rPr>
        <w:t>only one type of genetic variation found in the genome but are the most</w:t>
      </w:r>
      <w:r w:rsidRPr="00376140">
        <w:rPr>
          <w:rFonts w:ascii="AdvOT3b30f6db.B" w:hAnsi="AdvOT3b30f6db.B" w:cs="AdvOT3b30f6db.B" w:hint="eastAsia"/>
          <w:kern w:val="0"/>
          <w:szCs w:val="14"/>
        </w:rPr>
        <w:t xml:space="preserve"> </w:t>
      </w:r>
      <w:r w:rsidRPr="00376140">
        <w:rPr>
          <w:rFonts w:ascii="AdvOT46dcae81" w:hAnsi="AdvOT46dcae81" w:cs="AdvOT46dcae81"/>
          <w:kern w:val="0"/>
          <w:szCs w:val="14"/>
        </w:rPr>
        <w:t>common. There are only four bases, A (adenine), C (cytosine), G (guanine), and T</w:t>
      </w:r>
      <w:r w:rsidRPr="00376140">
        <w:rPr>
          <w:rFonts w:ascii="AdvOT3b30f6db.B" w:hAnsi="AdvOT3b30f6db.B" w:cs="AdvOT3b30f6db.B" w:hint="eastAsia"/>
          <w:kern w:val="0"/>
          <w:szCs w:val="14"/>
        </w:rPr>
        <w:t xml:space="preserve"> </w:t>
      </w:r>
      <w:r w:rsidRPr="00376140">
        <w:rPr>
          <w:rFonts w:ascii="AdvOT46dcae81" w:hAnsi="AdvOT46dcae81" w:cs="AdvOT46dcae81"/>
          <w:kern w:val="0"/>
          <w:szCs w:val="14"/>
        </w:rPr>
        <w:t>(thymine). GWASs look for these speci</w:t>
      </w:r>
      <w:r w:rsidRPr="00376140">
        <w:rPr>
          <w:rFonts w:ascii="AdvOT46dcae81+fb" w:eastAsia="AdvOT46dcae81+fb" w:hAnsi="AdvOT3b30f6db.B" w:cs="AdvOT46dcae81+fb"/>
          <w:kern w:val="0"/>
          <w:szCs w:val="14"/>
        </w:rPr>
        <w:t>fi</w:t>
      </w:r>
      <w:r w:rsidRPr="00376140">
        <w:rPr>
          <w:rFonts w:ascii="AdvOT46dcae81" w:hAnsi="AdvOT46dcae81" w:cs="AdvOT46dcae81"/>
          <w:kern w:val="0"/>
          <w:szCs w:val="14"/>
        </w:rPr>
        <w:t>c loci or SNPs in the entire genome to see</w:t>
      </w:r>
      <w:r w:rsidRPr="00376140">
        <w:rPr>
          <w:rFonts w:ascii="AdvOT3b30f6db.B" w:hAnsi="AdvOT3b30f6db.B" w:cs="AdvOT3b30f6db.B" w:hint="eastAsia"/>
          <w:kern w:val="0"/>
          <w:szCs w:val="14"/>
        </w:rPr>
        <w:t xml:space="preserve"> </w:t>
      </w:r>
      <w:r w:rsidRPr="00376140">
        <w:rPr>
          <w:rFonts w:ascii="AdvOT46dcae81" w:hAnsi="AdvOT46dcae81" w:cs="AdvOT46dcae81"/>
          <w:kern w:val="0"/>
          <w:szCs w:val="14"/>
        </w:rPr>
        <w:t>whether some are more common in people with a particular trait or disease.</w:t>
      </w:r>
    </w:p>
    <w:p w:rsidR="00376140" w:rsidRPr="00A552A8" w:rsidRDefault="00376140" w:rsidP="00376140">
      <w:pPr>
        <w:autoSpaceDE w:val="0"/>
        <w:autoSpaceDN w:val="0"/>
        <w:adjustRightInd w:val="0"/>
        <w:spacing w:line="360" w:lineRule="auto"/>
        <w:jc w:val="left"/>
        <w:rPr>
          <w:rFonts w:ascii="AdvOT3b30f6db.B" w:hAnsi="AdvOT3b30f6db.B" w:cs="AdvOT3b30f6db.B"/>
          <w:b/>
          <w:kern w:val="0"/>
          <w:szCs w:val="14"/>
        </w:rPr>
      </w:pPr>
      <w:r w:rsidRPr="00A552A8">
        <w:rPr>
          <w:rFonts w:ascii="AdvOT3b30f6db.B" w:hAnsi="AdvOT3b30f6db.B" w:cs="AdvOT3b30f6db.B"/>
          <w:b/>
          <w:kern w:val="0"/>
          <w:szCs w:val="14"/>
        </w:rPr>
        <w:t>(3) Genotypes and Phenotypes</w:t>
      </w:r>
    </w:p>
    <w:p w:rsidR="00376140" w:rsidRPr="00376140" w:rsidRDefault="00376140" w:rsidP="00376140">
      <w:pPr>
        <w:autoSpaceDE w:val="0"/>
        <w:autoSpaceDN w:val="0"/>
        <w:adjustRightInd w:val="0"/>
        <w:spacing w:line="360" w:lineRule="auto"/>
        <w:jc w:val="left"/>
        <w:rPr>
          <w:rFonts w:ascii="AdvOT46dcae81" w:hAnsi="AdvOT46dcae81" w:cs="AdvOT46dcae81"/>
          <w:kern w:val="0"/>
          <w:szCs w:val="14"/>
        </w:rPr>
      </w:pPr>
      <w:r w:rsidRPr="00376140">
        <w:rPr>
          <w:rFonts w:ascii="AdvOT46dcae81" w:hAnsi="AdvOT46dcae81" w:cs="AdvOT46dcae81"/>
          <w:kern w:val="0"/>
          <w:szCs w:val="14"/>
        </w:rPr>
        <w:t>Genotypes refer to genetic variations, such as variations in SNPs.</w:t>
      </w:r>
      <w:r w:rsidRPr="00376140">
        <w:rPr>
          <w:rFonts w:ascii="AdvOT46dcae81" w:hAnsi="AdvOT46dcae81" w:cs="AdvOT46dcae81" w:hint="eastAsia"/>
          <w:kern w:val="0"/>
          <w:szCs w:val="14"/>
        </w:rPr>
        <w:t xml:space="preserve"> </w:t>
      </w:r>
      <w:r w:rsidRPr="00376140">
        <w:rPr>
          <w:rFonts w:ascii="AdvOT46dcae81" w:hAnsi="AdvOT46dcae81" w:cs="AdvOT46dcae81"/>
          <w:kern w:val="0"/>
          <w:szCs w:val="14"/>
        </w:rPr>
        <w:t>Phenotypes refer to traits (for example, height or BMD) but may also include</w:t>
      </w:r>
      <w:r w:rsidRPr="00376140">
        <w:rPr>
          <w:rFonts w:ascii="AdvOT46dcae81" w:hAnsi="AdvOT46dcae81" w:cs="AdvOT46dcae81" w:hint="eastAsia"/>
          <w:kern w:val="0"/>
          <w:szCs w:val="14"/>
        </w:rPr>
        <w:t xml:space="preserve"> </w:t>
      </w:r>
      <w:r w:rsidRPr="00376140">
        <w:rPr>
          <w:rFonts w:ascii="AdvOT46dcae81" w:hAnsi="AdvOT46dcae81" w:cs="AdvOT46dcae81"/>
          <w:kern w:val="0"/>
          <w:szCs w:val="14"/>
        </w:rPr>
        <w:t>diseases (for example, obesity, osteoporosis or fracture).</w:t>
      </w:r>
    </w:p>
    <w:p w:rsidR="00376140" w:rsidRPr="00A552A8" w:rsidRDefault="00376140" w:rsidP="00376140">
      <w:pPr>
        <w:autoSpaceDE w:val="0"/>
        <w:autoSpaceDN w:val="0"/>
        <w:adjustRightInd w:val="0"/>
        <w:spacing w:line="360" w:lineRule="auto"/>
        <w:jc w:val="left"/>
        <w:rPr>
          <w:rFonts w:ascii="AdvOT3b30f6db.B" w:hAnsi="AdvOT3b30f6db.B" w:cs="AdvOT3b30f6db.B"/>
          <w:b/>
          <w:kern w:val="0"/>
          <w:szCs w:val="14"/>
        </w:rPr>
      </w:pPr>
      <w:r w:rsidRPr="00A552A8">
        <w:rPr>
          <w:rFonts w:ascii="AdvOT3b30f6db.B" w:hAnsi="AdvOT3b30f6db.B" w:cs="AdvOT3b30f6db.B"/>
          <w:b/>
          <w:kern w:val="0"/>
          <w:szCs w:val="14"/>
        </w:rPr>
        <w:t>(4) How to perform GWASs?</w:t>
      </w:r>
      <w:bookmarkStart w:id="0" w:name="_GoBack"/>
      <w:bookmarkEnd w:id="0"/>
    </w:p>
    <w:p w:rsidR="00416185" w:rsidRPr="00376140" w:rsidRDefault="00376140" w:rsidP="00376140">
      <w:pPr>
        <w:autoSpaceDE w:val="0"/>
        <w:autoSpaceDN w:val="0"/>
        <w:adjustRightInd w:val="0"/>
        <w:spacing w:line="360" w:lineRule="auto"/>
        <w:jc w:val="left"/>
        <w:rPr>
          <w:rFonts w:ascii="AdvOT46dcae81" w:hAnsi="AdvOT46dcae81" w:cs="AdvOT46dcae81"/>
          <w:kern w:val="0"/>
          <w:szCs w:val="14"/>
        </w:rPr>
      </w:pPr>
      <w:r w:rsidRPr="00376140">
        <w:rPr>
          <w:rFonts w:ascii="AdvOT46dcae81" w:hAnsi="AdvOT46dcae81" w:cs="AdvOT46dcae81"/>
          <w:kern w:val="0"/>
          <w:szCs w:val="14"/>
        </w:rPr>
        <w:t>When looking at common medical conditions (such as osteoporosis), researchers</w:t>
      </w:r>
      <w:r w:rsidRPr="00376140">
        <w:rPr>
          <w:rFonts w:ascii="AdvOT46dcae81" w:hAnsi="AdvOT46dcae81" w:cs="AdvOT46dcae81" w:hint="eastAsia"/>
          <w:kern w:val="0"/>
          <w:szCs w:val="14"/>
        </w:rPr>
        <w:t xml:space="preserve"> </w:t>
      </w:r>
      <w:r w:rsidRPr="00376140">
        <w:rPr>
          <w:rFonts w:ascii="AdvOT46dcae81" w:hAnsi="AdvOT46dcae81" w:cs="AdvOT46dcae81"/>
          <w:kern w:val="0"/>
          <w:szCs w:val="14"/>
        </w:rPr>
        <w:t>recruit one group of people with the disease and another group without the</w:t>
      </w:r>
      <w:r w:rsidRPr="00376140">
        <w:rPr>
          <w:rFonts w:ascii="AdvOT46dcae81" w:hAnsi="AdvOT46dcae81" w:cs="AdvOT46dcae81" w:hint="eastAsia"/>
          <w:kern w:val="0"/>
          <w:szCs w:val="14"/>
        </w:rPr>
        <w:t xml:space="preserve"> </w:t>
      </w:r>
      <w:r w:rsidRPr="00376140">
        <w:rPr>
          <w:rFonts w:ascii="AdvOT46dcae81" w:hAnsi="AdvOT46dcae81" w:cs="AdvOT46dcae81"/>
          <w:kern w:val="0"/>
          <w:szCs w:val="14"/>
        </w:rPr>
        <w:t>disease. The frequency of the SNPs is compared between these two groups to</w:t>
      </w:r>
      <w:r w:rsidRPr="00376140">
        <w:rPr>
          <w:rFonts w:ascii="AdvOT46dcae81" w:hAnsi="AdvOT46dcae81" w:cs="AdvOT46dcae81" w:hint="eastAsia"/>
          <w:kern w:val="0"/>
          <w:szCs w:val="14"/>
        </w:rPr>
        <w:t xml:space="preserve"> </w:t>
      </w:r>
      <w:r w:rsidRPr="00376140">
        <w:rPr>
          <w:rFonts w:ascii="AdvOT46dcae81" w:hAnsi="AdvOT46dcae81" w:cs="AdvOT46dcae81"/>
          <w:kern w:val="0"/>
          <w:szCs w:val="14"/>
        </w:rPr>
        <w:t>see whether there are any associations between genotype (genetic variations,</w:t>
      </w:r>
      <w:r w:rsidRPr="00376140">
        <w:rPr>
          <w:rFonts w:ascii="AdvOT46dcae81" w:hAnsi="AdvOT46dcae81" w:cs="AdvOT46dcae81" w:hint="eastAsia"/>
          <w:kern w:val="0"/>
          <w:szCs w:val="14"/>
        </w:rPr>
        <w:t xml:space="preserve"> </w:t>
      </w:r>
      <w:r w:rsidRPr="00376140">
        <w:rPr>
          <w:rFonts w:ascii="AdvOT46dcae81" w:hAnsi="AdvOT46dcae81" w:cs="AdvOT46dcae81"/>
          <w:kern w:val="0"/>
          <w:szCs w:val="14"/>
        </w:rPr>
        <w:t>such as variations in SNPs) and the phenotype (the disease).</w:t>
      </w:r>
    </w:p>
    <w:sectPr w:rsidR="00416185" w:rsidRPr="003761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OT46dcae81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3b30f6db.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46dcae81+fb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140"/>
    <w:rsid w:val="00376140"/>
    <w:rsid w:val="00416185"/>
    <w:rsid w:val="00A55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CB4714-8029-4D6C-943B-1E6FC3AE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YH</dc:creator>
  <cp:keywords/>
  <dc:description/>
  <cp:lastModifiedBy>YH</cp:lastModifiedBy>
  <cp:revision>2</cp:revision>
  <dcterms:created xsi:type="dcterms:W3CDTF">2021-03-15T00:27:00Z</dcterms:created>
  <dcterms:modified xsi:type="dcterms:W3CDTF">2021-03-15T00:42:00Z</dcterms:modified>
</cp:coreProperties>
</file>