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FA5" w:rsidRPr="00DC6DC2" w:rsidRDefault="00C03FA5" w:rsidP="00C03FA5">
      <w:pPr>
        <w:autoSpaceDE w:val="0"/>
        <w:autoSpaceDN w:val="0"/>
        <w:adjustRightInd w:val="0"/>
        <w:jc w:val="left"/>
        <w:rPr>
          <w:rFonts w:ascii="AdvOT46dcae81" w:hAnsi="AdvOT46dcae81" w:cs="AdvOT46dcae81"/>
          <w:b/>
          <w:color w:val="000000"/>
          <w:kern w:val="0"/>
          <w:sz w:val="28"/>
          <w:szCs w:val="18"/>
        </w:rPr>
      </w:pPr>
      <w:r w:rsidRPr="00DC6DC2">
        <w:rPr>
          <w:rFonts w:ascii="AdvOT3b30f6db.B" w:hAnsi="AdvOT3b30f6db.B" w:cs="AdvOT3b30f6db.B"/>
          <w:b/>
          <w:color w:val="000000"/>
          <w:kern w:val="0"/>
          <w:sz w:val="28"/>
          <w:szCs w:val="18"/>
        </w:rPr>
        <w:t xml:space="preserve">Box 2 </w:t>
      </w:r>
      <w:r w:rsidRPr="00DC6DC2">
        <w:rPr>
          <w:rFonts w:ascii="AdvOT46dcae81" w:hAnsi="AdvOT46dcae81" w:cs="AdvOT46dcae81"/>
          <w:b/>
          <w:color w:val="000000"/>
          <w:kern w:val="0"/>
          <w:sz w:val="28"/>
          <w:szCs w:val="18"/>
        </w:rPr>
        <w:t>Introduction of Mendelian Randomization (MR)</w:t>
      </w:r>
    </w:p>
    <w:p w:rsidR="00C03FA5" w:rsidRPr="004334C1" w:rsidRDefault="00C03FA5" w:rsidP="00C03FA5">
      <w:pPr>
        <w:autoSpaceDE w:val="0"/>
        <w:autoSpaceDN w:val="0"/>
        <w:adjustRightInd w:val="0"/>
        <w:spacing w:line="360" w:lineRule="auto"/>
        <w:jc w:val="left"/>
        <w:rPr>
          <w:rFonts w:ascii="AdvOT46dcae81" w:hAnsi="AdvOT46dcae81" w:cs="AdvOT46dcae81"/>
          <w:b/>
          <w:color w:val="0000FF"/>
          <w:kern w:val="0"/>
          <w:sz w:val="15"/>
          <w:szCs w:val="9"/>
        </w:rPr>
      </w:pPr>
      <w:r w:rsidRPr="004334C1">
        <w:rPr>
          <w:rFonts w:ascii="AdvOT3b30f6db.B" w:hAnsi="AdvOT3b30f6db.B" w:cs="AdvOT3b30f6db.B"/>
          <w:b/>
          <w:color w:val="000000"/>
          <w:kern w:val="0"/>
          <w:sz w:val="20"/>
          <w:szCs w:val="14"/>
        </w:rPr>
        <w:t>(1) Categories of Mendelian randomization analysis</w:t>
      </w:r>
      <w:r w:rsidR="004F0CD7" w:rsidRPr="004334C1">
        <w:rPr>
          <w:rFonts w:ascii="AdvOT46dcae81" w:hAnsi="AdvOT46dcae81" w:cs="AdvOT46dcae81"/>
          <w:b/>
          <w:color w:val="0000FF"/>
          <w:kern w:val="0"/>
          <w:sz w:val="15"/>
          <w:szCs w:val="9"/>
          <w:vertAlign w:val="superscript"/>
        </w:rPr>
        <w:t>1</w:t>
      </w:r>
      <w:r w:rsidR="004F0CD7" w:rsidRPr="004334C1">
        <w:rPr>
          <w:rFonts w:ascii="AdvOT46dcae81" w:hAnsi="AdvOT46dcae81" w:cs="AdvOT46dcae81" w:hint="eastAsia"/>
          <w:b/>
          <w:color w:val="0000FF"/>
          <w:kern w:val="0"/>
          <w:sz w:val="15"/>
          <w:szCs w:val="9"/>
          <w:vertAlign w:val="superscript"/>
        </w:rPr>
        <w:t>,2</w:t>
      </w:r>
    </w:p>
    <w:p w:rsidR="00C03FA5" w:rsidRPr="00C03FA5" w:rsidRDefault="00C03FA5" w:rsidP="00C03FA5">
      <w:pPr>
        <w:autoSpaceDE w:val="0"/>
        <w:autoSpaceDN w:val="0"/>
        <w:adjustRightInd w:val="0"/>
        <w:spacing w:line="360" w:lineRule="auto"/>
        <w:jc w:val="left"/>
        <w:rPr>
          <w:rFonts w:ascii="AdvOT46dcae81" w:hAnsi="AdvOT46dcae81" w:cs="AdvOT46dcae81"/>
          <w:color w:val="000000"/>
          <w:kern w:val="0"/>
          <w:sz w:val="20"/>
          <w:szCs w:val="14"/>
        </w:rPr>
      </w:pPr>
      <w:r w:rsidRPr="00C03FA5">
        <w:rPr>
          <w:rFonts w:ascii="AdvOT65f8a23b.I" w:hAnsi="AdvOT65f8a23b.I" w:cs="AdvOT65f8a23b.I"/>
          <w:i/>
          <w:color w:val="000000"/>
          <w:kern w:val="0"/>
          <w:sz w:val="20"/>
          <w:szCs w:val="14"/>
        </w:rPr>
        <w:t>Single-sample MR</w:t>
      </w:r>
      <w:r w:rsidRPr="00C03FA5">
        <w:rPr>
          <w:rFonts w:ascii="AdvOT65f8a23b.I" w:hAnsi="AdvOT65f8a23b.I" w:cs="AdvOT65f8a23b.I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uses genetic instruments, exposure, and outcome in the same</w:t>
      </w:r>
      <w:r w:rsidRPr="00C03FA5">
        <w:rPr>
          <w:rFonts w:ascii="AdvOT46dcae81" w:hAnsi="AdvOT46dcae81" w:cs="AdvOT46dcae81" w:hint="eastAsia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sample.</w:t>
      </w:r>
      <w:r w:rsidRPr="00C03FA5">
        <w:rPr>
          <w:rFonts w:ascii="AdvOT46dcae81" w:hAnsi="AdvOT46dcae81" w:cs="AdvOT46dcae81" w:hint="eastAsia"/>
          <w:color w:val="000000"/>
          <w:kern w:val="0"/>
          <w:sz w:val="20"/>
          <w:szCs w:val="14"/>
        </w:rPr>
        <w:t xml:space="preserve"> </w:t>
      </w:r>
    </w:p>
    <w:p w:rsidR="00C03FA5" w:rsidRPr="00C03FA5" w:rsidRDefault="00C03FA5" w:rsidP="00C03FA5">
      <w:pPr>
        <w:autoSpaceDE w:val="0"/>
        <w:autoSpaceDN w:val="0"/>
        <w:adjustRightInd w:val="0"/>
        <w:spacing w:line="360" w:lineRule="auto"/>
        <w:jc w:val="left"/>
        <w:rPr>
          <w:rFonts w:ascii="AdvOT46dcae81" w:hAnsi="AdvOT46dcae81" w:cs="AdvOT46dcae81"/>
          <w:color w:val="000000"/>
          <w:kern w:val="0"/>
          <w:sz w:val="20"/>
          <w:szCs w:val="14"/>
        </w:rPr>
      </w:pPr>
      <w:r w:rsidRPr="00C03FA5">
        <w:rPr>
          <w:rFonts w:ascii="AdvOT65f8a23b.I" w:hAnsi="AdvOT65f8a23b.I" w:cs="AdvOT65f8a23b.I"/>
          <w:i/>
          <w:color w:val="000000"/>
          <w:kern w:val="0"/>
          <w:sz w:val="20"/>
          <w:szCs w:val="14"/>
        </w:rPr>
        <w:t>Two-sample MR</w:t>
      </w:r>
      <w:r w:rsidRPr="00C03FA5">
        <w:rPr>
          <w:rFonts w:ascii="AdvOT65f8a23b.I" w:hAnsi="AdvOT65f8a23b.I" w:cs="AdvOT65f8a23b.I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estimates causal effects from data on the exposure and outcome</w:t>
      </w:r>
      <w:r w:rsidRPr="00C03FA5">
        <w:rPr>
          <w:rFonts w:ascii="AdvOT46dcae81" w:hAnsi="AdvOT46dcae81" w:cs="AdvOT46dcae81" w:hint="eastAsia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from two (or only partially overlapping) samples.</w:t>
      </w:r>
    </w:p>
    <w:p w:rsidR="00C03FA5" w:rsidRPr="00C03FA5" w:rsidRDefault="00C03FA5" w:rsidP="00C03FA5">
      <w:pPr>
        <w:autoSpaceDE w:val="0"/>
        <w:autoSpaceDN w:val="0"/>
        <w:adjustRightInd w:val="0"/>
        <w:spacing w:line="360" w:lineRule="auto"/>
        <w:jc w:val="left"/>
        <w:rPr>
          <w:rFonts w:ascii="AdvOT46dcae81" w:hAnsi="AdvOT46dcae81" w:cs="AdvOT46dcae81"/>
          <w:color w:val="000000"/>
          <w:kern w:val="0"/>
          <w:sz w:val="20"/>
          <w:szCs w:val="14"/>
        </w:rPr>
      </w:pPr>
      <w:r w:rsidRPr="00C03FA5">
        <w:rPr>
          <w:rFonts w:ascii="AdvOT65f8a23b.I" w:hAnsi="AdvOT65f8a23b.I" w:cs="AdvOT65f8a23b.I"/>
          <w:i/>
          <w:color w:val="000000"/>
          <w:kern w:val="0"/>
          <w:sz w:val="20"/>
          <w:szCs w:val="14"/>
        </w:rPr>
        <w:t>Bidirectional MR</w:t>
      </w:r>
      <w:r w:rsidRPr="00C03FA5">
        <w:rPr>
          <w:rFonts w:ascii="AdvOT65f8a23b.I" w:hAnsi="AdvOT65f8a23b.I" w:cs="AdvOT65f8a23b.I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is performed in one direction (</w:t>
      </w:r>
      <w:r w:rsidRPr="00C03FA5">
        <w:rPr>
          <w:rFonts w:ascii="AdvOT46dcae81+20" w:hAnsi="AdvOT46dcae81+20" w:cs="AdvOT46dcae81+20"/>
          <w:color w:val="000000"/>
          <w:kern w:val="0"/>
          <w:sz w:val="20"/>
          <w:szCs w:val="14"/>
        </w:rPr>
        <w:t>“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exposure</w:t>
      </w:r>
      <w:r w:rsidRPr="00C03FA5">
        <w:rPr>
          <w:rFonts w:ascii="AdvOT46dcae81+20" w:hAnsi="AdvOT46dcae81+20" w:cs="AdvOT46dcae81+20"/>
          <w:color w:val="000000"/>
          <w:kern w:val="0"/>
          <w:sz w:val="20"/>
          <w:szCs w:val="14"/>
        </w:rPr>
        <w:t xml:space="preserve">”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 xml:space="preserve">to </w:t>
      </w:r>
      <w:r w:rsidRPr="00C03FA5">
        <w:rPr>
          <w:rFonts w:ascii="AdvOT46dcae81+20" w:hAnsi="AdvOT46dcae81+20" w:cs="AdvOT46dcae81+20"/>
          <w:color w:val="000000"/>
          <w:kern w:val="0"/>
          <w:sz w:val="20"/>
          <w:szCs w:val="14"/>
        </w:rPr>
        <w:t>“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outcome</w:t>
      </w:r>
      <w:r w:rsidRPr="00C03FA5">
        <w:rPr>
          <w:rFonts w:ascii="AdvOT46dcae81+20" w:hAnsi="AdvOT46dcae81+20" w:cs="AdvOT46dcae81+20"/>
          <w:color w:val="000000"/>
          <w:kern w:val="0"/>
          <w:sz w:val="20"/>
          <w:szCs w:val="14"/>
        </w:rPr>
        <w:t>”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) and then in the opposite direction (</w:t>
      </w:r>
      <w:r w:rsidRPr="00C03FA5">
        <w:rPr>
          <w:rFonts w:ascii="AdvOT46dcae81+20" w:hAnsi="AdvOT46dcae81+20" w:cs="AdvOT46dcae81+20"/>
          <w:color w:val="000000"/>
          <w:kern w:val="0"/>
          <w:sz w:val="20"/>
          <w:szCs w:val="14"/>
        </w:rPr>
        <w:t>“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outcome</w:t>
      </w:r>
      <w:r w:rsidRPr="00C03FA5">
        <w:rPr>
          <w:rFonts w:ascii="AdvOT46dcae81+20" w:hAnsi="AdvOT46dcae81+20" w:cs="AdvOT46dcae81+20"/>
          <w:color w:val="000000"/>
          <w:kern w:val="0"/>
          <w:sz w:val="20"/>
          <w:szCs w:val="14"/>
        </w:rPr>
        <w:t xml:space="preserve">”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 xml:space="preserve">to </w:t>
      </w:r>
      <w:r w:rsidRPr="00C03FA5">
        <w:rPr>
          <w:rFonts w:ascii="AdvOT46dcae81+20" w:hAnsi="AdvOT46dcae81+20" w:cs="AdvOT46dcae81+20"/>
          <w:color w:val="000000"/>
          <w:kern w:val="0"/>
          <w:sz w:val="20"/>
          <w:szCs w:val="14"/>
        </w:rPr>
        <w:t>“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exposure</w:t>
      </w:r>
      <w:r w:rsidRPr="00C03FA5">
        <w:rPr>
          <w:rFonts w:ascii="AdvOT46dcae81+20" w:hAnsi="AdvOT46dcae81+20" w:cs="AdvOT46dcae81+20"/>
          <w:color w:val="000000"/>
          <w:kern w:val="0"/>
          <w:sz w:val="20"/>
          <w:szCs w:val="14"/>
        </w:rPr>
        <w:t>”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) using the SNPs strongly associated with each trait in the independent GWAS.</w:t>
      </w:r>
    </w:p>
    <w:p w:rsidR="00C03FA5" w:rsidRPr="00C03FA5" w:rsidRDefault="00C03FA5" w:rsidP="00C03FA5">
      <w:pPr>
        <w:autoSpaceDE w:val="0"/>
        <w:autoSpaceDN w:val="0"/>
        <w:adjustRightInd w:val="0"/>
        <w:spacing w:line="360" w:lineRule="auto"/>
        <w:jc w:val="left"/>
        <w:rPr>
          <w:rFonts w:ascii="AdvOT46dcae81" w:hAnsi="AdvOT46dcae81" w:cs="AdvOT46dcae81"/>
          <w:color w:val="000000"/>
          <w:kern w:val="0"/>
          <w:sz w:val="20"/>
          <w:szCs w:val="14"/>
        </w:rPr>
      </w:pPr>
      <w:r w:rsidRPr="00C03FA5">
        <w:rPr>
          <w:rFonts w:ascii="AdvOT65f8a23b.I" w:hAnsi="AdvOT65f8a23b.I" w:cs="AdvOT65f8a23b.I"/>
          <w:i/>
          <w:color w:val="000000"/>
          <w:kern w:val="0"/>
          <w:sz w:val="20"/>
          <w:szCs w:val="14"/>
        </w:rPr>
        <w:t xml:space="preserve">Two-step MR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assesses whether an intermediate trait acts as a causal mediator</w:t>
      </w:r>
      <w:r w:rsidRPr="00C03FA5">
        <w:rPr>
          <w:rFonts w:ascii="AdvOT46dcae81" w:hAnsi="AdvOT46dcae81" w:cs="AdvOT46dcae81" w:hint="eastAsia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 xml:space="preserve">between exposure and outcome. In the </w:t>
      </w:r>
      <w:r w:rsidRPr="00C03FA5">
        <w:rPr>
          <w:rFonts w:ascii="AdvOT46dcae81+fb" w:eastAsia="AdvOT46dcae81+fb" w:hAnsi="AdvOT3b30f6db.B" w:cs="AdvOT46dcae81+fb"/>
          <w:color w:val="000000"/>
          <w:kern w:val="0"/>
          <w:sz w:val="20"/>
          <w:szCs w:val="14"/>
        </w:rPr>
        <w:t>fi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rst step, genetic instruments for the</w:t>
      </w:r>
      <w:r w:rsidRPr="00C03FA5">
        <w:rPr>
          <w:rFonts w:ascii="AdvOT46dcae81" w:hAnsi="AdvOT46dcae81" w:cs="AdvOT46dcae81" w:hint="eastAsia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exposure are used to estimate the causal effect of exposure on the mediator. In</w:t>
      </w:r>
      <w:r w:rsidRPr="00C03FA5">
        <w:rPr>
          <w:rFonts w:ascii="AdvOT46dcae81" w:hAnsi="AdvOT46dcae81" w:cs="AdvOT46dcae81" w:hint="eastAsia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the second step, genetic instruments for mediators are used to assess the causal</w:t>
      </w:r>
      <w:r w:rsidRPr="00C03FA5">
        <w:rPr>
          <w:rFonts w:ascii="AdvOT46dcae81" w:hAnsi="AdvOT46dcae81" w:cs="AdvOT46dcae81" w:hint="eastAsia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effect of the mediator on outcome.</w:t>
      </w:r>
    </w:p>
    <w:p w:rsidR="00C03FA5" w:rsidRPr="00C03FA5" w:rsidRDefault="00C03FA5" w:rsidP="00C03FA5">
      <w:pPr>
        <w:autoSpaceDE w:val="0"/>
        <w:autoSpaceDN w:val="0"/>
        <w:adjustRightInd w:val="0"/>
        <w:spacing w:line="360" w:lineRule="auto"/>
        <w:jc w:val="left"/>
        <w:rPr>
          <w:rFonts w:ascii="AdvOT46dcae81" w:hAnsi="AdvOT46dcae81" w:cs="AdvOT46dcae81"/>
          <w:color w:val="000000"/>
          <w:kern w:val="0"/>
          <w:sz w:val="20"/>
          <w:szCs w:val="14"/>
        </w:rPr>
      </w:pPr>
      <w:r w:rsidRPr="00C03FA5">
        <w:rPr>
          <w:rFonts w:ascii="AdvOT65f8a23b.I" w:hAnsi="AdvOT65f8a23b.I" w:cs="AdvOT65f8a23b.I"/>
          <w:i/>
          <w:color w:val="000000"/>
          <w:kern w:val="0"/>
          <w:sz w:val="20"/>
          <w:szCs w:val="14"/>
        </w:rPr>
        <w:t>Multivariable MR</w:t>
      </w:r>
      <w:r w:rsidRPr="00C03FA5">
        <w:rPr>
          <w:rFonts w:ascii="AdvOT65f8a23b.I" w:hAnsi="AdvOT65f8a23b.I" w:cs="AdvOT65f8a23b.I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uses genetic instruments associated with multiple exposures to</w:t>
      </w:r>
      <w:r w:rsidRPr="00C03FA5">
        <w:rPr>
          <w:rFonts w:ascii="AdvOT46dcae81" w:hAnsi="AdvOT46dcae81" w:cs="AdvOT46dcae81" w:hint="eastAsia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estimate the independent causal effect of the risk factors on the outcome.</w:t>
      </w:r>
    </w:p>
    <w:p w:rsidR="00C03FA5" w:rsidRPr="004334C1" w:rsidRDefault="00C03FA5" w:rsidP="00C03FA5">
      <w:pPr>
        <w:autoSpaceDE w:val="0"/>
        <w:autoSpaceDN w:val="0"/>
        <w:adjustRightInd w:val="0"/>
        <w:spacing w:line="360" w:lineRule="auto"/>
        <w:jc w:val="left"/>
        <w:rPr>
          <w:rFonts w:ascii="AdvOT46dcae81" w:hAnsi="AdvOT46dcae81" w:cs="AdvOT46dcae81"/>
          <w:b/>
          <w:color w:val="0000FF"/>
          <w:kern w:val="0"/>
          <w:sz w:val="15"/>
          <w:szCs w:val="9"/>
        </w:rPr>
      </w:pPr>
      <w:r w:rsidRPr="004334C1">
        <w:rPr>
          <w:rFonts w:ascii="AdvOT3b30f6db.B" w:hAnsi="AdvOT3b30f6db.B" w:cs="AdvOT3b30f6db.B"/>
          <w:b/>
          <w:color w:val="000000"/>
          <w:kern w:val="0"/>
          <w:sz w:val="20"/>
          <w:szCs w:val="14"/>
        </w:rPr>
        <w:t>(2) Statistical methods</w:t>
      </w:r>
      <w:r w:rsidR="004F0CD7" w:rsidRPr="004334C1">
        <w:rPr>
          <w:rFonts w:ascii="AdvOT46dcae81" w:hAnsi="AdvOT46dcae81" w:cs="AdvOT46dcae81"/>
          <w:b/>
          <w:color w:val="0000FF"/>
          <w:kern w:val="0"/>
          <w:sz w:val="15"/>
          <w:szCs w:val="9"/>
          <w:vertAlign w:val="superscript"/>
        </w:rPr>
        <w:t>2</w:t>
      </w:r>
      <w:r w:rsidR="004F0CD7" w:rsidRPr="004334C1">
        <w:rPr>
          <w:rFonts w:ascii="AdvOT46dcae81" w:hAnsi="AdvOT46dcae81" w:cs="AdvOT46dcae81" w:hint="eastAsia"/>
          <w:b/>
          <w:color w:val="0000FF"/>
          <w:kern w:val="0"/>
          <w:sz w:val="15"/>
          <w:szCs w:val="9"/>
          <w:vertAlign w:val="superscript"/>
        </w:rPr>
        <w:t>,3</w:t>
      </w:r>
    </w:p>
    <w:p w:rsidR="00C03FA5" w:rsidRPr="00C03FA5" w:rsidRDefault="00C03FA5" w:rsidP="00C03FA5">
      <w:pPr>
        <w:autoSpaceDE w:val="0"/>
        <w:autoSpaceDN w:val="0"/>
        <w:adjustRightInd w:val="0"/>
        <w:spacing w:line="360" w:lineRule="auto"/>
        <w:jc w:val="left"/>
        <w:rPr>
          <w:rFonts w:ascii="AdvOT46dcae81" w:hAnsi="AdvOT46dcae81" w:cs="AdvOT46dcae81"/>
          <w:color w:val="000000"/>
          <w:kern w:val="0"/>
          <w:sz w:val="20"/>
          <w:szCs w:val="14"/>
        </w:rPr>
      </w:pPr>
      <w:r w:rsidRPr="00DC6DC2">
        <w:rPr>
          <w:rFonts w:ascii="AdvOT65f8a23b.I" w:hAnsi="AdvOT65f8a23b.I" w:cs="AdvOT65f8a23b.I"/>
          <w:i/>
          <w:color w:val="000000"/>
          <w:kern w:val="0"/>
          <w:sz w:val="20"/>
          <w:szCs w:val="14"/>
        </w:rPr>
        <w:t xml:space="preserve">Inverse variance weighted </w:t>
      </w:r>
      <w:r w:rsidRPr="00DC6DC2">
        <w:rPr>
          <w:rFonts w:ascii="AdvOT46dcae81" w:hAnsi="AdvOT46dcae81" w:cs="AdvOT46dcae81"/>
          <w:i/>
          <w:color w:val="000000"/>
          <w:kern w:val="0"/>
          <w:sz w:val="20"/>
          <w:szCs w:val="14"/>
        </w:rPr>
        <w:t>(IVW)</w:t>
      </w:r>
      <w:r w:rsidRPr="00C03FA5">
        <w:rPr>
          <w:rFonts w:ascii="AdvOT46dcae81+20" w:hAnsi="AdvOT46dcae81+20" w:cs="AdvOT46dcae81+20"/>
          <w:color w:val="000000"/>
          <w:kern w:val="0"/>
          <w:sz w:val="20"/>
          <w:szCs w:val="14"/>
        </w:rPr>
        <w:t>—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IVW MR is equivalent to a weighted linear</w:t>
      </w:r>
      <w:r w:rsidRPr="00C03FA5">
        <w:rPr>
          <w:rFonts w:ascii="AdvOT46dcae81" w:hAnsi="AdvOT46dcae81" w:cs="AdvOT46dcae81" w:hint="eastAsia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regression of SNP-outcome associations on SNP exposure.</w:t>
      </w:r>
    </w:p>
    <w:p w:rsidR="00C03FA5" w:rsidRPr="00C03FA5" w:rsidRDefault="00C03FA5" w:rsidP="00C03FA5">
      <w:pPr>
        <w:autoSpaceDE w:val="0"/>
        <w:autoSpaceDN w:val="0"/>
        <w:adjustRightInd w:val="0"/>
        <w:spacing w:line="360" w:lineRule="auto"/>
        <w:jc w:val="left"/>
        <w:rPr>
          <w:rFonts w:ascii="AdvOT46dcae81" w:hAnsi="AdvOT46dcae81" w:cs="AdvOT46dcae81"/>
          <w:color w:val="000000"/>
          <w:kern w:val="0"/>
          <w:sz w:val="20"/>
          <w:szCs w:val="14"/>
        </w:rPr>
      </w:pPr>
      <w:r w:rsidRPr="00DC6DC2">
        <w:rPr>
          <w:rFonts w:ascii="AdvOT65f8a23b.I" w:hAnsi="AdvOT65f8a23b.I" w:cs="AdvOT65f8a23b.I"/>
          <w:i/>
          <w:color w:val="000000"/>
          <w:kern w:val="0"/>
          <w:sz w:val="20"/>
          <w:szCs w:val="14"/>
        </w:rPr>
        <w:t>Weighted median</w:t>
      </w:r>
      <w:r w:rsidRPr="00C03FA5">
        <w:rPr>
          <w:rFonts w:ascii="AdvOT65f8a23b.I" w:hAnsi="AdvOT65f8a23b.I" w:cs="AdvOT65f8a23b.I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is de</w:t>
      </w:r>
      <w:r w:rsidRPr="00C03FA5">
        <w:rPr>
          <w:rFonts w:ascii="AdvOT46dcae81+fb" w:eastAsia="AdvOT46dcae81+fb" w:hAnsi="AdvOT3b30f6db.B" w:cs="AdvOT46dcae81+fb"/>
          <w:color w:val="000000"/>
          <w:kern w:val="0"/>
          <w:sz w:val="20"/>
          <w:szCs w:val="14"/>
        </w:rPr>
        <w:t>fi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ned as the median of the weighted empirical density</w:t>
      </w:r>
      <w:r w:rsidRPr="00C03FA5">
        <w:rPr>
          <w:rFonts w:ascii="AdvOT46dcae81" w:hAnsi="AdvOT46dcae81" w:cs="AdvOT46dcae81" w:hint="eastAsia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function of the ratio estimates that allows up to 50% of the information in MR</w:t>
      </w:r>
      <w:r w:rsidRPr="00C03FA5">
        <w:rPr>
          <w:rFonts w:ascii="AdvOT46dcae81" w:hAnsi="AdvOT46dcae81" w:cs="AdvOT46dcae81" w:hint="eastAsia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analysis to come from invalid instruments.</w:t>
      </w:r>
    </w:p>
    <w:p w:rsidR="00C03FA5" w:rsidRPr="00C03FA5" w:rsidRDefault="00C03FA5" w:rsidP="00C03FA5">
      <w:pPr>
        <w:autoSpaceDE w:val="0"/>
        <w:autoSpaceDN w:val="0"/>
        <w:adjustRightInd w:val="0"/>
        <w:spacing w:line="360" w:lineRule="auto"/>
        <w:jc w:val="left"/>
        <w:rPr>
          <w:rFonts w:ascii="AdvOT46dcae81" w:hAnsi="AdvOT46dcae81" w:cs="AdvOT46dcae81"/>
          <w:color w:val="000000"/>
          <w:kern w:val="0"/>
          <w:sz w:val="20"/>
          <w:szCs w:val="14"/>
        </w:rPr>
      </w:pPr>
      <w:r w:rsidRPr="00DC6DC2">
        <w:rPr>
          <w:rFonts w:ascii="AdvOT65f8a23b.I" w:hAnsi="AdvOT65f8a23b.I" w:cs="AdvOT65f8a23b.I"/>
          <w:i/>
          <w:color w:val="000000"/>
          <w:kern w:val="0"/>
          <w:sz w:val="20"/>
          <w:szCs w:val="14"/>
        </w:rPr>
        <w:t xml:space="preserve">Mode-based estimate (MBE)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provides a consistent estimate of the causal effect if</w:t>
      </w:r>
      <w:r w:rsidRPr="00C03FA5">
        <w:rPr>
          <w:rFonts w:ascii="AdvOT46dcae81" w:hAnsi="AdvOT46dcae81" w:cs="AdvOT46dcae81" w:hint="eastAsia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the most common pleiotropy value across instruments is zero.</w:t>
      </w:r>
    </w:p>
    <w:p w:rsidR="00C03FA5" w:rsidRPr="00C03FA5" w:rsidRDefault="00C03FA5" w:rsidP="00C03FA5">
      <w:pPr>
        <w:autoSpaceDE w:val="0"/>
        <w:autoSpaceDN w:val="0"/>
        <w:adjustRightInd w:val="0"/>
        <w:spacing w:line="360" w:lineRule="auto"/>
        <w:jc w:val="left"/>
        <w:rPr>
          <w:rFonts w:ascii="AdvOT46dcae81" w:hAnsi="AdvOT46dcae81" w:cs="AdvOT46dcae81"/>
          <w:color w:val="000000"/>
          <w:kern w:val="0"/>
          <w:sz w:val="20"/>
          <w:szCs w:val="14"/>
        </w:rPr>
      </w:pPr>
      <w:r w:rsidRPr="00DC6DC2">
        <w:rPr>
          <w:rFonts w:ascii="AdvOT65f8a23b.I" w:hAnsi="AdvOT65f8a23b.I" w:cs="AdvOT65f8a23b.I"/>
          <w:i/>
          <w:color w:val="000000"/>
          <w:kern w:val="0"/>
          <w:sz w:val="20"/>
          <w:szCs w:val="14"/>
        </w:rPr>
        <w:t>MR-Egger</w:t>
      </w:r>
      <w:r w:rsidRPr="00C03FA5">
        <w:rPr>
          <w:rFonts w:ascii="AdvOT65f8a23b.I" w:hAnsi="AdvOT65f8a23b.I" w:cs="AdvOT65f8a23b.I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is not restrained to have a slope by way of zero; hence, its causal</w:t>
      </w:r>
      <w:r w:rsidRPr="00C03FA5">
        <w:rPr>
          <w:rFonts w:ascii="AdvOT46dcae81" w:hAnsi="AdvOT46dcae81" w:cs="AdvOT46dcae81" w:hint="eastAsia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estimate shows a genotype-outcome dose-response relationship.</w:t>
      </w:r>
    </w:p>
    <w:p w:rsidR="00C03FA5" w:rsidRPr="00C03FA5" w:rsidRDefault="00C03FA5" w:rsidP="00C03FA5">
      <w:pPr>
        <w:autoSpaceDE w:val="0"/>
        <w:autoSpaceDN w:val="0"/>
        <w:adjustRightInd w:val="0"/>
        <w:spacing w:line="360" w:lineRule="auto"/>
        <w:jc w:val="left"/>
        <w:rPr>
          <w:rFonts w:ascii="AdvOT46dcae81" w:hAnsi="AdvOT46dcae81" w:cs="AdvOT46dcae81"/>
          <w:color w:val="000000"/>
          <w:kern w:val="0"/>
          <w:sz w:val="20"/>
          <w:szCs w:val="14"/>
        </w:rPr>
      </w:pPr>
      <w:r w:rsidRPr="00DC6DC2">
        <w:rPr>
          <w:rFonts w:ascii="AdvOT65f8a23b.I" w:hAnsi="AdvOT65f8a23b.I" w:cs="AdvOT65f8a23b.I"/>
          <w:i/>
          <w:color w:val="000000"/>
          <w:kern w:val="0"/>
          <w:sz w:val="20"/>
          <w:szCs w:val="14"/>
        </w:rPr>
        <w:t xml:space="preserve">Likelihood-base method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assumes a linear relationship between exposure and</w:t>
      </w:r>
      <w:r w:rsidRPr="00C03FA5">
        <w:rPr>
          <w:rFonts w:ascii="AdvOT46dcae81" w:hAnsi="AdvOT46dcae81" w:cs="AdvOT46dcae81" w:hint="eastAsia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outcome and uses a bivariate normal distribution for the genetic estimates.</w:t>
      </w:r>
    </w:p>
    <w:p w:rsidR="00C03FA5" w:rsidRPr="004334C1" w:rsidRDefault="00C03FA5" w:rsidP="00C03FA5">
      <w:pPr>
        <w:autoSpaceDE w:val="0"/>
        <w:autoSpaceDN w:val="0"/>
        <w:adjustRightInd w:val="0"/>
        <w:spacing w:line="360" w:lineRule="auto"/>
        <w:jc w:val="left"/>
        <w:rPr>
          <w:rFonts w:ascii="AdvOT46dcae81" w:hAnsi="AdvOT46dcae81" w:cs="AdvOT46dcae81"/>
          <w:b/>
          <w:color w:val="0000FF"/>
          <w:kern w:val="0"/>
          <w:sz w:val="15"/>
          <w:szCs w:val="9"/>
        </w:rPr>
      </w:pPr>
      <w:r w:rsidRPr="004334C1">
        <w:rPr>
          <w:rFonts w:ascii="AdvOT3b30f6db.B" w:hAnsi="AdvOT3b30f6db.B" w:cs="AdvOT3b30f6db.B"/>
          <w:b/>
          <w:color w:val="000000"/>
          <w:kern w:val="0"/>
          <w:sz w:val="20"/>
          <w:szCs w:val="14"/>
        </w:rPr>
        <w:t>(3) Method for explore and adjust for pleiotropy</w:t>
      </w:r>
      <w:r w:rsidR="004F0CD7" w:rsidRPr="004334C1">
        <w:rPr>
          <w:rFonts w:ascii="AdvOT46dcae81" w:hAnsi="AdvOT46dcae81" w:cs="AdvOT46dcae81"/>
          <w:b/>
          <w:color w:val="0000FF"/>
          <w:kern w:val="0"/>
          <w:sz w:val="15"/>
          <w:szCs w:val="9"/>
          <w:vertAlign w:val="superscript"/>
        </w:rPr>
        <w:t>2-6</w:t>
      </w:r>
    </w:p>
    <w:p w:rsidR="00C03FA5" w:rsidRPr="00C03FA5" w:rsidRDefault="00C03FA5" w:rsidP="00C03FA5">
      <w:pPr>
        <w:autoSpaceDE w:val="0"/>
        <w:autoSpaceDN w:val="0"/>
        <w:adjustRightInd w:val="0"/>
        <w:spacing w:line="360" w:lineRule="auto"/>
        <w:jc w:val="left"/>
        <w:rPr>
          <w:rFonts w:ascii="AdvOT46dcae81" w:hAnsi="AdvOT46dcae81" w:cs="AdvOT46dcae81"/>
          <w:color w:val="000000"/>
          <w:kern w:val="0"/>
          <w:sz w:val="20"/>
          <w:szCs w:val="14"/>
        </w:rPr>
      </w:pPr>
      <w:r w:rsidRPr="00DC6DC2">
        <w:rPr>
          <w:rFonts w:ascii="AdvOT65f8a23b.I" w:hAnsi="AdvOT65f8a23b.I" w:cs="AdvOT65f8a23b.I"/>
          <w:i/>
          <w:color w:val="000000"/>
          <w:kern w:val="0"/>
          <w:sz w:val="20"/>
          <w:szCs w:val="14"/>
        </w:rPr>
        <w:t>Intercept of the MR-Egger regression</w:t>
      </w:r>
      <w:r w:rsidRPr="00C03FA5">
        <w:rPr>
          <w:rFonts w:ascii="AdvOT65f8a23b.I" w:hAnsi="AdvOT65f8a23b.I" w:cs="AdvOT65f8a23b.I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can test the average pleiotropic effect across all genetic variants and provide an estimate of the causal effect of exposure on outcome.</w:t>
      </w:r>
    </w:p>
    <w:p w:rsidR="00C03FA5" w:rsidRPr="00C03FA5" w:rsidRDefault="00C03FA5" w:rsidP="00C03FA5">
      <w:pPr>
        <w:autoSpaceDE w:val="0"/>
        <w:autoSpaceDN w:val="0"/>
        <w:adjustRightInd w:val="0"/>
        <w:spacing w:line="360" w:lineRule="auto"/>
        <w:jc w:val="left"/>
        <w:rPr>
          <w:rFonts w:ascii="AdvOT46dcae81" w:hAnsi="AdvOT46dcae81" w:cs="AdvOT46dcae81"/>
          <w:color w:val="000000"/>
          <w:kern w:val="0"/>
          <w:sz w:val="20"/>
          <w:szCs w:val="14"/>
        </w:rPr>
      </w:pPr>
      <w:r w:rsidRPr="00DC6DC2">
        <w:rPr>
          <w:rFonts w:ascii="AdvOT65f8a23b.I" w:hAnsi="AdvOT65f8a23b.I" w:cs="AdvOT65f8a23b.I"/>
          <w:i/>
          <w:color w:val="000000"/>
          <w:kern w:val="0"/>
          <w:sz w:val="20"/>
          <w:szCs w:val="14"/>
        </w:rPr>
        <w:lastRenderedPageBreak/>
        <w:t>Cochran</w:t>
      </w:r>
      <w:r w:rsidRPr="00DC6DC2">
        <w:rPr>
          <w:rFonts w:ascii="AdvOT65f8a23b.I+20" w:hAnsi="AdvOT65f8a23b.I+20" w:cs="AdvOT65f8a23b.I+20"/>
          <w:i/>
          <w:color w:val="000000"/>
          <w:kern w:val="0"/>
          <w:sz w:val="20"/>
          <w:szCs w:val="14"/>
        </w:rPr>
        <w:t>’</w:t>
      </w:r>
      <w:r w:rsidRPr="00DC6DC2">
        <w:rPr>
          <w:rFonts w:ascii="AdvOT65f8a23b.I" w:hAnsi="AdvOT65f8a23b.I" w:cs="AdvOT65f8a23b.I"/>
          <w:i/>
          <w:color w:val="000000"/>
          <w:kern w:val="0"/>
          <w:sz w:val="20"/>
          <w:szCs w:val="14"/>
        </w:rPr>
        <w:t>s Q-statistic (IVW)</w:t>
      </w:r>
      <w:r w:rsidRPr="00C03FA5">
        <w:rPr>
          <w:rFonts w:ascii="AdvOT65f8a23b.I" w:hAnsi="AdvOT65f8a23b.I" w:cs="AdvOT65f8a23b.I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can test for heterogeneity between genetic</w:t>
      </w:r>
      <w:r w:rsidRPr="00C03FA5">
        <w:rPr>
          <w:rFonts w:ascii="AdvOT46dcae81" w:hAnsi="AdvOT46dcae81" w:cs="AdvOT46dcae81" w:hint="eastAsia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instruments used that could indicate pleiotropic effects.</w:t>
      </w:r>
    </w:p>
    <w:p w:rsidR="00C03FA5" w:rsidRPr="00C03FA5" w:rsidRDefault="00C03FA5" w:rsidP="00C03FA5">
      <w:pPr>
        <w:autoSpaceDE w:val="0"/>
        <w:autoSpaceDN w:val="0"/>
        <w:adjustRightInd w:val="0"/>
        <w:spacing w:line="360" w:lineRule="auto"/>
        <w:jc w:val="left"/>
        <w:rPr>
          <w:rFonts w:ascii="AdvOT46dcae81" w:hAnsi="AdvOT46dcae81" w:cs="AdvOT46dcae81"/>
          <w:color w:val="000000"/>
          <w:kern w:val="0"/>
          <w:sz w:val="20"/>
          <w:szCs w:val="14"/>
        </w:rPr>
      </w:pPr>
      <w:r w:rsidRPr="00DC6DC2">
        <w:rPr>
          <w:rFonts w:ascii="AdvOT65f8a23b.I" w:hAnsi="AdvOT65f8a23b.I" w:cs="AdvOT65f8a23b.I"/>
          <w:i/>
          <w:color w:val="000000"/>
          <w:kern w:val="0"/>
          <w:sz w:val="20"/>
          <w:szCs w:val="14"/>
        </w:rPr>
        <w:t xml:space="preserve">Pleiotropy-robust MR (PPMR)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provides an unbiased causal estimate in the</w:t>
      </w:r>
      <w:r w:rsidRPr="00C03FA5">
        <w:rPr>
          <w:rFonts w:ascii="AdvOT46dcae81" w:hAnsi="AdvOT46dcae81" w:cs="AdvOT46dcae81" w:hint="eastAsia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presence of pleiotropy by subtracting the pleiotropic effect (of an instrument)</w:t>
      </w:r>
      <w:r w:rsidRPr="00C03FA5">
        <w:rPr>
          <w:rFonts w:ascii="AdvOT46dcae81" w:hAnsi="AdvOT46dcae81" w:cs="AdvOT46dcae81" w:hint="eastAsia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estimated in a subgroup of the population for whom the instrument is not</w:t>
      </w:r>
      <w:r w:rsidRPr="00C03FA5">
        <w:rPr>
          <w:rFonts w:ascii="AdvOT46dcae81" w:hAnsi="AdvOT46dcae81" w:cs="AdvOT46dcae81" w:hint="eastAsia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associated with the exposure.</w:t>
      </w:r>
    </w:p>
    <w:p w:rsidR="00C03FA5" w:rsidRPr="00C03FA5" w:rsidRDefault="00C03FA5" w:rsidP="00C03FA5">
      <w:pPr>
        <w:autoSpaceDE w:val="0"/>
        <w:autoSpaceDN w:val="0"/>
        <w:adjustRightInd w:val="0"/>
        <w:spacing w:line="360" w:lineRule="auto"/>
        <w:jc w:val="left"/>
        <w:rPr>
          <w:rFonts w:ascii="AdvOT46dcae81" w:hAnsi="AdvOT46dcae81" w:cs="AdvOT46dcae81"/>
          <w:color w:val="000000"/>
          <w:kern w:val="0"/>
          <w:sz w:val="20"/>
          <w:szCs w:val="14"/>
        </w:rPr>
      </w:pPr>
      <w:r w:rsidRPr="004F0CD7">
        <w:rPr>
          <w:rFonts w:ascii="AdvOT65f8a23b.I" w:hAnsi="AdvOT65f8a23b.I" w:cs="AdvOT65f8a23b.I"/>
          <w:i/>
          <w:color w:val="000000"/>
          <w:kern w:val="0"/>
          <w:sz w:val="20"/>
          <w:szCs w:val="14"/>
        </w:rPr>
        <w:t xml:space="preserve">Weighted median estimator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can provide reliable evidence as long as at least half</w:t>
      </w:r>
      <w:r w:rsidRPr="00C03FA5">
        <w:rPr>
          <w:rFonts w:ascii="AdvOT46dcae81" w:hAnsi="AdvOT46dcae81" w:cs="AdvOT46dcae81" w:hint="eastAsia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of the genetic variants have no pleiotropic effects.</w:t>
      </w:r>
    </w:p>
    <w:p w:rsidR="00416185" w:rsidRDefault="00C03FA5" w:rsidP="00C03FA5">
      <w:pPr>
        <w:autoSpaceDE w:val="0"/>
        <w:autoSpaceDN w:val="0"/>
        <w:adjustRightInd w:val="0"/>
        <w:spacing w:line="360" w:lineRule="auto"/>
        <w:jc w:val="left"/>
        <w:rPr>
          <w:rFonts w:ascii="AdvOT46dcae81" w:hAnsi="AdvOT46dcae81" w:cs="AdvOT46dcae81"/>
          <w:color w:val="000000"/>
          <w:kern w:val="0"/>
          <w:sz w:val="20"/>
          <w:szCs w:val="14"/>
        </w:rPr>
      </w:pPr>
      <w:r w:rsidRPr="004F0CD7">
        <w:rPr>
          <w:rFonts w:ascii="AdvOT65f8a23b.I" w:hAnsi="AdvOT65f8a23b.I" w:cs="AdvOT65f8a23b.I"/>
          <w:i/>
          <w:color w:val="000000"/>
          <w:kern w:val="0"/>
          <w:sz w:val="20"/>
          <w:szCs w:val="14"/>
        </w:rPr>
        <w:t xml:space="preserve">Mendelian randomization pleiotropy residual sum and outlier (MR-PRESSO)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can</w:t>
      </w:r>
      <w:r w:rsidRPr="00C03FA5">
        <w:rPr>
          <w:rFonts w:ascii="AdvOT46dcae81" w:hAnsi="AdvOT46dcae81" w:cs="AdvOT46dcae81" w:hint="eastAsia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evaluate horizontal pleiotropy and test the signi</w:t>
      </w:r>
      <w:r w:rsidRPr="00C03FA5">
        <w:rPr>
          <w:rFonts w:ascii="AdvOT46dcae81+fb" w:eastAsia="AdvOT46dcae81+fb" w:hAnsi="AdvOT3b30f6db.B" w:cs="AdvOT46dcae81+fb"/>
          <w:color w:val="000000"/>
          <w:kern w:val="0"/>
          <w:sz w:val="20"/>
          <w:szCs w:val="14"/>
        </w:rPr>
        <w:t>fi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cant differences in the causal</w:t>
      </w:r>
      <w:r w:rsidRPr="00C03FA5">
        <w:rPr>
          <w:rFonts w:ascii="AdvOT46dcae81" w:hAnsi="AdvOT46dcae81" w:cs="AdvOT46dcae81" w:hint="eastAsia"/>
          <w:color w:val="000000"/>
          <w:kern w:val="0"/>
          <w:sz w:val="20"/>
          <w:szCs w:val="14"/>
        </w:rPr>
        <w:t xml:space="preserve"> </w:t>
      </w:r>
      <w:r w:rsidRPr="00C03FA5">
        <w:rPr>
          <w:rFonts w:ascii="AdvOT46dcae81" w:hAnsi="AdvOT46dcae81" w:cs="AdvOT46dcae81"/>
          <w:color w:val="000000"/>
          <w:kern w:val="0"/>
          <w:sz w:val="20"/>
          <w:szCs w:val="14"/>
        </w:rPr>
        <w:t>estimates before and after the removal of outliers.</w:t>
      </w:r>
    </w:p>
    <w:p w:rsidR="004F0CD7" w:rsidRDefault="004F0CD7" w:rsidP="00C03FA5">
      <w:pPr>
        <w:autoSpaceDE w:val="0"/>
        <w:autoSpaceDN w:val="0"/>
        <w:adjustRightInd w:val="0"/>
        <w:spacing w:line="360" w:lineRule="auto"/>
        <w:jc w:val="left"/>
        <w:rPr>
          <w:rFonts w:ascii="AdvOT46dcae81" w:hAnsi="AdvOT46dcae81" w:cs="AdvOT46dcae81"/>
          <w:color w:val="000000"/>
          <w:kern w:val="0"/>
          <w:sz w:val="20"/>
          <w:szCs w:val="14"/>
        </w:rPr>
      </w:pPr>
    </w:p>
    <w:p w:rsidR="004F0CD7" w:rsidRDefault="004F0CD7" w:rsidP="00C03FA5">
      <w:pPr>
        <w:autoSpaceDE w:val="0"/>
        <w:autoSpaceDN w:val="0"/>
        <w:adjustRightInd w:val="0"/>
        <w:spacing w:line="360" w:lineRule="auto"/>
        <w:jc w:val="left"/>
        <w:rPr>
          <w:rFonts w:ascii="AdvOT46dcae81" w:hAnsi="AdvOT46dcae81" w:cs="AdvOT46dcae81"/>
          <w:color w:val="000000"/>
          <w:kern w:val="0"/>
          <w:sz w:val="20"/>
          <w:szCs w:val="14"/>
        </w:rPr>
      </w:pPr>
    </w:p>
    <w:p w:rsidR="004F0CD7" w:rsidRPr="004334C1" w:rsidRDefault="004F0CD7" w:rsidP="00C03FA5">
      <w:pPr>
        <w:autoSpaceDE w:val="0"/>
        <w:autoSpaceDN w:val="0"/>
        <w:adjustRightInd w:val="0"/>
        <w:spacing w:line="360" w:lineRule="auto"/>
        <w:jc w:val="left"/>
        <w:rPr>
          <w:rFonts w:ascii="AdvOT46dcae81" w:hAnsi="AdvOT46dcae81" w:cs="AdvOT46dcae81"/>
          <w:b/>
          <w:color w:val="000000"/>
          <w:kern w:val="0"/>
          <w:sz w:val="20"/>
          <w:szCs w:val="14"/>
        </w:rPr>
      </w:pPr>
      <w:bookmarkStart w:id="0" w:name="_GoBack"/>
      <w:r w:rsidRPr="004334C1">
        <w:rPr>
          <w:rFonts w:ascii="AdvOT46dcae81" w:hAnsi="AdvOT46dcae81" w:cs="AdvOT46dcae81" w:hint="eastAsia"/>
          <w:b/>
          <w:color w:val="000000"/>
          <w:kern w:val="0"/>
          <w:sz w:val="20"/>
          <w:szCs w:val="14"/>
        </w:rPr>
        <w:t>References</w:t>
      </w:r>
    </w:p>
    <w:bookmarkEnd w:id="0"/>
    <w:p w:rsidR="004F0CD7" w:rsidRPr="004F0CD7" w:rsidRDefault="004F0CD7" w:rsidP="004F0CD7">
      <w:pPr>
        <w:autoSpaceDE w:val="0"/>
        <w:autoSpaceDN w:val="0"/>
        <w:adjustRightInd w:val="0"/>
        <w:jc w:val="left"/>
        <w:rPr>
          <w:rFonts w:ascii="AdvOT46dcae81" w:hAnsi="AdvOT46dcae81" w:cs="AdvOT46dcae81"/>
          <w:kern w:val="0"/>
          <w:sz w:val="18"/>
          <w:szCs w:val="14"/>
        </w:rPr>
      </w:pPr>
      <w:r>
        <w:rPr>
          <w:rFonts w:ascii="AdvOT46dcae81" w:hAnsi="AdvOT46dcae81" w:cs="AdvOT46dcae81"/>
          <w:kern w:val="0"/>
          <w:sz w:val="18"/>
          <w:szCs w:val="14"/>
        </w:rPr>
        <w:t>1</w:t>
      </w:r>
      <w:r w:rsidRPr="004F0CD7">
        <w:rPr>
          <w:rFonts w:ascii="AdvOT46dcae81" w:hAnsi="AdvOT46dcae81" w:cs="AdvOT46dcae81"/>
          <w:kern w:val="0"/>
          <w:sz w:val="18"/>
          <w:szCs w:val="14"/>
        </w:rPr>
        <w:t>. Burgess, S., Butterworth, A. &amp; Thompson, S. G. Mendelian randomization analysis</w:t>
      </w:r>
      <w:r>
        <w:rPr>
          <w:rFonts w:ascii="AdvOT46dcae81" w:hAnsi="AdvOT46dcae81" w:cs="AdvOT46dcae81"/>
          <w:kern w:val="0"/>
          <w:sz w:val="18"/>
          <w:szCs w:val="14"/>
        </w:rPr>
        <w:t xml:space="preserve"> </w:t>
      </w:r>
      <w:r w:rsidRPr="004F0CD7">
        <w:rPr>
          <w:rFonts w:ascii="AdvOT46dcae81" w:hAnsi="AdvOT46dcae81" w:cs="AdvOT46dcae81"/>
          <w:kern w:val="0"/>
          <w:sz w:val="18"/>
          <w:szCs w:val="14"/>
        </w:rPr>
        <w:t xml:space="preserve">with multiple genetic variants using summarized data. </w:t>
      </w:r>
      <w:r w:rsidRPr="004F0CD7">
        <w:rPr>
          <w:rFonts w:ascii="AdvOT65f8a23b.I" w:hAnsi="AdvOT65f8a23b.I" w:cs="AdvOT65f8a23b.I"/>
          <w:kern w:val="0"/>
          <w:sz w:val="18"/>
          <w:szCs w:val="14"/>
        </w:rPr>
        <w:t xml:space="preserve">Genet. </w:t>
      </w:r>
      <w:proofErr w:type="spellStart"/>
      <w:r w:rsidRPr="004F0CD7">
        <w:rPr>
          <w:rFonts w:ascii="AdvOT65f8a23b.I" w:hAnsi="AdvOT65f8a23b.I" w:cs="AdvOT65f8a23b.I"/>
          <w:kern w:val="0"/>
          <w:sz w:val="18"/>
          <w:szCs w:val="14"/>
        </w:rPr>
        <w:t>Epidemiol</w:t>
      </w:r>
      <w:proofErr w:type="spellEnd"/>
      <w:r w:rsidRPr="004F0CD7">
        <w:rPr>
          <w:rFonts w:ascii="AdvOT65f8a23b.I" w:hAnsi="AdvOT65f8a23b.I" w:cs="AdvOT65f8a23b.I"/>
          <w:kern w:val="0"/>
          <w:sz w:val="18"/>
          <w:szCs w:val="14"/>
        </w:rPr>
        <w:t xml:space="preserve">. </w:t>
      </w:r>
      <w:r w:rsidRPr="004F0CD7">
        <w:rPr>
          <w:rFonts w:ascii="AdvOT3b30f6db.B" w:hAnsi="AdvOT3b30f6db.B" w:cs="AdvOT3b30f6db.B"/>
          <w:kern w:val="0"/>
          <w:sz w:val="18"/>
          <w:szCs w:val="14"/>
        </w:rPr>
        <w:t>37</w:t>
      </w:r>
      <w:r w:rsidRPr="004F0CD7">
        <w:rPr>
          <w:rFonts w:ascii="AdvOT46dcae81" w:hAnsi="AdvOT46dcae81" w:cs="AdvOT46dcae81"/>
          <w:kern w:val="0"/>
          <w:sz w:val="18"/>
          <w:szCs w:val="14"/>
        </w:rPr>
        <w:t>,</w:t>
      </w:r>
      <w:r>
        <w:rPr>
          <w:rFonts w:ascii="AdvOT46dcae81" w:hAnsi="AdvOT46dcae81" w:cs="AdvOT46dcae81"/>
          <w:kern w:val="0"/>
          <w:sz w:val="18"/>
          <w:szCs w:val="14"/>
        </w:rPr>
        <w:t xml:space="preserve"> </w:t>
      </w:r>
      <w:r w:rsidRPr="004F0CD7">
        <w:rPr>
          <w:rFonts w:ascii="AdvOT46dcae81" w:hAnsi="AdvOT46dcae81" w:cs="AdvOT46dcae81"/>
          <w:kern w:val="0"/>
          <w:sz w:val="18"/>
          <w:szCs w:val="14"/>
        </w:rPr>
        <w:t>658</w:t>
      </w:r>
      <w:r w:rsidRPr="004F0CD7">
        <w:rPr>
          <w:rFonts w:ascii="AdvOT46dcae81+20" w:hAnsi="AdvOT46dcae81+20" w:cs="AdvOT46dcae81+20"/>
          <w:kern w:val="0"/>
          <w:sz w:val="18"/>
          <w:szCs w:val="14"/>
        </w:rPr>
        <w:t>–</w:t>
      </w:r>
      <w:r w:rsidRPr="004F0CD7">
        <w:rPr>
          <w:rFonts w:ascii="AdvOT46dcae81" w:hAnsi="AdvOT46dcae81" w:cs="AdvOT46dcae81"/>
          <w:kern w:val="0"/>
          <w:sz w:val="18"/>
          <w:szCs w:val="14"/>
        </w:rPr>
        <w:t>665 (2013).</w:t>
      </w:r>
    </w:p>
    <w:p w:rsidR="004F0CD7" w:rsidRPr="004F0CD7" w:rsidRDefault="004F0CD7" w:rsidP="004F0CD7">
      <w:pPr>
        <w:autoSpaceDE w:val="0"/>
        <w:autoSpaceDN w:val="0"/>
        <w:adjustRightInd w:val="0"/>
        <w:jc w:val="left"/>
        <w:rPr>
          <w:rFonts w:ascii="AdvOT46dcae81" w:hAnsi="AdvOT46dcae81" w:cs="AdvOT46dcae81"/>
          <w:kern w:val="0"/>
          <w:sz w:val="18"/>
          <w:szCs w:val="14"/>
        </w:rPr>
      </w:pPr>
      <w:r>
        <w:rPr>
          <w:rFonts w:ascii="AdvOT46dcae81" w:hAnsi="AdvOT46dcae81" w:cs="AdvOT46dcae81"/>
          <w:kern w:val="0"/>
          <w:sz w:val="18"/>
          <w:szCs w:val="14"/>
        </w:rPr>
        <w:t>2</w:t>
      </w:r>
      <w:r w:rsidRPr="004F0CD7">
        <w:rPr>
          <w:rFonts w:ascii="AdvOT46dcae81" w:hAnsi="AdvOT46dcae81" w:cs="AdvOT46dcae81"/>
          <w:kern w:val="0"/>
          <w:sz w:val="18"/>
          <w:szCs w:val="14"/>
        </w:rPr>
        <w:t xml:space="preserve">. Davies, N. M., Holmes, M. V. &amp; Davey Smith, G. Reading Mendelian </w:t>
      </w:r>
      <w:r>
        <w:rPr>
          <w:rFonts w:ascii="AdvOT46dcae81" w:hAnsi="AdvOT46dcae81" w:cs="AdvOT46dcae81"/>
          <w:kern w:val="0"/>
          <w:sz w:val="18"/>
          <w:szCs w:val="14"/>
        </w:rPr>
        <w:t xml:space="preserve">randomization </w:t>
      </w:r>
      <w:r w:rsidRPr="004F0CD7">
        <w:rPr>
          <w:rFonts w:ascii="AdvOT46dcae81" w:hAnsi="AdvOT46dcae81" w:cs="AdvOT46dcae81"/>
          <w:kern w:val="0"/>
          <w:sz w:val="18"/>
          <w:szCs w:val="14"/>
        </w:rPr>
        <w:t xml:space="preserve">studies: a guide, glossary, and checklist for clinicians. </w:t>
      </w:r>
      <w:proofErr w:type="spellStart"/>
      <w:r w:rsidRPr="004F0CD7">
        <w:rPr>
          <w:rFonts w:ascii="AdvOT65f8a23b.I" w:hAnsi="AdvOT65f8a23b.I" w:cs="AdvOT65f8a23b.I"/>
          <w:kern w:val="0"/>
          <w:sz w:val="18"/>
          <w:szCs w:val="14"/>
        </w:rPr>
        <w:t>Bmj</w:t>
      </w:r>
      <w:proofErr w:type="spellEnd"/>
      <w:r w:rsidRPr="004F0CD7">
        <w:rPr>
          <w:rFonts w:ascii="AdvOT65f8a23b.I" w:hAnsi="AdvOT65f8a23b.I" w:cs="AdvOT65f8a23b.I"/>
          <w:kern w:val="0"/>
          <w:sz w:val="18"/>
          <w:szCs w:val="14"/>
        </w:rPr>
        <w:t xml:space="preserve"> </w:t>
      </w:r>
      <w:r w:rsidRPr="004F0CD7">
        <w:rPr>
          <w:rFonts w:ascii="AdvOT3b30f6db.B" w:hAnsi="AdvOT3b30f6db.B" w:cs="AdvOT3b30f6db.B"/>
          <w:kern w:val="0"/>
          <w:sz w:val="18"/>
          <w:szCs w:val="14"/>
        </w:rPr>
        <w:t>362</w:t>
      </w:r>
      <w:r w:rsidRPr="004F0CD7">
        <w:rPr>
          <w:rFonts w:ascii="AdvOT46dcae81" w:hAnsi="AdvOT46dcae81" w:cs="AdvOT46dcae81"/>
          <w:kern w:val="0"/>
          <w:sz w:val="18"/>
          <w:szCs w:val="14"/>
        </w:rPr>
        <w:t>, k601 (2018).</w:t>
      </w:r>
    </w:p>
    <w:p w:rsidR="004F0CD7" w:rsidRPr="004F0CD7" w:rsidRDefault="004F0CD7" w:rsidP="004F0CD7">
      <w:pPr>
        <w:autoSpaceDE w:val="0"/>
        <w:autoSpaceDN w:val="0"/>
        <w:adjustRightInd w:val="0"/>
        <w:jc w:val="left"/>
        <w:rPr>
          <w:rFonts w:ascii="AdvOT46dcae81" w:hAnsi="AdvOT46dcae81" w:cs="AdvOT46dcae81"/>
          <w:kern w:val="0"/>
          <w:sz w:val="18"/>
          <w:szCs w:val="14"/>
        </w:rPr>
      </w:pPr>
      <w:r>
        <w:rPr>
          <w:rFonts w:ascii="AdvOT46dcae81" w:hAnsi="AdvOT46dcae81" w:cs="AdvOT46dcae81"/>
          <w:kern w:val="0"/>
          <w:sz w:val="18"/>
          <w:szCs w:val="14"/>
        </w:rPr>
        <w:t>3</w:t>
      </w:r>
      <w:r w:rsidRPr="004F0CD7">
        <w:rPr>
          <w:rFonts w:ascii="AdvOT46dcae81" w:hAnsi="AdvOT46dcae81" w:cs="AdvOT46dcae81"/>
          <w:kern w:val="0"/>
          <w:sz w:val="18"/>
          <w:szCs w:val="14"/>
        </w:rPr>
        <w:t>. Bowden, J., Davey Smith, G. &amp; Burgess, S. Mendelian randomization with invalid</w:t>
      </w:r>
      <w:r>
        <w:rPr>
          <w:rFonts w:ascii="AdvOT46dcae81" w:hAnsi="AdvOT46dcae81" w:cs="AdvOT46dcae81"/>
          <w:kern w:val="0"/>
          <w:sz w:val="18"/>
          <w:szCs w:val="14"/>
        </w:rPr>
        <w:t xml:space="preserve"> </w:t>
      </w:r>
      <w:r w:rsidRPr="004F0CD7">
        <w:rPr>
          <w:rFonts w:ascii="AdvOT46dcae81" w:hAnsi="AdvOT46dcae81" w:cs="AdvOT46dcae81"/>
          <w:kern w:val="0"/>
          <w:sz w:val="18"/>
          <w:szCs w:val="14"/>
        </w:rPr>
        <w:t xml:space="preserve">instruments: effect estimation and bias detection through Egger regression. </w:t>
      </w:r>
      <w:r w:rsidRPr="004F0CD7">
        <w:rPr>
          <w:rFonts w:ascii="AdvOT65f8a23b.I" w:hAnsi="AdvOT65f8a23b.I" w:cs="AdvOT65f8a23b.I"/>
          <w:kern w:val="0"/>
          <w:sz w:val="18"/>
          <w:szCs w:val="14"/>
        </w:rPr>
        <w:t>Int.</w:t>
      </w:r>
      <w:r>
        <w:rPr>
          <w:rFonts w:ascii="AdvOT65f8a23b.I" w:hAnsi="AdvOT65f8a23b.I" w:cs="AdvOT65f8a23b.I"/>
          <w:kern w:val="0"/>
          <w:sz w:val="18"/>
          <w:szCs w:val="14"/>
        </w:rPr>
        <w:t xml:space="preserve"> </w:t>
      </w:r>
      <w:r w:rsidRPr="004F0CD7">
        <w:rPr>
          <w:rFonts w:ascii="AdvOT65f8a23b.I" w:hAnsi="AdvOT65f8a23b.I" w:cs="AdvOT65f8a23b.I"/>
          <w:kern w:val="0"/>
          <w:sz w:val="18"/>
          <w:szCs w:val="14"/>
        </w:rPr>
        <w:t xml:space="preserve">J. </w:t>
      </w:r>
      <w:proofErr w:type="spellStart"/>
      <w:r w:rsidRPr="004F0CD7">
        <w:rPr>
          <w:rFonts w:ascii="AdvOT65f8a23b.I" w:hAnsi="AdvOT65f8a23b.I" w:cs="AdvOT65f8a23b.I"/>
          <w:kern w:val="0"/>
          <w:sz w:val="18"/>
          <w:szCs w:val="14"/>
        </w:rPr>
        <w:t>Epidemiol</w:t>
      </w:r>
      <w:proofErr w:type="spellEnd"/>
      <w:r w:rsidRPr="004F0CD7">
        <w:rPr>
          <w:rFonts w:ascii="AdvOT65f8a23b.I" w:hAnsi="AdvOT65f8a23b.I" w:cs="AdvOT65f8a23b.I"/>
          <w:kern w:val="0"/>
          <w:sz w:val="18"/>
          <w:szCs w:val="14"/>
        </w:rPr>
        <w:t xml:space="preserve">. </w:t>
      </w:r>
      <w:r w:rsidRPr="004F0CD7">
        <w:rPr>
          <w:rFonts w:ascii="AdvOT3b30f6db.B" w:hAnsi="AdvOT3b30f6db.B" w:cs="AdvOT3b30f6db.B"/>
          <w:kern w:val="0"/>
          <w:sz w:val="18"/>
          <w:szCs w:val="14"/>
        </w:rPr>
        <w:t>44</w:t>
      </w:r>
      <w:r w:rsidRPr="004F0CD7">
        <w:rPr>
          <w:rFonts w:ascii="AdvOT46dcae81" w:hAnsi="AdvOT46dcae81" w:cs="AdvOT46dcae81"/>
          <w:kern w:val="0"/>
          <w:sz w:val="18"/>
          <w:szCs w:val="14"/>
        </w:rPr>
        <w:t>, 512</w:t>
      </w:r>
      <w:r w:rsidRPr="004F0CD7">
        <w:rPr>
          <w:rFonts w:ascii="AdvOT46dcae81+20" w:hAnsi="AdvOT46dcae81+20" w:cs="AdvOT46dcae81+20"/>
          <w:kern w:val="0"/>
          <w:sz w:val="18"/>
          <w:szCs w:val="14"/>
        </w:rPr>
        <w:t>–</w:t>
      </w:r>
      <w:r w:rsidRPr="004F0CD7">
        <w:rPr>
          <w:rFonts w:ascii="AdvOT46dcae81" w:hAnsi="AdvOT46dcae81" w:cs="AdvOT46dcae81"/>
          <w:kern w:val="0"/>
          <w:sz w:val="18"/>
          <w:szCs w:val="14"/>
        </w:rPr>
        <w:t>525 (2015).</w:t>
      </w:r>
    </w:p>
    <w:p w:rsidR="004F0CD7" w:rsidRPr="004F0CD7" w:rsidRDefault="004F0CD7" w:rsidP="004F0CD7">
      <w:pPr>
        <w:autoSpaceDE w:val="0"/>
        <w:autoSpaceDN w:val="0"/>
        <w:adjustRightInd w:val="0"/>
        <w:jc w:val="left"/>
        <w:rPr>
          <w:rFonts w:ascii="AdvOT46dcae81" w:hAnsi="AdvOT46dcae81" w:cs="AdvOT46dcae81"/>
          <w:kern w:val="0"/>
          <w:sz w:val="18"/>
          <w:szCs w:val="14"/>
        </w:rPr>
      </w:pPr>
      <w:r>
        <w:rPr>
          <w:rFonts w:ascii="AdvOT46dcae81" w:hAnsi="AdvOT46dcae81" w:cs="AdvOT46dcae81"/>
          <w:kern w:val="0"/>
          <w:sz w:val="18"/>
          <w:szCs w:val="14"/>
        </w:rPr>
        <w:t>4</w:t>
      </w:r>
      <w:r w:rsidRPr="004F0CD7">
        <w:rPr>
          <w:rFonts w:ascii="AdvOT46dcae81" w:hAnsi="AdvOT46dcae81" w:cs="AdvOT46dcae81"/>
          <w:kern w:val="0"/>
          <w:sz w:val="18"/>
          <w:szCs w:val="14"/>
        </w:rPr>
        <w:t>. Bowden, J. et al. A framework for the investigation of pleiotropy in two-sample</w:t>
      </w:r>
      <w:r>
        <w:rPr>
          <w:rFonts w:ascii="AdvOT46dcae81" w:hAnsi="AdvOT46dcae81" w:cs="AdvOT46dcae81"/>
          <w:kern w:val="0"/>
          <w:sz w:val="18"/>
          <w:szCs w:val="14"/>
        </w:rPr>
        <w:t xml:space="preserve"> </w:t>
      </w:r>
      <w:r w:rsidRPr="004F0CD7">
        <w:rPr>
          <w:rFonts w:ascii="AdvOT46dcae81" w:hAnsi="AdvOT46dcae81" w:cs="AdvOT46dcae81"/>
          <w:kern w:val="0"/>
          <w:sz w:val="18"/>
          <w:szCs w:val="14"/>
        </w:rPr>
        <w:t xml:space="preserve">summary data Mendelian randomization. </w:t>
      </w:r>
      <w:r w:rsidRPr="004F0CD7">
        <w:rPr>
          <w:rFonts w:ascii="AdvOT65f8a23b.I" w:hAnsi="AdvOT65f8a23b.I" w:cs="AdvOT65f8a23b.I"/>
          <w:kern w:val="0"/>
          <w:sz w:val="18"/>
          <w:szCs w:val="14"/>
        </w:rPr>
        <w:t xml:space="preserve">Stat. Med. </w:t>
      </w:r>
      <w:r w:rsidRPr="004F0CD7">
        <w:rPr>
          <w:rFonts w:ascii="AdvOT3b30f6db.B" w:hAnsi="AdvOT3b30f6db.B" w:cs="AdvOT3b30f6db.B"/>
          <w:kern w:val="0"/>
          <w:sz w:val="18"/>
          <w:szCs w:val="14"/>
        </w:rPr>
        <w:t>36</w:t>
      </w:r>
      <w:r w:rsidRPr="004F0CD7">
        <w:rPr>
          <w:rFonts w:ascii="AdvOT46dcae81" w:hAnsi="AdvOT46dcae81" w:cs="AdvOT46dcae81"/>
          <w:kern w:val="0"/>
          <w:sz w:val="18"/>
          <w:szCs w:val="14"/>
        </w:rPr>
        <w:t>, 1783</w:t>
      </w:r>
      <w:r w:rsidRPr="004F0CD7">
        <w:rPr>
          <w:rFonts w:ascii="AdvOT46dcae81+20" w:hAnsi="AdvOT46dcae81+20" w:cs="AdvOT46dcae81+20"/>
          <w:kern w:val="0"/>
          <w:sz w:val="18"/>
          <w:szCs w:val="14"/>
        </w:rPr>
        <w:t>–</w:t>
      </w:r>
      <w:r w:rsidRPr="004F0CD7">
        <w:rPr>
          <w:rFonts w:ascii="AdvOT46dcae81" w:hAnsi="AdvOT46dcae81" w:cs="AdvOT46dcae81"/>
          <w:kern w:val="0"/>
          <w:sz w:val="18"/>
          <w:szCs w:val="14"/>
        </w:rPr>
        <w:t>1802 (2017).</w:t>
      </w:r>
    </w:p>
    <w:p w:rsidR="004F0CD7" w:rsidRPr="004F0CD7" w:rsidRDefault="004F0CD7" w:rsidP="004F0CD7">
      <w:pPr>
        <w:autoSpaceDE w:val="0"/>
        <w:autoSpaceDN w:val="0"/>
        <w:adjustRightInd w:val="0"/>
        <w:jc w:val="left"/>
        <w:rPr>
          <w:rFonts w:ascii="AdvOT46dcae81" w:hAnsi="AdvOT46dcae81" w:cs="AdvOT46dcae81"/>
          <w:kern w:val="0"/>
          <w:sz w:val="18"/>
          <w:szCs w:val="14"/>
        </w:rPr>
      </w:pPr>
      <w:r>
        <w:rPr>
          <w:rFonts w:ascii="AdvOT46dcae81" w:hAnsi="AdvOT46dcae81" w:cs="AdvOT46dcae81"/>
          <w:kern w:val="0"/>
          <w:sz w:val="18"/>
          <w:szCs w:val="14"/>
        </w:rPr>
        <w:t>5</w:t>
      </w:r>
      <w:r w:rsidRPr="004F0CD7">
        <w:rPr>
          <w:rFonts w:ascii="AdvOT46dcae81" w:hAnsi="AdvOT46dcae81" w:cs="AdvOT46dcae81"/>
          <w:kern w:val="0"/>
          <w:sz w:val="18"/>
          <w:szCs w:val="14"/>
        </w:rPr>
        <w:t xml:space="preserve">. Zheng, J. et al. Recent developments in </w:t>
      </w:r>
      <w:proofErr w:type="spellStart"/>
      <w:r w:rsidRPr="004F0CD7">
        <w:rPr>
          <w:rFonts w:ascii="AdvOT46dcae81" w:hAnsi="AdvOT46dcae81" w:cs="AdvOT46dcae81"/>
          <w:kern w:val="0"/>
          <w:sz w:val="18"/>
          <w:szCs w:val="14"/>
        </w:rPr>
        <w:t>mendelian</w:t>
      </w:r>
      <w:proofErr w:type="spellEnd"/>
      <w:r w:rsidRPr="004F0CD7">
        <w:rPr>
          <w:rFonts w:ascii="AdvOT46dcae81" w:hAnsi="AdvOT46dcae81" w:cs="AdvOT46dcae81"/>
          <w:kern w:val="0"/>
          <w:sz w:val="18"/>
          <w:szCs w:val="14"/>
        </w:rPr>
        <w:t xml:space="preserve"> randomization studies. </w:t>
      </w:r>
      <w:proofErr w:type="spellStart"/>
      <w:r w:rsidRPr="004F0CD7">
        <w:rPr>
          <w:rFonts w:ascii="AdvOT65f8a23b.I" w:hAnsi="AdvOT65f8a23b.I" w:cs="AdvOT65f8a23b.I"/>
          <w:kern w:val="0"/>
          <w:sz w:val="18"/>
          <w:szCs w:val="14"/>
        </w:rPr>
        <w:t>Curr</w:t>
      </w:r>
      <w:proofErr w:type="spellEnd"/>
      <w:r w:rsidRPr="004F0CD7">
        <w:rPr>
          <w:rFonts w:ascii="AdvOT65f8a23b.I" w:hAnsi="AdvOT65f8a23b.I" w:cs="AdvOT65f8a23b.I"/>
          <w:kern w:val="0"/>
          <w:sz w:val="18"/>
          <w:szCs w:val="14"/>
        </w:rPr>
        <w:t>.</w:t>
      </w:r>
      <w:r>
        <w:rPr>
          <w:rFonts w:ascii="AdvOT65f8a23b.I" w:hAnsi="AdvOT65f8a23b.I" w:cs="AdvOT65f8a23b.I"/>
          <w:kern w:val="0"/>
          <w:sz w:val="18"/>
          <w:szCs w:val="14"/>
        </w:rPr>
        <w:t xml:space="preserve"> </w:t>
      </w:r>
      <w:proofErr w:type="spellStart"/>
      <w:r w:rsidRPr="004F0CD7">
        <w:rPr>
          <w:rFonts w:ascii="AdvOT65f8a23b.I" w:hAnsi="AdvOT65f8a23b.I" w:cs="AdvOT65f8a23b.I"/>
          <w:kern w:val="0"/>
          <w:sz w:val="18"/>
          <w:szCs w:val="14"/>
        </w:rPr>
        <w:t>Epidemiol</w:t>
      </w:r>
      <w:proofErr w:type="spellEnd"/>
      <w:r w:rsidRPr="004F0CD7">
        <w:rPr>
          <w:rFonts w:ascii="AdvOT65f8a23b.I" w:hAnsi="AdvOT65f8a23b.I" w:cs="AdvOT65f8a23b.I"/>
          <w:kern w:val="0"/>
          <w:sz w:val="18"/>
          <w:szCs w:val="14"/>
        </w:rPr>
        <w:t xml:space="preserve">. Rep. </w:t>
      </w:r>
      <w:r w:rsidRPr="004F0CD7">
        <w:rPr>
          <w:rFonts w:ascii="AdvOT3b30f6db.B" w:hAnsi="AdvOT3b30f6db.B" w:cs="AdvOT3b30f6db.B"/>
          <w:kern w:val="0"/>
          <w:sz w:val="18"/>
          <w:szCs w:val="14"/>
        </w:rPr>
        <w:t>4</w:t>
      </w:r>
      <w:r w:rsidRPr="004F0CD7">
        <w:rPr>
          <w:rFonts w:ascii="AdvOT46dcae81" w:hAnsi="AdvOT46dcae81" w:cs="AdvOT46dcae81"/>
          <w:kern w:val="0"/>
          <w:sz w:val="18"/>
          <w:szCs w:val="14"/>
        </w:rPr>
        <w:t>, 330</w:t>
      </w:r>
      <w:r w:rsidRPr="004F0CD7">
        <w:rPr>
          <w:rFonts w:ascii="AdvOT46dcae81+20" w:hAnsi="AdvOT46dcae81+20" w:cs="AdvOT46dcae81+20"/>
          <w:kern w:val="0"/>
          <w:sz w:val="18"/>
          <w:szCs w:val="14"/>
        </w:rPr>
        <w:t>–</w:t>
      </w:r>
      <w:r w:rsidRPr="004F0CD7">
        <w:rPr>
          <w:rFonts w:ascii="AdvOT46dcae81" w:hAnsi="AdvOT46dcae81" w:cs="AdvOT46dcae81"/>
          <w:kern w:val="0"/>
          <w:sz w:val="18"/>
          <w:szCs w:val="14"/>
        </w:rPr>
        <w:t>345 (2017).</w:t>
      </w:r>
    </w:p>
    <w:p w:rsidR="004F0CD7" w:rsidRPr="004F0CD7" w:rsidRDefault="004F0CD7" w:rsidP="004F0CD7">
      <w:pPr>
        <w:autoSpaceDE w:val="0"/>
        <w:autoSpaceDN w:val="0"/>
        <w:adjustRightInd w:val="0"/>
        <w:jc w:val="left"/>
        <w:rPr>
          <w:rFonts w:ascii="AdvOT46dcae81" w:hAnsi="AdvOT46dcae81" w:cs="AdvOT46dcae81"/>
          <w:color w:val="000000"/>
          <w:kern w:val="0"/>
          <w:sz w:val="24"/>
          <w:szCs w:val="14"/>
        </w:rPr>
      </w:pPr>
      <w:r>
        <w:rPr>
          <w:rFonts w:ascii="AdvOT46dcae81" w:hAnsi="AdvOT46dcae81" w:cs="AdvOT46dcae81"/>
          <w:kern w:val="0"/>
          <w:sz w:val="18"/>
          <w:szCs w:val="14"/>
        </w:rPr>
        <w:t>6</w:t>
      </w:r>
      <w:r w:rsidRPr="004F0CD7">
        <w:rPr>
          <w:rFonts w:ascii="AdvOT46dcae81" w:hAnsi="AdvOT46dcae81" w:cs="AdvOT46dcae81"/>
          <w:kern w:val="0"/>
          <w:sz w:val="18"/>
          <w:szCs w:val="14"/>
        </w:rPr>
        <w:t>. Bowden, J., Davey Smith, G., Haycock, P. C. &amp; Burgess, S. Consistent estimation in</w:t>
      </w:r>
      <w:r>
        <w:rPr>
          <w:rFonts w:ascii="AdvOT46dcae81" w:hAnsi="AdvOT46dcae81" w:cs="AdvOT46dcae81"/>
          <w:kern w:val="0"/>
          <w:sz w:val="18"/>
          <w:szCs w:val="14"/>
        </w:rPr>
        <w:t xml:space="preserve"> </w:t>
      </w:r>
      <w:r w:rsidRPr="004F0CD7">
        <w:rPr>
          <w:rFonts w:ascii="AdvOT46dcae81" w:hAnsi="AdvOT46dcae81" w:cs="AdvOT46dcae81"/>
          <w:kern w:val="0"/>
          <w:sz w:val="18"/>
          <w:szCs w:val="14"/>
        </w:rPr>
        <w:t>Mendelian randomization with some invalid instruments using a weighted</w:t>
      </w:r>
      <w:r>
        <w:rPr>
          <w:rFonts w:ascii="AdvOT46dcae81" w:hAnsi="AdvOT46dcae81" w:cs="AdvOT46dcae81"/>
          <w:kern w:val="0"/>
          <w:sz w:val="18"/>
          <w:szCs w:val="14"/>
        </w:rPr>
        <w:t xml:space="preserve"> </w:t>
      </w:r>
      <w:r w:rsidRPr="004F0CD7">
        <w:rPr>
          <w:rFonts w:ascii="AdvOT46dcae81" w:hAnsi="AdvOT46dcae81" w:cs="AdvOT46dcae81"/>
          <w:kern w:val="0"/>
          <w:sz w:val="18"/>
          <w:szCs w:val="14"/>
        </w:rPr>
        <w:t xml:space="preserve">median estimator. </w:t>
      </w:r>
      <w:r w:rsidRPr="004F0CD7">
        <w:rPr>
          <w:rFonts w:ascii="AdvOT65f8a23b.I" w:hAnsi="AdvOT65f8a23b.I" w:cs="AdvOT65f8a23b.I"/>
          <w:kern w:val="0"/>
          <w:sz w:val="18"/>
          <w:szCs w:val="14"/>
        </w:rPr>
        <w:t xml:space="preserve">Genet. </w:t>
      </w:r>
      <w:proofErr w:type="spellStart"/>
      <w:r w:rsidRPr="004F0CD7">
        <w:rPr>
          <w:rFonts w:ascii="AdvOT65f8a23b.I" w:hAnsi="AdvOT65f8a23b.I" w:cs="AdvOT65f8a23b.I"/>
          <w:kern w:val="0"/>
          <w:sz w:val="18"/>
          <w:szCs w:val="14"/>
        </w:rPr>
        <w:t>Epidemiol</w:t>
      </w:r>
      <w:proofErr w:type="spellEnd"/>
      <w:r w:rsidRPr="004F0CD7">
        <w:rPr>
          <w:rFonts w:ascii="AdvOT65f8a23b.I" w:hAnsi="AdvOT65f8a23b.I" w:cs="AdvOT65f8a23b.I"/>
          <w:kern w:val="0"/>
          <w:sz w:val="18"/>
          <w:szCs w:val="14"/>
        </w:rPr>
        <w:t xml:space="preserve">. </w:t>
      </w:r>
      <w:r w:rsidRPr="004F0CD7">
        <w:rPr>
          <w:rFonts w:ascii="AdvOT3b30f6db.B" w:hAnsi="AdvOT3b30f6db.B" w:cs="AdvOT3b30f6db.B"/>
          <w:kern w:val="0"/>
          <w:sz w:val="18"/>
          <w:szCs w:val="14"/>
        </w:rPr>
        <w:t>40</w:t>
      </w:r>
      <w:r w:rsidRPr="004F0CD7">
        <w:rPr>
          <w:rFonts w:ascii="AdvOT46dcae81" w:hAnsi="AdvOT46dcae81" w:cs="AdvOT46dcae81"/>
          <w:kern w:val="0"/>
          <w:sz w:val="18"/>
          <w:szCs w:val="14"/>
        </w:rPr>
        <w:t>, 304</w:t>
      </w:r>
      <w:r w:rsidRPr="004F0CD7">
        <w:rPr>
          <w:rFonts w:ascii="AdvOT46dcae81+20" w:hAnsi="AdvOT46dcae81+20" w:cs="AdvOT46dcae81+20"/>
          <w:kern w:val="0"/>
          <w:sz w:val="18"/>
          <w:szCs w:val="14"/>
        </w:rPr>
        <w:t>–</w:t>
      </w:r>
      <w:r w:rsidRPr="004F0CD7">
        <w:rPr>
          <w:rFonts w:ascii="AdvOT46dcae81" w:hAnsi="AdvOT46dcae81" w:cs="AdvOT46dcae81"/>
          <w:kern w:val="0"/>
          <w:sz w:val="18"/>
          <w:szCs w:val="14"/>
        </w:rPr>
        <w:t>314 (2016).</w:t>
      </w:r>
    </w:p>
    <w:sectPr w:rsidR="004F0CD7" w:rsidRPr="004F0C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OT46dcae81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3b30f6db.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65f8a23b.I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46dcae81+2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46dcae81+fb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dvOT65f8a23b.I+2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140"/>
    <w:rsid w:val="00376140"/>
    <w:rsid w:val="00416185"/>
    <w:rsid w:val="004334C1"/>
    <w:rsid w:val="004F0CD7"/>
    <w:rsid w:val="00C03FA5"/>
    <w:rsid w:val="00DC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CB4714-8029-4D6C-943B-1E6FC3AE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567</Words>
  <Characters>3236</Characters>
  <Application>Microsoft Office Word</Application>
  <DocSecurity>0</DocSecurity>
  <Lines>26</Lines>
  <Paragraphs>7</Paragraphs>
  <ScaleCrop>false</ScaleCrop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YH</dc:creator>
  <cp:keywords/>
  <dc:description/>
  <cp:lastModifiedBy>YH</cp:lastModifiedBy>
  <cp:revision>4</cp:revision>
  <dcterms:created xsi:type="dcterms:W3CDTF">2021-03-15T00:35:00Z</dcterms:created>
  <dcterms:modified xsi:type="dcterms:W3CDTF">2021-03-15T00:43:00Z</dcterms:modified>
</cp:coreProperties>
</file>