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Figure S1:</w:t>
      </w: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175250" cy="4513580"/>
            <wp:effectExtent l="0" t="0" r="6350" b="1270"/>
            <wp:docPr id="2" name="Picture 2" descr="Description: F:\Nerve vessel coupling\Nerve-Vessel\Manu\Re-submission\Bone res_resub v4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F:\Nerve vessel coupling\Nerve-Vessel\Manu\Re-submission\Bone res_resub v4-01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0" cy="451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2"/>
          <w:lang w:eastAsia="zh-CN"/>
        </w:rPr>
      </w:pPr>
      <w:r>
        <w:rPr>
          <w:rFonts w:ascii="Times New Roman" w:hAnsi="Times New Roman" w:cs="Times New Roman"/>
          <w:b/>
          <w:sz w:val="24"/>
          <w:szCs w:val="22"/>
          <w:lang w:eastAsia="zh-CN"/>
        </w:rPr>
        <w:t xml:space="preserve">Supplementary Fig. 1. Tubb3 and </w:t>
      </w:r>
      <w:proofErr w:type="spellStart"/>
      <w:r>
        <w:rPr>
          <w:rFonts w:ascii="Times New Roman" w:hAnsi="Times New Roman" w:cs="Times New Roman"/>
          <w:b/>
          <w:sz w:val="24"/>
          <w:szCs w:val="22"/>
          <w:lang w:eastAsia="zh-CN"/>
        </w:rPr>
        <w:t>Emcn</w:t>
      </w:r>
      <w:proofErr w:type="spellEnd"/>
      <w:r>
        <w:rPr>
          <w:rFonts w:ascii="Times New Roman" w:hAnsi="Times New Roman" w:cs="Times New Roman"/>
          <w:b/>
          <w:sz w:val="24"/>
          <w:szCs w:val="22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2"/>
          <w:lang w:eastAsia="zh-CN"/>
        </w:rPr>
        <w:t>immunostaining</w:t>
      </w:r>
      <w:proofErr w:type="spellEnd"/>
      <w:r>
        <w:rPr>
          <w:rFonts w:ascii="Times New Roman" w:hAnsi="Times New Roman" w:cs="Times New Roman"/>
          <w:b/>
          <w:sz w:val="24"/>
          <w:szCs w:val="22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2"/>
          <w:lang w:eastAsia="zh-CN"/>
        </w:rPr>
        <w:t>inset</w:t>
      </w:r>
      <w:r>
        <w:rPr>
          <w:rFonts w:ascii="Times New Roman" w:hAnsi="Times New Roman" w:cs="Times New Roman"/>
          <w:b/>
          <w:sz w:val="24"/>
          <w:szCs w:val="22"/>
          <w:lang w:eastAsia="zh-CN"/>
        </w:rPr>
        <w:t xml:space="preserve"> following injury site at D1 and D3. </w:t>
      </w:r>
      <w:r>
        <w:rPr>
          <w:rFonts w:ascii="Times New Roman" w:hAnsi="Times New Roman" w:cs="Times New Roman"/>
          <w:sz w:val="24"/>
          <w:szCs w:val="22"/>
          <w:lang w:eastAsia="zh-CN"/>
        </w:rPr>
        <w:t xml:space="preserve">White dished line: tendon. Yellow box: high magnification inset. Scale bar: 100 </w:t>
      </w:r>
      <w:proofErr w:type="spellStart"/>
      <w:r>
        <w:rPr>
          <w:rFonts w:ascii="Times New Roman" w:hAnsi="Times New Roman" w:cs="Times New Roman"/>
          <w:sz w:val="24"/>
          <w:szCs w:val="22"/>
          <w:lang w:eastAsia="zh-CN"/>
        </w:rPr>
        <w:t>μm</w:t>
      </w:r>
      <w:proofErr w:type="spellEnd"/>
      <w:r>
        <w:rPr>
          <w:rFonts w:ascii="Times New Roman" w:hAnsi="Times New Roman" w:cs="Times New Roman"/>
          <w:sz w:val="24"/>
          <w:szCs w:val="22"/>
          <w:lang w:eastAsia="zh-CN"/>
        </w:rPr>
        <w:t>.</w:t>
      </w: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b/>
          <w:sz w:val="28"/>
          <w:szCs w:val="24"/>
        </w:rPr>
        <w:sectPr w:rsidR="00D80FFE">
          <w:pgSz w:w="12240" w:h="15840"/>
          <w:pgMar w:top="1440" w:right="1440" w:bottom="1440" w:left="1440" w:header="720" w:footer="720" w:gutter="0"/>
          <w:cols w:space="720"/>
        </w:sect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  <w:sectPr w:rsidR="00D80FFE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Figure S2:</w:t>
      </w: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70785" cy="2509520"/>
            <wp:effectExtent l="0" t="0" r="5715" b="5080"/>
            <wp:docPr id="1" name="Picture 1" descr="Description: F:\Nerve vessel coupling\Nerve-Vessel\Figure\V5\Supp Fig. 1_Endothelial_pericytes_markers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F:\Nerve vessel coupling\Nerve-Vessel\Figure\V5\Supp Fig. 1_Endothelial_pericytes_markers-0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Fig. 2. Violin plots of characteristic markers identifying endothelial cells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pericytes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within the HO induction site. </w:t>
      </w:r>
      <w:r>
        <w:rPr>
          <w:rFonts w:ascii="Times New Roman" w:hAnsi="Times New Roman" w:cs="Times New Roman"/>
          <w:sz w:val="24"/>
          <w:szCs w:val="24"/>
        </w:rPr>
        <w:t xml:space="preserve">Shown in relation to data in </w:t>
      </w:r>
      <w:r>
        <w:rPr>
          <w:rFonts w:ascii="Times New Roman" w:hAnsi="Times New Roman" w:cs="Times New Roman"/>
          <w:b/>
          <w:sz w:val="24"/>
          <w:szCs w:val="24"/>
        </w:rPr>
        <w:t>Figure 1E</w:t>
      </w:r>
      <w:r>
        <w:rPr>
          <w:rFonts w:ascii="Times New Roman" w:hAnsi="Times New Roman" w:cs="Times New Roman"/>
          <w:sz w:val="24"/>
          <w:szCs w:val="24"/>
        </w:rPr>
        <w:t xml:space="preserve">. Cells pooled from the tendon injury site at D0, 7 and 21. N=3 animals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timepoint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Pecam1</w:t>
      </w:r>
      <w:r>
        <w:rPr>
          <w:rFonts w:ascii="Times New Roman" w:hAnsi="Times New Roman" w:cs="Times New Roman"/>
          <w:sz w:val="24"/>
          <w:szCs w:val="24"/>
        </w:rPr>
        <w:t xml:space="preserve"> (Platelet endothelial cell adhesion molecule 1), </w:t>
      </w:r>
      <w:r>
        <w:rPr>
          <w:rFonts w:ascii="Times New Roman" w:hAnsi="Times New Roman" w:cs="Times New Roman"/>
          <w:i/>
          <w:sz w:val="24"/>
          <w:szCs w:val="24"/>
        </w:rPr>
        <w:t>Cdh5</w:t>
      </w:r>
      <w:r>
        <w:rPr>
          <w:rFonts w:ascii="Times New Roman" w:hAnsi="Times New Roman" w:cs="Times New Roman"/>
          <w:sz w:val="24"/>
          <w:szCs w:val="24"/>
        </w:rPr>
        <w:t xml:space="preserve"> (Cadherin 5), </w:t>
      </w:r>
      <w:r>
        <w:rPr>
          <w:rFonts w:ascii="Times New Roman" w:hAnsi="Times New Roman" w:cs="Times New Roman"/>
          <w:i/>
          <w:sz w:val="24"/>
          <w:szCs w:val="24"/>
        </w:rPr>
        <w:t>Acta2</w:t>
      </w:r>
      <w:r>
        <w:rPr>
          <w:rFonts w:ascii="Times New Roman" w:hAnsi="Times New Roman" w:cs="Times New Roman"/>
          <w:sz w:val="24"/>
          <w:szCs w:val="24"/>
        </w:rPr>
        <w:t xml:space="preserve"> (Actin alpha 2),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Pdgfrb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(Platelet-derived growth factor receptor beta).</w:t>
      </w: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  <w:sectPr w:rsidR="00D80FFE">
          <w:pgSz w:w="12240" w:h="15840"/>
          <w:pgMar w:top="1440" w:right="1440" w:bottom="1440" w:left="1440" w:header="720" w:footer="720" w:gutter="0"/>
          <w:cols w:space="720"/>
        </w:sect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  <w:sectPr w:rsidR="00D80FFE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S1: Primers used</w:t>
      </w:r>
    </w:p>
    <w:tbl>
      <w:tblPr>
        <w:tblStyle w:val="TableGrid1"/>
        <w:tblpPr w:leftFromText="180" w:rightFromText="180" w:vertAnchor="text" w:horzAnchor="page" w:tblpX="1126" w:tblpY="102"/>
        <w:tblW w:w="9985" w:type="dxa"/>
        <w:tblInd w:w="0" w:type="dxa"/>
        <w:tblLook w:val="04A0" w:firstRow="1" w:lastRow="0" w:firstColumn="1" w:lastColumn="0" w:noHBand="0" w:noVBand="1"/>
      </w:tblPr>
      <w:tblGrid>
        <w:gridCol w:w="1559"/>
        <w:gridCol w:w="4272"/>
        <w:gridCol w:w="4154"/>
      </w:tblGrid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Genes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Forward (5’-3’)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Reverse (5’-3’)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>
              <w:rPr>
                <w:i/>
              </w:rPr>
              <w:t xml:space="preserve"> </w:t>
            </w:r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Anxa3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ATGGCCTCTATCTGGGTTGGA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CAAGTCCTCTGATCGCTTTCC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Fgf1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TTATACGGCTCGCAGACACC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TCTGGCCATAGTGAGTCCGA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Fgf18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CTGCGCTTGTACCAGCTCTAT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GACTCCCGAAGGTATCTGTCT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Mmp9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GGACCCGAAGCGGACATTG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CGTCGTCGAAATGGGCATCT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Pdgfa</w:t>
            </w:r>
            <w:proofErr w:type="spellEnd"/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TGGCTCGAAGTCAGATCCACA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TTCTCGGGCACATGGTTAATG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Pdgfb</w:t>
            </w:r>
            <w:proofErr w:type="spellEnd"/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CATCCGCTCCTTTGATGATCTT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GTGCTCGGGTCATGTTCAAGT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Pdgfc</w:t>
            </w:r>
            <w:proofErr w:type="spellEnd"/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GCCAAAGAACGGGGACTCG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AGTGACAACTCTCTCATGCCG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Pdgfd</w:t>
            </w:r>
            <w:proofErr w:type="spellEnd"/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ATGCAACGGCTCGTTTTAGTC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CGGAGTCGCAAAAGTGTCC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Pgf</w:t>
            </w:r>
            <w:proofErr w:type="spellEnd"/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AGTGGAAGTGGTGCCTTTCAA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GTGAGACACCTCATCAGGGTA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Sema5a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GACTTGCTAGGCCCGAGAC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TCTGAACTCCCGTAACCAGGG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Vegfa</w:t>
            </w:r>
            <w:proofErr w:type="spellEnd"/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CGGGCCTCGGTTCCA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GCAGCCTGGGACCACTTG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Vegfb</w:t>
            </w:r>
            <w:proofErr w:type="spellEnd"/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GCCAGACAGGGTTGCCATAC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GGAGTGGGATGGATGATGTCAG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Vegfc</w:t>
            </w:r>
            <w:proofErr w:type="spellEnd"/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GTGAGGTGTGTATAGATGTGGGG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ACGTCTTGCTGAGGTAACCTG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Vegfd</w:t>
            </w:r>
            <w:proofErr w:type="spellEnd"/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CCTGGGACAGAAGACCACTC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TGAGATCTCCCGGACATGGT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Wnt5a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CAACTGGCAGGACTTTCTCAA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CCTTCTCCAATGTACTGCATGTG</w:t>
            </w:r>
          </w:p>
        </w:tc>
      </w:tr>
      <w:tr w:rsidR="00D80FFE" w:rsidTr="00D80FFE">
        <w:trPr>
          <w:trHeight w:val="46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Gapdh</w:t>
            </w:r>
            <w:proofErr w:type="spellEnd"/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CTGGGCTACACTGAGCACC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AAGTGGTCGTTGAGGGCAATG</w:t>
            </w:r>
          </w:p>
        </w:tc>
      </w:tr>
    </w:tbl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</w:r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</w:r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</w:r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</w:r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</w:r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</w:r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</w:r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D80FFE" w:rsidRDefault="00D80FFE" w:rsidP="00D80FFE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S2: Antibodies used.</w:t>
      </w:r>
    </w:p>
    <w:tbl>
      <w:tblPr>
        <w:tblStyle w:val="TableGrid"/>
        <w:tblpPr w:leftFromText="180" w:rightFromText="180" w:vertAnchor="text" w:horzAnchor="margin" w:tblpX="-10" w:tblpY="259"/>
        <w:tblW w:w="7915" w:type="dxa"/>
        <w:tblInd w:w="0" w:type="dxa"/>
        <w:tblLook w:val="04A0" w:firstRow="1" w:lastRow="0" w:firstColumn="1" w:lastColumn="0" w:noHBand="0" w:noVBand="1"/>
      </w:tblPr>
      <w:tblGrid>
        <w:gridCol w:w="3454"/>
        <w:gridCol w:w="2583"/>
        <w:gridCol w:w="1878"/>
      </w:tblGrid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Antibody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Company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Catalog #</w:t>
            </w:r>
          </w:p>
        </w:tc>
      </w:tr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Rabbit anti-CD146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ab75769</w:t>
            </w:r>
          </w:p>
        </w:tc>
      </w:tr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Rabbit anti-CD31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ab28364</w:t>
            </w:r>
          </w:p>
        </w:tc>
      </w:tr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Rat anti-EMCN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Santa Cruz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sc-65495</w:t>
            </w:r>
          </w:p>
        </w:tc>
      </w:tr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Rabbit anti-FGF18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Thermo Fisher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11495-1-AP</w:t>
            </w:r>
          </w:p>
        </w:tc>
      </w:tr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Mouse anti-PDGFC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R&amp;D Systems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AF1447</w:t>
            </w:r>
          </w:p>
        </w:tc>
      </w:tr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Rabbit anti-TUBB3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ab18207</w:t>
            </w:r>
          </w:p>
        </w:tc>
      </w:tr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Mouse anti-VEGFA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ab1316</w:t>
            </w:r>
          </w:p>
        </w:tc>
      </w:tr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Rabbit anti-VEGFD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ab155288</w:t>
            </w:r>
          </w:p>
        </w:tc>
      </w:tr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Goat anti-Mouse AF488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Abcam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ab150117</w:t>
            </w:r>
          </w:p>
        </w:tc>
      </w:tr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Goat anti-Rabbit AF488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ab150077</w:t>
            </w:r>
          </w:p>
        </w:tc>
      </w:tr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Goat anti-Rabbit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DyLight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594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Vector Laboratories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DI-1594</w:t>
            </w:r>
          </w:p>
        </w:tc>
      </w:tr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Goat anti-Mouse AF647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Abcam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ab150119</w:t>
            </w:r>
          </w:p>
        </w:tc>
      </w:tr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Goat anti-Rabbit AF647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ab150079</w:t>
            </w:r>
          </w:p>
        </w:tc>
      </w:tr>
      <w:tr w:rsidR="00D80FFE" w:rsidTr="00D80FFE">
        <w:trPr>
          <w:trHeight w:val="470"/>
        </w:trPr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Goat anti-Rat AF594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FFE" w:rsidRDefault="00D80FFE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ab150160</w:t>
            </w:r>
          </w:p>
        </w:tc>
      </w:tr>
    </w:tbl>
    <w:p w:rsidR="00EF0F94" w:rsidRDefault="00EF0F94">
      <w:bookmarkStart w:id="0" w:name="_GoBack"/>
      <w:bookmarkEnd w:id="0"/>
    </w:p>
    <w:sectPr w:rsidR="00EF0F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FFE"/>
    <w:rsid w:val="00024B4F"/>
    <w:rsid w:val="00514F15"/>
    <w:rsid w:val="007A6525"/>
    <w:rsid w:val="00D80FFE"/>
    <w:rsid w:val="00EF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FFE"/>
    <w:pPr>
      <w:jc w:val="both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0FFE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39"/>
    <w:rsid w:val="00D80FFE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0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FFE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FFE"/>
    <w:pPr>
      <w:jc w:val="both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0FFE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39"/>
    <w:rsid w:val="00D80FFE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0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FF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4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rdcuser4</dc:creator>
  <cp:lastModifiedBy>rdcuser4</cp:lastModifiedBy>
  <cp:revision>1</cp:revision>
  <dcterms:created xsi:type="dcterms:W3CDTF">2022-05-11T06:54:00Z</dcterms:created>
  <dcterms:modified xsi:type="dcterms:W3CDTF">2022-05-11T06:54:00Z</dcterms:modified>
</cp:coreProperties>
</file>