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F3A8CC" w14:textId="461B9DD9" w:rsidR="003E181D" w:rsidRPr="00031E1E" w:rsidRDefault="00321561" w:rsidP="003E181D">
      <w:pPr>
        <w:spacing w:line="480" w:lineRule="auto"/>
        <w:jc w:val="left"/>
        <w:rPr>
          <w:rFonts w:eastAsiaTheme="minorHAnsi"/>
          <w:b/>
          <w:bCs/>
        </w:rPr>
      </w:pPr>
      <w:bookmarkStart w:id="0" w:name="_GoBack"/>
      <w:bookmarkEnd w:id="0"/>
      <w:r w:rsidRPr="00031E1E">
        <w:rPr>
          <w:rFonts w:eastAsiaTheme="minorHAnsi"/>
          <w:b/>
          <w:bCs/>
        </w:rPr>
        <w:t>SUPPLEMENTA</w:t>
      </w:r>
      <w:r w:rsidRPr="00031E1E">
        <w:rPr>
          <w:rFonts w:eastAsiaTheme="minorHAnsi" w:hint="eastAsia"/>
          <w:b/>
          <w:bCs/>
        </w:rPr>
        <w:t>RY</w:t>
      </w:r>
      <w:r w:rsidRPr="00031E1E">
        <w:rPr>
          <w:rFonts w:eastAsiaTheme="minorHAnsi"/>
          <w:b/>
          <w:bCs/>
        </w:rPr>
        <w:t xml:space="preserve"> FIGURES AND LEGENDS</w:t>
      </w:r>
    </w:p>
    <w:p w14:paraId="729F84A8" w14:textId="77777777" w:rsidR="003E181D" w:rsidRPr="00031E1E" w:rsidRDefault="00321561" w:rsidP="003E181D">
      <w:pPr>
        <w:spacing w:line="360" w:lineRule="auto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>Supplementary Figure 1. Negative controls for the immunostaining of human and mouse Fap</w:t>
      </w:r>
    </w:p>
    <w:p w14:paraId="6CB1061B" w14:textId="73C13B5C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) Immunostaining of isotype control (IgG) in the synovium of control and OA patients. </w:t>
      </w:r>
      <w:r w:rsidR="005E70E8">
        <w:rPr>
          <w:rFonts w:eastAsiaTheme="minorHAnsi"/>
        </w:rPr>
        <w:t>DAPI staining indicates the nucleus</w:t>
      </w:r>
      <w:r w:rsidRPr="00031E1E">
        <w:rPr>
          <w:rFonts w:eastAsiaTheme="minorHAnsi"/>
        </w:rPr>
        <w:t>. Scale bars: 100 μm.</w:t>
      </w:r>
    </w:p>
    <w:p w14:paraId="5E443B5C" w14:textId="570F1D46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 Immunostaining of isotype control (IgG) in the knee joint of sham and DMM-treated mice. Sham or DMM surgery was performed in 8-week-old Fap</w:t>
      </w:r>
      <w:r w:rsidRPr="00031E1E">
        <w:rPr>
          <w:rFonts w:eastAsiaTheme="minorHAnsi"/>
          <w:vertAlign w:val="superscript"/>
        </w:rPr>
        <w:t>LacZ/+</w:t>
      </w:r>
      <w:r w:rsidRPr="00031E1E">
        <w:rPr>
          <w:rFonts w:eastAsiaTheme="minorHAnsi"/>
        </w:rPr>
        <w:t xml:space="preserve"> mice, which were sacrificed 8 weeks later (F: Femur; T: Tibia; M: Meniscus; S: Synovium). </w:t>
      </w:r>
      <w:r w:rsidR="005E70E8">
        <w:rPr>
          <w:rFonts w:eastAsiaTheme="minorHAnsi"/>
        </w:rPr>
        <w:t>DAPI staining indicates the nucleus</w:t>
      </w:r>
      <w:r w:rsidRPr="00031E1E">
        <w:rPr>
          <w:rFonts w:eastAsiaTheme="minorHAnsi"/>
        </w:rPr>
        <w:t>. Scale bars: 100 μm.</w:t>
      </w:r>
    </w:p>
    <w:p w14:paraId="7AA61481" w14:textId="79E2F326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 w:hint="eastAsia"/>
        </w:rPr>
        <w:t>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qPCR analysis of </w:t>
      </w:r>
      <w:r w:rsidRPr="00031E1E">
        <w:rPr>
          <w:rFonts w:eastAsiaTheme="minorHAnsi"/>
          <w:i/>
          <w:iCs/>
        </w:rPr>
        <w:t>FAP</w:t>
      </w:r>
      <w:r w:rsidRPr="00031E1E">
        <w:rPr>
          <w:rFonts w:eastAsiaTheme="minorHAnsi"/>
        </w:rPr>
        <w:t xml:space="preserve"> expression </w:t>
      </w:r>
      <w:r w:rsidRPr="00031E1E">
        <w:rPr>
          <w:rFonts w:eastAsiaTheme="minorHAnsi" w:hint="eastAsia"/>
        </w:rPr>
        <w:t>in</w:t>
      </w:r>
      <w:r w:rsidRPr="00031E1E">
        <w:rPr>
          <w:rFonts w:eastAsiaTheme="minorHAnsi"/>
        </w:rPr>
        <w:t xml:space="preserve"> IL-1β</w:t>
      </w:r>
      <w:r w:rsidRPr="00031E1E">
        <w:rPr>
          <w:rFonts w:eastAsia="等线"/>
        </w:rPr>
        <w:t>-</w:t>
      </w:r>
      <w:r w:rsidRPr="00031E1E">
        <w:rPr>
          <w:rFonts w:eastAsiaTheme="minorHAnsi"/>
        </w:rPr>
        <w:t xml:space="preserve">stimulated primary </w:t>
      </w:r>
      <w:r w:rsidRPr="00031E1E">
        <w:rPr>
          <w:rFonts w:eastAsiaTheme="minorHAnsi" w:hint="eastAsia"/>
        </w:rPr>
        <w:t>human</w:t>
      </w:r>
      <w:r w:rsidRPr="00031E1E">
        <w:rPr>
          <w:rFonts w:eastAsiaTheme="minorHAnsi"/>
        </w:rPr>
        <w:t xml:space="preserve"> synovial fibroblasts (n = 3 independent experiments).</w:t>
      </w:r>
    </w:p>
    <w:p w14:paraId="18F1C334" w14:textId="182655A8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The statistical significance was assessed using one-way ANOVAs with Tukey’s multiple comparison tests (*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&lt;0.05, ***</w:t>
      </w:r>
      <w:r w:rsidRPr="00031E1E">
        <w:rPr>
          <w:rFonts w:eastAsiaTheme="minorHAnsi"/>
          <w:i/>
        </w:rPr>
        <w:t>P</w:t>
      </w:r>
      <w:r w:rsidR="006D540C" w:rsidRPr="00031E1E">
        <w:rPr>
          <w:rFonts w:eastAsiaTheme="minorHAnsi"/>
        </w:rPr>
        <w:t xml:space="preserve"> &lt; 0.001).</w:t>
      </w:r>
    </w:p>
    <w:p w14:paraId="11B0D464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0DDA54FF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 xml:space="preserve">Supplementary Figure 2. Genetic ablation of </w:t>
      </w:r>
      <w:r w:rsidRPr="00031E1E">
        <w:rPr>
          <w:rFonts w:eastAsiaTheme="minorHAnsi"/>
          <w:b/>
          <w:i/>
        </w:rPr>
        <w:t>Fap</w:t>
      </w:r>
      <w:r w:rsidRPr="00031E1E">
        <w:rPr>
          <w:rFonts w:eastAsiaTheme="minorHAnsi"/>
          <w:b/>
        </w:rPr>
        <w:t xml:space="preserve"> does not affect knee joint morphology at 4 months of age</w:t>
      </w:r>
    </w:p>
    <w:p w14:paraId="0BFB6978" w14:textId="4254D0A6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>) Safranin O/Fast Green staining in the contralateral knee joints without DMM surgery. Representative images of articular cartilage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>, top: femur, bottom: tibia), subchondral bone plate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 and synovium 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in control and Fap KO mice </w:t>
      </w:r>
      <w:r w:rsidRPr="00031E1E">
        <w:rPr>
          <w:rFonts w:eastAsia="等线"/>
        </w:rPr>
        <w:t>are</w:t>
      </w:r>
      <w:r w:rsidRPr="00031E1E">
        <w:rPr>
          <w:rFonts w:eastAsiaTheme="minorHAnsi"/>
        </w:rPr>
        <w:t xml:space="preserve"> shown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6 mice per genotype). Arrows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synovium. Scale bars: 100 μm.</w:t>
      </w:r>
    </w:p>
    <w:p w14:paraId="4709E83A" w14:textId="4AD537C9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 xml:space="preserve">) </w:t>
      </w:r>
      <w:r w:rsidRPr="00031E1E">
        <w:rPr>
          <w:rFonts w:eastAsia="等线"/>
        </w:rPr>
        <w:t>Quantification</w:t>
      </w:r>
      <w:r w:rsidRPr="00031E1E">
        <w:rPr>
          <w:rFonts w:eastAsiaTheme="minorHAnsi"/>
        </w:rPr>
        <w:t xml:space="preserve"> of the OARSI score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), subchondral bone thickness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and synovitis score (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>).</w:t>
      </w:r>
    </w:p>
    <w:p w14:paraId="621EC56C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The statistical significance was assessed using two-tailed Student’s unpaired t tests.</w:t>
      </w:r>
    </w:p>
    <w:p w14:paraId="0112B680" w14:textId="02FF9122" w:rsidR="003E181D" w:rsidRPr="00031E1E" w:rsidRDefault="003E181D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45EFFDA7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>Supplementary Figure 3. Micro-CT analysis of osteophytes after Fap inhibition</w:t>
      </w:r>
    </w:p>
    <w:p w14:paraId="22E2CF81" w14:textId="1040BDB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and 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 Micro-CT analysis of control and Fap KO mice treated with FAPi or vehicle after DMM surgery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>) with quantification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 xml:space="preserve">). Weekly intra-articular administration of FAPi (40 μg/kg body weight) or vehicle (PBS) was started 3 days after </w:t>
      </w:r>
      <w:r w:rsidRPr="00031E1E">
        <w:rPr>
          <w:rFonts w:eastAsiaTheme="minorHAnsi" w:hint="eastAsia"/>
        </w:rPr>
        <w:t>DMM</w:t>
      </w:r>
      <w:r w:rsidRPr="00031E1E">
        <w:rPr>
          <w:rFonts w:eastAsiaTheme="minorHAnsi"/>
        </w:rPr>
        <w:t xml:space="preserve"> surgery </w:t>
      </w:r>
      <w:r w:rsidRPr="00031E1E">
        <w:rPr>
          <w:rFonts w:eastAsiaTheme="minorHAnsi" w:hint="eastAsia"/>
        </w:rPr>
        <w:t>in</w:t>
      </w:r>
      <w:r w:rsidRPr="00031E1E">
        <w:rPr>
          <w:rFonts w:eastAsiaTheme="minorHAnsi"/>
        </w:rPr>
        <w:t xml:space="preserve"> 10-week-old mice and continued for 8 weeks before</w:t>
      </w:r>
      <w:r w:rsidRPr="00031E1E">
        <w:t xml:space="preserve"> </w:t>
      </w:r>
      <w:r w:rsidRPr="00031E1E">
        <w:rPr>
          <w:rFonts w:eastAsiaTheme="minorHAnsi"/>
        </w:rPr>
        <w:t>micro-CT analysis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8-10 mice per genotype in </w:t>
      </w:r>
      <w:r w:rsidRPr="00031E1E">
        <w:rPr>
          <w:rFonts w:eastAsiaTheme="minorHAnsi"/>
        </w:rPr>
        <w:lastRenderedPageBreak/>
        <w:t xml:space="preserve">each treatment group). Yellow dotted lines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osteophytes. Scale bars: 1 mm.</w:t>
      </w:r>
    </w:p>
    <w:p w14:paraId="723F5303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The statistical significance was assessed using two-way ANOVAs with Sidak’s multiple comparison tests (*P &lt;0.05, **P &lt; 0.01, ***P &lt; 0.001).</w:t>
      </w:r>
    </w:p>
    <w:p w14:paraId="501D14C8" w14:textId="1A8CDECF" w:rsidR="003E181D" w:rsidRPr="00031E1E" w:rsidRDefault="003E181D" w:rsidP="006D540C">
      <w:pPr>
        <w:widowControl/>
        <w:jc w:val="left"/>
        <w:rPr>
          <w:rFonts w:eastAsiaTheme="minorHAnsi"/>
        </w:rPr>
      </w:pPr>
    </w:p>
    <w:p w14:paraId="06B31C1F" w14:textId="1EBAD4A6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  <w:b/>
        </w:rPr>
        <w:t>Supplementary Figure 4. Genetic ablation of Fap does not affect chondrocyte functions ex vivo</w:t>
      </w:r>
    </w:p>
    <w:p w14:paraId="204A851D" w14:textId="007C9C81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qPCR analysis of mouse </w:t>
      </w:r>
      <w:r w:rsidRPr="00031E1E">
        <w:rPr>
          <w:rFonts w:eastAsiaTheme="minorHAnsi"/>
          <w:i/>
        </w:rPr>
        <w:t>Acan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), </w:t>
      </w:r>
      <w:r w:rsidRPr="00031E1E">
        <w:rPr>
          <w:rFonts w:eastAsiaTheme="minorHAnsi"/>
          <w:i/>
        </w:rPr>
        <w:t>Col2a1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 xml:space="preserve">) and </w:t>
      </w:r>
      <w:r w:rsidRPr="00031E1E">
        <w:rPr>
          <w:rFonts w:eastAsiaTheme="minorHAnsi"/>
          <w:i/>
        </w:rPr>
        <w:t>Mmp3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mRNA </w:t>
      </w:r>
      <w:r w:rsidRPr="00031E1E">
        <w:rPr>
          <w:rFonts w:eastAsia="等线"/>
        </w:rPr>
        <w:t>levels</w:t>
      </w:r>
      <w:r w:rsidRPr="00031E1E">
        <w:rPr>
          <w:rFonts w:eastAsiaTheme="minorHAnsi"/>
        </w:rPr>
        <w:t xml:space="preserve"> in primary chondrocytes of control and Fap KO mice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3 independent experiments). Chondrocytes were stimulated with or without 10 ng/ml IL-1β for 24 h.</w:t>
      </w:r>
    </w:p>
    <w:p w14:paraId="65E177AF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and 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Western blot analysis of Acan, Col2a1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 and MMP3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protein levels in primary chondrocytes of control and Fap KO mice. Chondrocytes were stimulated with or without 10 ng/ml IL-1β for 24 h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3 independent experiments).</w:t>
      </w:r>
    </w:p>
    <w:p w14:paraId="039A0C4F" w14:textId="01E511C0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The statistical significance was assessed using two-way ANOVAs with Sidak’s multiple comparison tests (*</w:t>
      </w:r>
      <w:r w:rsidRPr="00031E1E">
        <w:rPr>
          <w:rFonts w:eastAsiaTheme="minorHAnsi" w:hint="eastAsia"/>
          <w:i/>
        </w:rPr>
        <w:t>P</w:t>
      </w:r>
      <w:r w:rsidRPr="00031E1E">
        <w:rPr>
          <w:rFonts w:eastAsiaTheme="minorHAnsi"/>
        </w:rPr>
        <w:t xml:space="preserve"> &lt;0.05, **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 0.01, ***</w:t>
      </w:r>
      <w:r w:rsidRPr="00031E1E">
        <w:rPr>
          <w:rFonts w:eastAsiaTheme="minorHAnsi"/>
          <w:i/>
        </w:rPr>
        <w:t>P</w:t>
      </w:r>
      <w:r w:rsidR="006D540C" w:rsidRPr="00031E1E">
        <w:rPr>
          <w:rFonts w:eastAsiaTheme="minorHAnsi"/>
        </w:rPr>
        <w:t xml:space="preserve"> &lt; 0.001).</w:t>
      </w:r>
    </w:p>
    <w:p w14:paraId="4BE6B031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47D6ECD8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 xml:space="preserve">Supplementary Figure 5. FAPi does not affect chondrocyte functions </w:t>
      </w:r>
      <w:r w:rsidRPr="00031E1E">
        <w:rPr>
          <w:rFonts w:eastAsiaTheme="minorHAnsi"/>
          <w:b/>
          <w:i/>
        </w:rPr>
        <w:t>ex vivo</w:t>
      </w:r>
    </w:p>
    <w:p w14:paraId="1B48F283" w14:textId="478CBD2E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qPCR analysis of mouse </w:t>
      </w:r>
      <w:r w:rsidRPr="00031E1E">
        <w:rPr>
          <w:rFonts w:eastAsiaTheme="minorHAnsi"/>
          <w:i/>
        </w:rPr>
        <w:t>Acan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), </w:t>
      </w:r>
      <w:r w:rsidRPr="00031E1E">
        <w:rPr>
          <w:rFonts w:eastAsiaTheme="minorHAnsi"/>
          <w:i/>
        </w:rPr>
        <w:t>Col2a1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 xml:space="preserve">) and </w:t>
      </w:r>
      <w:r w:rsidRPr="00031E1E">
        <w:rPr>
          <w:rFonts w:eastAsiaTheme="minorHAnsi"/>
          <w:i/>
        </w:rPr>
        <w:t>Mmp3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mRNA </w:t>
      </w:r>
      <w:r w:rsidRPr="00031E1E">
        <w:rPr>
          <w:rFonts w:eastAsia="等线"/>
        </w:rPr>
        <w:t>levels</w:t>
      </w:r>
      <w:r w:rsidRPr="00031E1E">
        <w:rPr>
          <w:rFonts w:eastAsiaTheme="minorHAnsi"/>
        </w:rPr>
        <w:t xml:space="preserve"> in primary chondrocytes of wild-type mice. Chondrocytes were stimulated with 10 μg/ml FAPi for 0-48 h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3 independent experiments).</w:t>
      </w:r>
    </w:p>
    <w:p w14:paraId="588C4F79" w14:textId="78D03ABE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 xml:space="preserve">) qPCR analysis of mouse </w:t>
      </w:r>
      <w:r w:rsidRPr="00031E1E">
        <w:rPr>
          <w:rFonts w:eastAsiaTheme="minorHAnsi"/>
          <w:i/>
        </w:rPr>
        <w:t>Acan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), </w:t>
      </w:r>
      <w:r w:rsidRPr="00031E1E">
        <w:rPr>
          <w:rFonts w:eastAsiaTheme="minorHAnsi"/>
          <w:i/>
        </w:rPr>
        <w:t>Col2a1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 xml:space="preserve">) and </w:t>
      </w:r>
      <w:r w:rsidRPr="00031E1E">
        <w:rPr>
          <w:rFonts w:eastAsiaTheme="minorHAnsi"/>
          <w:i/>
        </w:rPr>
        <w:t>Mmp3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 xml:space="preserve">) mRNA </w:t>
      </w:r>
      <w:r w:rsidRPr="00031E1E">
        <w:rPr>
          <w:rFonts w:eastAsia="等线"/>
        </w:rPr>
        <w:t>levels</w:t>
      </w:r>
      <w:r w:rsidRPr="00031E1E">
        <w:rPr>
          <w:rFonts w:eastAsiaTheme="minorHAnsi"/>
        </w:rPr>
        <w:t xml:space="preserve"> in primary chondrocytes of wild-type mice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3 mice per group). Chondrocytes were stimulated with or without 10 ng/ml IL-1β plus 0-100 μg/ml FAPi for 24 h.</w:t>
      </w:r>
    </w:p>
    <w:p w14:paraId="1F6D3447" w14:textId="7F75ADAB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The statistical significance was assessed using one-way ANOVAs with Tukey’s multiple comparison tests (*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&lt;0.05, **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 0.01, ***</w:t>
      </w:r>
      <w:r w:rsidRPr="00031E1E">
        <w:rPr>
          <w:rFonts w:eastAsiaTheme="minorHAnsi"/>
          <w:i/>
        </w:rPr>
        <w:t>P</w:t>
      </w:r>
      <w:r w:rsidR="006D540C" w:rsidRPr="00031E1E">
        <w:rPr>
          <w:rFonts w:eastAsiaTheme="minorHAnsi"/>
        </w:rPr>
        <w:t xml:space="preserve"> &lt; 0.001).</w:t>
      </w:r>
    </w:p>
    <w:p w14:paraId="60946504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3B7B5B57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 xml:space="preserve">Supplementary Figure 6. rFap cannot degrade native Col II or Acan </w:t>
      </w:r>
      <w:r w:rsidRPr="00031E1E">
        <w:rPr>
          <w:rFonts w:eastAsiaTheme="minorHAnsi"/>
          <w:b/>
          <w:i/>
        </w:rPr>
        <w:t>in vitro</w:t>
      </w:r>
    </w:p>
    <w:p w14:paraId="066BE064" w14:textId="676A7D70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>) Fap cannot degrade native Col II. Native Col II were incubated with different amounts of rFap at 37 °C for 24 h. Samples were separated by SDS‒PAGE and quantified by colloidal blue staining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2 independent experiments).</w:t>
      </w:r>
    </w:p>
    <w:p w14:paraId="738C1040" w14:textId="7B5B199C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 xml:space="preserve">) ELISA measurement of human FAP </w:t>
      </w:r>
      <w:r w:rsidRPr="00031E1E">
        <w:rPr>
          <w:rFonts w:eastAsia="等线"/>
        </w:rPr>
        <w:t>levels</w:t>
      </w:r>
      <w:r w:rsidRPr="00031E1E">
        <w:rPr>
          <w:rFonts w:eastAsiaTheme="minorHAnsi"/>
        </w:rPr>
        <w:t xml:space="preserve"> in synovial fluids of OA patients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8 </w:t>
      </w:r>
      <w:r w:rsidRPr="00031E1E">
        <w:rPr>
          <w:rFonts w:eastAsiaTheme="minorHAnsi"/>
        </w:rPr>
        <w:lastRenderedPageBreak/>
        <w:t>patients).</w:t>
      </w:r>
    </w:p>
    <w:p w14:paraId="5F5862BB" w14:textId="70F27366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qPCR analysis of mouse </w:t>
      </w:r>
      <w:r w:rsidRPr="00031E1E">
        <w:rPr>
          <w:rFonts w:eastAsiaTheme="minorHAnsi"/>
          <w:i/>
        </w:rPr>
        <w:t>Col2a1</w:t>
      </w:r>
      <w:r w:rsidRPr="00031E1E">
        <w:rPr>
          <w:rFonts w:eastAsiaTheme="minorHAnsi"/>
        </w:rPr>
        <w:t xml:space="preserve"> mRNA </w:t>
      </w:r>
      <w:r w:rsidRPr="00031E1E">
        <w:rPr>
          <w:rFonts w:eastAsia="等线"/>
        </w:rPr>
        <w:t>levels</w:t>
      </w:r>
      <w:r w:rsidRPr="00031E1E">
        <w:rPr>
          <w:rFonts w:eastAsiaTheme="minorHAnsi"/>
        </w:rPr>
        <w:t xml:space="preserve"> in primary chondrocytes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3 independent experiments). Chondrocytes were stimulated with vehicle control (PBS), 200 ng/ml rFap, 200 ng/ml rMMP13, or 200 ng/ml rFap plus 200 ng/ml rMMP13 for 24 h.</w:t>
      </w:r>
    </w:p>
    <w:p w14:paraId="46D65BD7" w14:textId="204208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and 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Fap cannot degrade native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 or denatured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Acan. Native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 or denatured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Acan (G1-IGD-G2) were incubated with different amounts of rFap at 37 °C for 24 h. Samples were separated by SDS‒PAGE and quantified by colloidal blue staining (</w:t>
      </w:r>
      <w:r w:rsidRPr="00031E1E">
        <w:rPr>
          <w:rFonts w:eastAsiaTheme="minorHAnsi"/>
          <w:i/>
        </w:rPr>
        <w:t>n</w:t>
      </w:r>
      <w:r w:rsidR="006D540C" w:rsidRPr="00031E1E">
        <w:rPr>
          <w:rFonts w:eastAsiaTheme="minorHAnsi"/>
        </w:rPr>
        <w:t xml:space="preserve"> = 2 independent experiments).</w:t>
      </w:r>
    </w:p>
    <w:p w14:paraId="696A8AAB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288E2418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>Supplementary Figure 7. Micro-CT analysis of osteophytes after rFap injection</w:t>
      </w:r>
    </w:p>
    <w:p w14:paraId="700B7027" w14:textId="29D6F1B2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and 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 Micro-CT analysis of wild-type mice treated with rFap or vehicle after DMM surgery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>) with quantification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). Weekly intra-articular administration of rFap (40 μg/kg body weight) or vehicle (PBS) was performed 4 weeks after DMM surgery in 10-week-old mice and continued for 8 weeks before</w:t>
      </w:r>
      <w:r w:rsidRPr="00031E1E">
        <w:t xml:space="preserve"> </w:t>
      </w:r>
      <w:r w:rsidRPr="00031E1E">
        <w:rPr>
          <w:rFonts w:eastAsiaTheme="minorHAnsi"/>
        </w:rPr>
        <w:t>micro-CT analysis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7-8 mice per genotype in each treatment group). Yellow dotted lines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osteophytes. Scale bars: 1 mm.</w:t>
      </w:r>
    </w:p>
    <w:p w14:paraId="01DA744B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The statistical significance was assessed using one-way ANOVAs with Tukey’s multiple comparison tests (*P &lt;0.05, **P &lt; 0.01, ***P &lt; 0.001).</w:t>
      </w:r>
    </w:p>
    <w:p w14:paraId="4944C7A4" w14:textId="6DC7FCDE" w:rsidR="003E181D" w:rsidRPr="00031E1E" w:rsidRDefault="003E181D" w:rsidP="006D540C">
      <w:pPr>
        <w:widowControl/>
        <w:jc w:val="left"/>
        <w:rPr>
          <w:rFonts w:eastAsiaTheme="minorHAnsi"/>
        </w:rPr>
      </w:pPr>
    </w:p>
    <w:p w14:paraId="6EABA801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>Supplementary Figure 8. Negative controls for the immunostaining of Oln</w:t>
      </w:r>
    </w:p>
    <w:p w14:paraId="4A592EDD" w14:textId="3602F469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) Immunostaining of isotype control (IgG) in normal and lesioned articular cartilage of OA patients. </w:t>
      </w:r>
      <w:r w:rsidR="005E70E8">
        <w:rPr>
          <w:rFonts w:eastAsiaTheme="minorHAnsi"/>
        </w:rPr>
        <w:t>DAPI staining indicates the nucleus</w:t>
      </w:r>
      <w:r w:rsidRPr="00031E1E">
        <w:rPr>
          <w:rFonts w:eastAsiaTheme="minorHAnsi"/>
        </w:rPr>
        <w:t>. Scale bars: 100 μm.</w:t>
      </w:r>
    </w:p>
    <w:p w14:paraId="5A67C1E7" w14:textId="2A672335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 xml:space="preserve">) Immunostaining of human OLN in the synovium of control and OA patients. </w:t>
      </w:r>
      <w:r w:rsidR="005E70E8">
        <w:rPr>
          <w:rFonts w:eastAsiaTheme="minorHAnsi"/>
        </w:rPr>
        <w:t>DAPI staining indicates the nucleus</w:t>
      </w:r>
      <w:r w:rsidRPr="00031E1E">
        <w:rPr>
          <w:rFonts w:eastAsiaTheme="minorHAnsi"/>
        </w:rPr>
        <w:t>. Scale bars: 100 μm.</w:t>
      </w:r>
    </w:p>
    <w:p w14:paraId="5986B127" w14:textId="51BE7188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Immunostaining of mouse Oln in the knee joints of sham and DMM-treated mice. Sham and DMM surgeries were performed in 8-week-old mice, which were sacrificed 8 weeks later. Immunostaining of mouse Oln was performed at the posterior angle of the medial meniscus (F: Femur; T: Tibia; M: Meniscus; S: Synovium). </w:t>
      </w:r>
      <w:r w:rsidR="005E70E8">
        <w:rPr>
          <w:rFonts w:eastAsiaTheme="minorHAnsi"/>
        </w:rPr>
        <w:t>DAPI staining indicates the nucleus</w:t>
      </w:r>
      <w:r w:rsidRPr="00031E1E">
        <w:rPr>
          <w:rFonts w:eastAsiaTheme="minorHAnsi"/>
        </w:rPr>
        <w:t>. Scale bars: 100 μm.</w:t>
      </w:r>
    </w:p>
    <w:p w14:paraId="1F471723" w14:textId="121660FA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) Immunostaining of isotype control (IgG, left) and mouse Oln (right) in the knee joints of sham-operated (left) and Oln KO (right) mice (F: Femur; T: Tibia). </w:t>
      </w:r>
      <w:r w:rsidR="005E70E8">
        <w:rPr>
          <w:rFonts w:eastAsiaTheme="minorHAnsi"/>
        </w:rPr>
        <w:t xml:space="preserve">DAPI staining indicates the </w:t>
      </w:r>
      <w:r w:rsidR="005E70E8">
        <w:rPr>
          <w:rFonts w:eastAsiaTheme="minorHAnsi"/>
        </w:rPr>
        <w:lastRenderedPageBreak/>
        <w:t>nucleus</w:t>
      </w:r>
      <w:r w:rsidRPr="00031E1E">
        <w:rPr>
          <w:rFonts w:eastAsiaTheme="minorHAnsi"/>
        </w:rPr>
        <w:t>. Scale bars: 100 μm.</w:t>
      </w:r>
    </w:p>
    <w:p w14:paraId="054F57C2" w14:textId="7F92FFE1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 xml:space="preserve">) qPCR analysis of mouse </w:t>
      </w:r>
      <w:r w:rsidRPr="00031E1E">
        <w:rPr>
          <w:rFonts w:eastAsiaTheme="minorHAnsi"/>
          <w:i/>
          <w:iCs/>
        </w:rPr>
        <w:t>Oln</w:t>
      </w:r>
      <w:r w:rsidRPr="00031E1E">
        <w:rPr>
          <w:rFonts w:eastAsiaTheme="minorHAnsi"/>
        </w:rPr>
        <w:t xml:space="preserve"> mRNA </w:t>
      </w:r>
      <w:r w:rsidRPr="00031E1E">
        <w:rPr>
          <w:rFonts w:eastAsia="等线"/>
        </w:rPr>
        <w:t>levels</w:t>
      </w:r>
      <w:r w:rsidRPr="00031E1E">
        <w:rPr>
          <w:rFonts w:eastAsiaTheme="minorHAnsi"/>
        </w:rPr>
        <w:t xml:space="preserve"> in primary chondrocytes. Chondrocytes were stimulated with 10 ng/ml IL-1β for different durations (n = 3 independent experiments).</w:t>
      </w:r>
    </w:p>
    <w:p w14:paraId="566CA7EE" w14:textId="590F433D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The statistical significance was assessed using one-way ANOVAs with Tukey’s multiple comparison tests (**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 0.01, ***</w:t>
      </w:r>
      <w:r w:rsidRPr="00031E1E">
        <w:rPr>
          <w:rFonts w:eastAsiaTheme="minorHAnsi"/>
          <w:i/>
        </w:rPr>
        <w:t>P</w:t>
      </w:r>
      <w:r w:rsidR="006D540C" w:rsidRPr="00031E1E">
        <w:rPr>
          <w:rFonts w:eastAsiaTheme="minorHAnsi"/>
        </w:rPr>
        <w:t xml:space="preserve"> &lt; 0.001).</w:t>
      </w:r>
    </w:p>
    <w:p w14:paraId="39936542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21733226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 xml:space="preserve">Supplementary Figure </w:t>
      </w:r>
      <w:r w:rsidRPr="00031E1E">
        <w:rPr>
          <w:rFonts w:eastAsiaTheme="minorHAnsi" w:hint="eastAsia"/>
          <w:b/>
        </w:rPr>
        <w:t>9</w:t>
      </w:r>
      <w:r w:rsidRPr="00031E1E">
        <w:rPr>
          <w:rFonts w:eastAsiaTheme="minorHAnsi"/>
          <w:b/>
        </w:rPr>
        <w:t xml:space="preserve">. Genetic ablation of </w:t>
      </w:r>
      <w:r w:rsidRPr="00031E1E">
        <w:rPr>
          <w:rFonts w:eastAsiaTheme="minorHAnsi"/>
          <w:b/>
          <w:i/>
        </w:rPr>
        <w:t>Oln</w:t>
      </w:r>
      <w:r w:rsidRPr="00031E1E">
        <w:rPr>
          <w:rFonts w:eastAsiaTheme="minorHAnsi"/>
          <w:b/>
        </w:rPr>
        <w:t xml:space="preserve"> does not affect knee joint morphology at 4 months of age</w:t>
      </w:r>
    </w:p>
    <w:p w14:paraId="5B57A9BB" w14:textId="595A3FD1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>) Safranin O/Fast Green staining in the contralateral knee joints without DMM surgery. Representative images of articular cartilage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>, top: femur, bottom: tibia), subchondral bone plate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 and synovium 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in control, Oln KO and double KO mice </w:t>
      </w:r>
      <w:r w:rsidRPr="00031E1E">
        <w:rPr>
          <w:rFonts w:eastAsia="等线"/>
        </w:rPr>
        <w:t>are</w:t>
      </w:r>
      <w:r w:rsidRPr="00031E1E">
        <w:rPr>
          <w:rFonts w:eastAsiaTheme="minorHAnsi"/>
        </w:rPr>
        <w:t xml:space="preserve"> shown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6 mice per genotype). Arrows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synovium. Scale bars: 100 μm.</w:t>
      </w:r>
    </w:p>
    <w:p w14:paraId="4D17412D" w14:textId="764F22C5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 xml:space="preserve">) </w:t>
      </w:r>
      <w:r w:rsidRPr="00031E1E">
        <w:rPr>
          <w:rFonts w:eastAsia="等线"/>
        </w:rPr>
        <w:t>Quantification</w:t>
      </w:r>
      <w:r w:rsidRPr="00031E1E">
        <w:rPr>
          <w:rFonts w:eastAsiaTheme="minorHAnsi"/>
        </w:rPr>
        <w:t xml:space="preserve"> of the OARSI score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), subchondral bone thickness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and synovitis score (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>).</w:t>
      </w:r>
    </w:p>
    <w:p w14:paraId="0B65DF96" w14:textId="54F5C458" w:rsidR="003E181D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 xml:space="preserve">The statistical significance was assessed using one-way ANOVAs with Tukey’s multiple comparison tests. </w:t>
      </w:r>
      <w:r w:rsidR="005E70E8">
        <w:rPr>
          <w:rFonts w:eastAsia="等线"/>
        </w:rPr>
        <w:t xml:space="preserve">Data are presented as </w:t>
      </w:r>
      <w:r w:rsidR="00321561" w:rsidRPr="00031E1E">
        <w:rPr>
          <w:rFonts w:eastAsia="等线"/>
        </w:rPr>
        <w:t>the</w:t>
      </w:r>
      <w:r w:rsidRPr="00031E1E">
        <w:rPr>
          <w:rFonts w:eastAsiaTheme="minorHAnsi"/>
        </w:rPr>
        <w:t xml:space="preserve"> mean ± SD.</w:t>
      </w:r>
    </w:p>
    <w:p w14:paraId="66A766A6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5E3F39BC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 xml:space="preserve">Supplementary Figure </w:t>
      </w:r>
      <w:r w:rsidRPr="00031E1E">
        <w:rPr>
          <w:rFonts w:eastAsiaTheme="minorHAnsi" w:hint="eastAsia"/>
          <w:b/>
        </w:rPr>
        <w:t>10</w:t>
      </w:r>
      <w:r w:rsidRPr="00031E1E">
        <w:rPr>
          <w:rFonts w:eastAsiaTheme="minorHAnsi"/>
          <w:b/>
        </w:rPr>
        <w:t>. Pharmacological inhibition of Fap ameliorates joint symptoms in Oln KO mice</w:t>
      </w:r>
    </w:p>
    <w:p w14:paraId="3A96BCA3" w14:textId="4BC03C9A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Safranin O/Fast Green staining in Oln KO mice </w:t>
      </w:r>
      <w:r w:rsidRPr="00031E1E">
        <w:rPr>
          <w:rFonts w:eastAsia="等线"/>
        </w:rPr>
        <w:t xml:space="preserve">treated </w:t>
      </w:r>
      <w:r w:rsidRPr="00031E1E">
        <w:rPr>
          <w:rFonts w:eastAsiaTheme="minorHAnsi"/>
        </w:rPr>
        <w:t xml:space="preserve">with FAPi or vehicle after DMM surgery. Weekly intra-articular administration of FAPi (40 μg/kg body weight) or vehicle (PBS) was performed 3 days after </w:t>
      </w:r>
      <w:r w:rsidRPr="00031E1E">
        <w:rPr>
          <w:rFonts w:eastAsiaTheme="minorHAnsi" w:hint="eastAsia"/>
        </w:rPr>
        <w:t>DMM</w:t>
      </w:r>
      <w:r w:rsidRPr="00031E1E">
        <w:rPr>
          <w:rFonts w:eastAsiaTheme="minorHAnsi"/>
        </w:rPr>
        <w:t xml:space="preserve"> surgery in 10-week-old mice and continued for 8 weeks before paraffin sectioning and </w:t>
      </w:r>
      <w:r w:rsidRPr="00031E1E">
        <w:rPr>
          <w:rFonts w:eastAsia="等线"/>
        </w:rPr>
        <w:t>safranin O/fast green</w:t>
      </w:r>
      <w:r w:rsidRPr="00031E1E">
        <w:rPr>
          <w:rFonts w:eastAsiaTheme="minorHAnsi"/>
        </w:rPr>
        <w:t xml:space="preserve"> staining of the knee joints. Representative cartilage erosion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>, top: femur, bottom: tibia), subchondral bone thickening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 and synovitis 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images </w:t>
      </w:r>
      <w:r w:rsidRPr="00031E1E">
        <w:rPr>
          <w:rFonts w:eastAsia="等线"/>
        </w:rPr>
        <w:t>are</w:t>
      </w:r>
      <w:r w:rsidRPr="00031E1E">
        <w:rPr>
          <w:rFonts w:eastAsiaTheme="minorHAnsi"/>
        </w:rPr>
        <w:t xml:space="preserve"> shown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6-7 mice per group). Yellow dotted lines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subchondral bone plate. Arrows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synovium. Scale bars: 100 μm.</w:t>
      </w:r>
    </w:p>
    <w:p w14:paraId="43CF7CCD" w14:textId="28E1ADA6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 xml:space="preserve">) </w:t>
      </w:r>
      <w:r w:rsidRPr="00031E1E">
        <w:rPr>
          <w:rFonts w:eastAsia="等线"/>
        </w:rPr>
        <w:t>Quantification</w:t>
      </w:r>
      <w:r w:rsidRPr="00031E1E">
        <w:rPr>
          <w:rFonts w:eastAsiaTheme="minorHAnsi"/>
        </w:rPr>
        <w:t xml:space="preserve"> of the OARSI score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), subchondral bone thickness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and synovitis score (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>).</w:t>
      </w:r>
    </w:p>
    <w:p w14:paraId="09F3982C" w14:textId="74CF7AA4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g</w:t>
      </w:r>
      <w:r w:rsidRPr="00031E1E">
        <w:rPr>
          <w:rFonts w:eastAsiaTheme="minorHAnsi"/>
        </w:rPr>
        <w:t xml:space="preserve"> and </w:t>
      </w:r>
      <w:r w:rsidRPr="00031E1E">
        <w:rPr>
          <w:rFonts w:eastAsiaTheme="minorHAnsi"/>
          <w:b/>
        </w:rPr>
        <w:t>h</w:t>
      </w:r>
      <w:r w:rsidRPr="00031E1E">
        <w:rPr>
          <w:rFonts w:eastAsiaTheme="minorHAnsi"/>
        </w:rPr>
        <w:t>) Immunostaining of Col II in the knee joints (</w:t>
      </w:r>
      <w:r w:rsidRPr="00031E1E">
        <w:rPr>
          <w:rFonts w:eastAsiaTheme="minorHAnsi"/>
          <w:b/>
        </w:rPr>
        <w:t>g</w:t>
      </w:r>
      <w:r w:rsidRPr="00031E1E">
        <w:rPr>
          <w:rFonts w:eastAsiaTheme="minorHAnsi"/>
        </w:rPr>
        <w:t>) with quantification (</w:t>
      </w:r>
      <w:r w:rsidRPr="00031E1E">
        <w:rPr>
          <w:rFonts w:eastAsiaTheme="minorHAnsi"/>
          <w:b/>
        </w:rPr>
        <w:t>h</w:t>
      </w:r>
      <w:r w:rsidRPr="00031E1E">
        <w:rPr>
          <w:rFonts w:eastAsiaTheme="minorHAnsi"/>
        </w:rPr>
        <w:t>)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6-7 mice per group). </w:t>
      </w:r>
      <w:r w:rsidR="005E70E8">
        <w:rPr>
          <w:rFonts w:eastAsiaTheme="minorHAnsi"/>
        </w:rPr>
        <w:t>DAPI staining indicates the nucleus</w:t>
      </w:r>
      <w:r w:rsidRPr="00031E1E">
        <w:rPr>
          <w:rFonts w:eastAsiaTheme="minorHAnsi"/>
        </w:rPr>
        <w:t>. Scale bars: 100 μm.</w:t>
      </w:r>
    </w:p>
    <w:p w14:paraId="5D1EFEA7" w14:textId="56A0CE6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lastRenderedPageBreak/>
        <w:t xml:space="preserve">The statistical significance was assessed using two-tailed Student’s unpaired t tests. </w:t>
      </w:r>
      <w:r w:rsidR="005E70E8">
        <w:rPr>
          <w:rFonts w:eastAsiaTheme="minorHAnsi"/>
        </w:rPr>
        <w:t xml:space="preserve">Data are presented as </w:t>
      </w:r>
      <w:r w:rsidRPr="00031E1E">
        <w:rPr>
          <w:rFonts w:eastAsia="等线"/>
        </w:rPr>
        <w:t xml:space="preserve">the </w:t>
      </w:r>
      <w:r w:rsidRPr="00031E1E">
        <w:rPr>
          <w:rFonts w:eastAsiaTheme="minorHAnsi"/>
        </w:rPr>
        <w:t>mean ± SD (*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&lt;0.05, **</w:t>
      </w:r>
      <w:r w:rsidRPr="00031E1E">
        <w:rPr>
          <w:rFonts w:eastAsiaTheme="minorHAnsi"/>
          <w:i/>
        </w:rPr>
        <w:t>P</w:t>
      </w:r>
      <w:r w:rsidR="006D540C" w:rsidRPr="00031E1E">
        <w:rPr>
          <w:rFonts w:eastAsiaTheme="minorHAnsi"/>
        </w:rPr>
        <w:t xml:space="preserve"> &lt; 0.01).</w:t>
      </w:r>
    </w:p>
    <w:p w14:paraId="5FC34648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091C228A" w14:textId="721B23C0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 xml:space="preserve">Supplementary Figure 11. Genetic ablation of </w:t>
      </w:r>
      <w:r w:rsidRPr="00031E1E">
        <w:rPr>
          <w:rFonts w:eastAsiaTheme="minorHAnsi"/>
          <w:b/>
          <w:i/>
        </w:rPr>
        <w:t>Oln</w:t>
      </w:r>
      <w:r w:rsidRPr="00031E1E">
        <w:rPr>
          <w:rFonts w:eastAsiaTheme="minorHAnsi"/>
          <w:b/>
        </w:rPr>
        <w:t xml:space="preserve"> elevates Mmp3 </w:t>
      </w:r>
      <w:r w:rsidRPr="00031E1E">
        <w:rPr>
          <w:rFonts w:eastAsia="等线"/>
          <w:b/>
        </w:rPr>
        <w:t>levels</w:t>
      </w:r>
      <w:r w:rsidRPr="00031E1E">
        <w:rPr>
          <w:rFonts w:eastAsiaTheme="minorHAnsi"/>
          <w:b/>
        </w:rPr>
        <w:t xml:space="preserve"> in chondrocytes upon IL-1β stimulation</w:t>
      </w:r>
    </w:p>
    <w:p w14:paraId="1765C1C1" w14:textId="163770E4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qPCR analysis of mouse </w:t>
      </w:r>
      <w:r w:rsidRPr="00031E1E">
        <w:rPr>
          <w:rFonts w:eastAsiaTheme="minorHAnsi"/>
          <w:i/>
        </w:rPr>
        <w:t>Acan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), </w:t>
      </w:r>
      <w:r w:rsidRPr="00031E1E">
        <w:rPr>
          <w:rFonts w:eastAsiaTheme="minorHAnsi"/>
          <w:i/>
        </w:rPr>
        <w:t>Col2a1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 xml:space="preserve">) and </w:t>
      </w:r>
      <w:r w:rsidRPr="00031E1E">
        <w:rPr>
          <w:rFonts w:eastAsiaTheme="minorHAnsi"/>
          <w:i/>
        </w:rPr>
        <w:t>Mmp3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mRNA </w:t>
      </w:r>
      <w:r w:rsidRPr="00031E1E">
        <w:rPr>
          <w:rFonts w:eastAsia="等线"/>
        </w:rPr>
        <w:t>levels</w:t>
      </w:r>
      <w:r w:rsidRPr="00031E1E">
        <w:rPr>
          <w:rFonts w:eastAsiaTheme="minorHAnsi"/>
        </w:rPr>
        <w:t xml:space="preserve"> in primary chondrocytes of control and Oln KO mice. Chondrocytes were stimulated with 10 ng/ml IL-1β for 24 h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3 independent experiments).</w:t>
      </w:r>
    </w:p>
    <w:p w14:paraId="35C6D6BD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and 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Western blot analysis of Acan, Col2a1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 and MMP3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protein levels in primary chondrocytes of control and Oln KO mice. Chondrocytes were stimulated with or without 10 ng/ml IL-1β for 24 h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3 independent experiments).</w:t>
      </w:r>
    </w:p>
    <w:p w14:paraId="45C17646" w14:textId="67F2A348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 xml:space="preserve">The statistical significance was assessed using two-way ANOVAs with Sidak’s multiple comparison tests. </w:t>
      </w:r>
      <w:r w:rsidR="005E70E8">
        <w:rPr>
          <w:rFonts w:eastAsiaTheme="minorHAnsi"/>
        </w:rPr>
        <w:t xml:space="preserve">Data are presented as </w:t>
      </w:r>
      <w:r w:rsidRPr="00031E1E">
        <w:rPr>
          <w:rFonts w:eastAsia="等线"/>
        </w:rPr>
        <w:t xml:space="preserve">the </w:t>
      </w:r>
      <w:r w:rsidRPr="00031E1E">
        <w:rPr>
          <w:rFonts w:eastAsiaTheme="minorHAnsi"/>
        </w:rPr>
        <w:t>mean ± SD (*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&lt;0.05, **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 0.01, ***</w:t>
      </w:r>
      <w:r w:rsidRPr="00031E1E">
        <w:rPr>
          <w:rFonts w:eastAsiaTheme="minorHAnsi"/>
          <w:i/>
        </w:rPr>
        <w:t>P</w:t>
      </w:r>
      <w:r w:rsidR="006D540C" w:rsidRPr="00031E1E">
        <w:rPr>
          <w:rFonts w:eastAsiaTheme="minorHAnsi"/>
        </w:rPr>
        <w:t xml:space="preserve"> &lt; 0.001).</w:t>
      </w:r>
    </w:p>
    <w:p w14:paraId="44962311" w14:textId="77777777" w:rsidR="006D540C" w:rsidRPr="00031E1E" w:rsidRDefault="006D540C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</w:p>
    <w:p w14:paraId="29E33951" w14:textId="7777777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  <w:b/>
        </w:rPr>
      </w:pPr>
      <w:r w:rsidRPr="00031E1E">
        <w:rPr>
          <w:rFonts w:eastAsiaTheme="minorHAnsi"/>
          <w:b/>
        </w:rPr>
        <w:t>Supplementary Figure 12. rOln prevents OA progression in</w:t>
      </w:r>
      <w:r w:rsidRPr="00031E1E">
        <w:rPr>
          <w:rFonts w:eastAsia="等线"/>
          <w:b/>
        </w:rPr>
        <w:t xml:space="preserve"> the</w:t>
      </w:r>
      <w:r w:rsidRPr="00031E1E">
        <w:rPr>
          <w:rFonts w:eastAsiaTheme="minorHAnsi"/>
          <w:b/>
        </w:rPr>
        <w:t xml:space="preserve"> DMM model</w:t>
      </w:r>
    </w:p>
    <w:p w14:paraId="0D1AA2C2" w14:textId="1B5D58FC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Safranin O/Fast Green staining in wild-type mice </w:t>
      </w:r>
      <w:r w:rsidRPr="00031E1E">
        <w:rPr>
          <w:rFonts w:eastAsia="等线"/>
        </w:rPr>
        <w:t xml:space="preserve">treated </w:t>
      </w:r>
      <w:r w:rsidRPr="00031E1E">
        <w:rPr>
          <w:rFonts w:eastAsiaTheme="minorHAnsi"/>
        </w:rPr>
        <w:t xml:space="preserve">with rOln or vehicle after DMM surgery. Weekly intra-articular administration of rOln (240 μg/kg body weight) or vehicle (0.05 mg/ml hyaluronic acid) was performed 3 days after DMM surgery in 10-week-old mice and continued for 8 weeks before paraffin sectioning and </w:t>
      </w:r>
      <w:r w:rsidRPr="00031E1E">
        <w:rPr>
          <w:rFonts w:eastAsia="等线"/>
        </w:rPr>
        <w:t>safranin O/fast green</w:t>
      </w:r>
      <w:r w:rsidRPr="00031E1E">
        <w:rPr>
          <w:rFonts w:eastAsiaTheme="minorHAnsi"/>
        </w:rPr>
        <w:t xml:space="preserve"> staining of the knee joints. Representative cartilage erosion (</w:t>
      </w:r>
      <w:r w:rsidRPr="00031E1E">
        <w:rPr>
          <w:rFonts w:eastAsiaTheme="minorHAnsi"/>
          <w:b/>
        </w:rPr>
        <w:t>a</w:t>
      </w:r>
      <w:r w:rsidRPr="00031E1E">
        <w:rPr>
          <w:rFonts w:eastAsiaTheme="minorHAnsi"/>
        </w:rPr>
        <w:t>, top: femur, bottom: tibia), subchondral bone thickening (</w:t>
      </w:r>
      <w:r w:rsidRPr="00031E1E">
        <w:rPr>
          <w:rFonts w:eastAsiaTheme="minorHAnsi"/>
          <w:b/>
        </w:rPr>
        <w:t>b</w:t>
      </w:r>
      <w:r w:rsidRPr="00031E1E">
        <w:rPr>
          <w:rFonts w:eastAsiaTheme="minorHAnsi"/>
        </w:rPr>
        <w:t>) and synovitis (</w:t>
      </w:r>
      <w:r w:rsidRPr="00031E1E">
        <w:rPr>
          <w:rFonts w:eastAsiaTheme="minorHAnsi"/>
          <w:b/>
        </w:rPr>
        <w:t>c</w:t>
      </w:r>
      <w:r w:rsidRPr="00031E1E">
        <w:rPr>
          <w:rFonts w:eastAsiaTheme="minorHAnsi"/>
        </w:rPr>
        <w:t xml:space="preserve">) images </w:t>
      </w:r>
      <w:r w:rsidRPr="00031E1E">
        <w:rPr>
          <w:rFonts w:eastAsia="等线"/>
        </w:rPr>
        <w:t>are</w:t>
      </w:r>
      <w:r w:rsidRPr="00031E1E">
        <w:rPr>
          <w:rFonts w:eastAsiaTheme="minorHAnsi"/>
        </w:rPr>
        <w:t xml:space="preserve"> shown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6 mice per treatment). Yellow dotted lines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subchondral bone plate. Arrows </w:t>
      </w:r>
      <w:r w:rsidRPr="00031E1E">
        <w:rPr>
          <w:rFonts w:eastAsia="等线"/>
        </w:rPr>
        <w:t>indicate</w:t>
      </w:r>
      <w:r w:rsidRPr="00031E1E">
        <w:rPr>
          <w:rFonts w:eastAsiaTheme="minorHAnsi"/>
        </w:rPr>
        <w:t xml:space="preserve"> the synovium. Scale bars: 100 μm.</w:t>
      </w:r>
    </w:p>
    <w:p w14:paraId="51E2A725" w14:textId="672B7850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 xml:space="preserve"> to 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 xml:space="preserve">) </w:t>
      </w:r>
      <w:r w:rsidRPr="00031E1E">
        <w:rPr>
          <w:rFonts w:eastAsia="等线"/>
        </w:rPr>
        <w:t>Quantification</w:t>
      </w:r>
      <w:r w:rsidRPr="00031E1E">
        <w:rPr>
          <w:rFonts w:eastAsiaTheme="minorHAnsi"/>
        </w:rPr>
        <w:t xml:space="preserve"> of the OARSI score (</w:t>
      </w:r>
      <w:r w:rsidRPr="00031E1E">
        <w:rPr>
          <w:rFonts w:eastAsiaTheme="minorHAnsi"/>
          <w:b/>
        </w:rPr>
        <w:t>d</w:t>
      </w:r>
      <w:r w:rsidRPr="00031E1E">
        <w:rPr>
          <w:rFonts w:eastAsiaTheme="minorHAnsi"/>
        </w:rPr>
        <w:t>), subchondral bone thickness (</w:t>
      </w:r>
      <w:r w:rsidRPr="00031E1E">
        <w:rPr>
          <w:rFonts w:eastAsiaTheme="minorHAnsi"/>
          <w:b/>
        </w:rPr>
        <w:t>e</w:t>
      </w:r>
      <w:r w:rsidRPr="00031E1E">
        <w:rPr>
          <w:rFonts w:eastAsiaTheme="minorHAnsi"/>
        </w:rPr>
        <w:t>) and synovitis score (</w:t>
      </w:r>
      <w:r w:rsidRPr="00031E1E">
        <w:rPr>
          <w:rFonts w:eastAsiaTheme="minorHAnsi"/>
          <w:b/>
        </w:rPr>
        <w:t>f</w:t>
      </w:r>
      <w:r w:rsidRPr="00031E1E">
        <w:rPr>
          <w:rFonts w:eastAsiaTheme="minorHAnsi"/>
        </w:rPr>
        <w:t>).</w:t>
      </w:r>
    </w:p>
    <w:p w14:paraId="7F3318E5" w14:textId="457B7107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>(</w:t>
      </w:r>
      <w:r w:rsidRPr="00031E1E">
        <w:rPr>
          <w:rFonts w:eastAsiaTheme="minorHAnsi"/>
          <w:b/>
        </w:rPr>
        <w:t>g</w:t>
      </w:r>
      <w:r w:rsidRPr="00031E1E">
        <w:rPr>
          <w:rFonts w:eastAsiaTheme="minorHAnsi"/>
        </w:rPr>
        <w:t xml:space="preserve"> and </w:t>
      </w:r>
      <w:r w:rsidRPr="00031E1E">
        <w:rPr>
          <w:rFonts w:eastAsiaTheme="minorHAnsi"/>
          <w:b/>
        </w:rPr>
        <w:t>h</w:t>
      </w:r>
      <w:r w:rsidRPr="00031E1E">
        <w:rPr>
          <w:rFonts w:eastAsiaTheme="minorHAnsi"/>
        </w:rPr>
        <w:t>) Immunostaining of Col II in the knee joints (</w:t>
      </w:r>
      <w:r w:rsidRPr="00031E1E">
        <w:rPr>
          <w:rFonts w:eastAsiaTheme="minorHAnsi"/>
          <w:b/>
        </w:rPr>
        <w:t>g</w:t>
      </w:r>
      <w:r w:rsidRPr="00031E1E">
        <w:rPr>
          <w:rFonts w:eastAsiaTheme="minorHAnsi"/>
        </w:rPr>
        <w:t xml:space="preserve">) with </w:t>
      </w:r>
      <w:r w:rsidRPr="00031E1E">
        <w:rPr>
          <w:rFonts w:eastAsia="等线"/>
        </w:rPr>
        <w:t>quantification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b/>
        </w:rPr>
        <w:t>h</w:t>
      </w:r>
      <w:r w:rsidRPr="00031E1E">
        <w:rPr>
          <w:rFonts w:eastAsiaTheme="minorHAnsi"/>
        </w:rPr>
        <w:t xml:space="preserve">). </w:t>
      </w:r>
      <w:r w:rsidR="005E70E8">
        <w:rPr>
          <w:rFonts w:eastAsiaTheme="minorHAnsi"/>
        </w:rPr>
        <w:t>DAPI staining indicates the nucleus</w:t>
      </w:r>
      <w:r w:rsidRPr="00031E1E">
        <w:rPr>
          <w:rFonts w:eastAsiaTheme="minorHAnsi"/>
        </w:rPr>
        <w:t xml:space="preserve"> (</w:t>
      </w:r>
      <w:r w:rsidRPr="00031E1E">
        <w:rPr>
          <w:rFonts w:eastAsiaTheme="minorHAnsi"/>
          <w:i/>
        </w:rPr>
        <w:t>n</w:t>
      </w:r>
      <w:r w:rsidRPr="00031E1E">
        <w:rPr>
          <w:rFonts w:eastAsiaTheme="minorHAnsi"/>
        </w:rPr>
        <w:t xml:space="preserve"> = 6 mice per treatment). Scale bars: 100 μm.</w:t>
      </w:r>
    </w:p>
    <w:p w14:paraId="664EFCF4" w14:textId="2BABEFDD" w:rsidR="003E181D" w:rsidRPr="00031E1E" w:rsidRDefault="00321561" w:rsidP="003E181D">
      <w:pPr>
        <w:pStyle w:val="ListParagraph"/>
        <w:spacing w:line="360" w:lineRule="auto"/>
        <w:ind w:firstLineChars="0" w:firstLine="0"/>
        <w:jc w:val="left"/>
        <w:rPr>
          <w:rFonts w:eastAsiaTheme="minorHAnsi"/>
        </w:rPr>
      </w:pPr>
      <w:r w:rsidRPr="00031E1E">
        <w:rPr>
          <w:rFonts w:eastAsiaTheme="minorHAnsi"/>
        </w:rPr>
        <w:t xml:space="preserve">The statistical significance was assessed using one-way ANOVAs with Tukey’s multiple comparison tests. </w:t>
      </w:r>
      <w:r w:rsidR="005E70E8">
        <w:rPr>
          <w:rFonts w:eastAsia="等线"/>
        </w:rPr>
        <w:t xml:space="preserve">Data are presented as </w:t>
      </w:r>
      <w:r w:rsidRPr="00031E1E">
        <w:rPr>
          <w:rFonts w:eastAsia="等线"/>
        </w:rPr>
        <w:t>the</w:t>
      </w:r>
      <w:r w:rsidRPr="00031E1E">
        <w:rPr>
          <w:rFonts w:eastAsiaTheme="minorHAnsi"/>
        </w:rPr>
        <w:t xml:space="preserve"> mean ± SD (*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&lt;0.05, **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 0.01, ***</w:t>
      </w:r>
      <w:r w:rsidRPr="00031E1E">
        <w:rPr>
          <w:rFonts w:eastAsiaTheme="minorHAnsi"/>
          <w:i/>
        </w:rPr>
        <w:t>P</w:t>
      </w:r>
      <w:r w:rsidRPr="00031E1E">
        <w:rPr>
          <w:rFonts w:eastAsiaTheme="minorHAnsi"/>
        </w:rPr>
        <w:t xml:space="preserve"> &lt; 0.001).</w:t>
      </w:r>
      <w:r w:rsidRPr="00031E1E">
        <w:rPr>
          <w:rFonts w:eastAsiaTheme="minorHAnsi"/>
        </w:rPr>
        <w:br w:type="page"/>
      </w:r>
    </w:p>
    <w:p w14:paraId="7F4B0EE7" w14:textId="77777777" w:rsidR="003E181D" w:rsidRPr="00031E1E" w:rsidRDefault="00321561" w:rsidP="003E181D">
      <w:pPr>
        <w:widowControl/>
        <w:spacing w:before="240" w:after="60"/>
        <w:jc w:val="left"/>
        <w:outlineLvl w:val="0"/>
        <w:rPr>
          <w:bCs/>
          <w:kern w:val="32"/>
          <w:lang w:eastAsia="en-US"/>
        </w:rPr>
      </w:pPr>
      <w:r w:rsidRPr="00031E1E">
        <w:rPr>
          <w:b/>
          <w:bCs/>
          <w:kern w:val="32"/>
          <w:lang w:eastAsia="en-US"/>
        </w:rPr>
        <w:lastRenderedPageBreak/>
        <w:t>Supplementary Table 1. Detailed patient information.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"/>
        <w:gridCol w:w="668"/>
        <w:gridCol w:w="632"/>
        <w:gridCol w:w="589"/>
        <w:gridCol w:w="643"/>
        <w:gridCol w:w="681"/>
        <w:gridCol w:w="715"/>
        <w:gridCol w:w="369"/>
        <w:gridCol w:w="388"/>
        <w:gridCol w:w="363"/>
        <w:gridCol w:w="369"/>
        <w:gridCol w:w="1707"/>
        <w:gridCol w:w="510"/>
        <w:gridCol w:w="394"/>
        <w:gridCol w:w="528"/>
        <w:gridCol w:w="314"/>
      </w:tblGrid>
      <w:tr w:rsidR="004604DE" w:rsidRPr="00031E1E" w14:paraId="45267D86" w14:textId="77777777" w:rsidTr="00B42D24">
        <w:trPr>
          <w:trHeight w:val="280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D87B43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No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5A18BAC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Group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01C3462F" w14:textId="7E1DAE59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Age/</w:t>
            </w:r>
            <w:r w:rsidR="005E70E8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Sex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3B68284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KL grade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25DE164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Height (m)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540923D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Weight (kg)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  <w:hideMark/>
          </w:tcPr>
          <w:p w14:paraId="7DAFDF1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BMI (kg/m2)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5F0E7136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Other disease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</w:tcBorders>
            <w:vAlign w:val="center"/>
          </w:tcPr>
          <w:p w14:paraId="481A083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Samples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</w:tcBorders>
            <w:vAlign w:val="center"/>
          </w:tcPr>
          <w:p w14:paraId="29B94F5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Use</w:t>
            </w:r>
          </w:p>
        </w:tc>
      </w:tr>
      <w:tr w:rsidR="004604DE" w:rsidRPr="00031E1E" w14:paraId="19E05444" w14:textId="77777777" w:rsidTr="00B42D24">
        <w:trPr>
          <w:trHeight w:val="28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70AA563E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51BB7D30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20BE6D3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471659F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4D5461E6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393C85ED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61EAB8FA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C72D8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RA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82A84A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DM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230217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HT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B806C1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CA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18BF2EA8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96DB26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qPCR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0611AC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WB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84D926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ELISA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F7075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1"/>
                <w:szCs w:val="11"/>
                <w:lang w:eastAsia="en-US"/>
              </w:rPr>
              <w:t>IF</w:t>
            </w:r>
          </w:p>
        </w:tc>
      </w:tr>
      <w:tr w:rsidR="004604DE" w:rsidRPr="00031E1E" w14:paraId="5B169EE4" w14:textId="77777777" w:rsidTr="00B42D24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E0D842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7792AE2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OA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12F983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78/M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9EF104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3506AA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1.72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F177F7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3822EC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27.04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44488E3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E8571C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069F0C6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B46B8D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32DF2F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Cartilage, synovium &amp; synovial fluid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4CDAB1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12888C2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B1375A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959F8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2C911605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0DDA734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0" w:type="auto"/>
            <w:vMerge/>
          </w:tcPr>
          <w:p w14:paraId="108584E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D491D8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70/F</w:t>
            </w:r>
          </w:p>
        </w:tc>
        <w:tc>
          <w:tcPr>
            <w:tcW w:w="0" w:type="auto"/>
            <w:noWrap/>
            <w:vAlign w:val="center"/>
            <w:hideMark/>
          </w:tcPr>
          <w:p w14:paraId="28FFF04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DB0F0C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1.57</w:t>
            </w:r>
          </w:p>
        </w:tc>
        <w:tc>
          <w:tcPr>
            <w:tcW w:w="0" w:type="auto"/>
            <w:noWrap/>
            <w:vAlign w:val="center"/>
            <w:hideMark/>
          </w:tcPr>
          <w:p w14:paraId="0813376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65</w:t>
            </w:r>
          </w:p>
        </w:tc>
        <w:tc>
          <w:tcPr>
            <w:tcW w:w="0" w:type="auto"/>
            <w:noWrap/>
            <w:vAlign w:val="center"/>
            <w:hideMark/>
          </w:tcPr>
          <w:p w14:paraId="64421EB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26.37</w:t>
            </w:r>
          </w:p>
        </w:tc>
        <w:tc>
          <w:tcPr>
            <w:tcW w:w="0" w:type="auto"/>
            <w:noWrap/>
            <w:vAlign w:val="center"/>
            <w:hideMark/>
          </w:tcPr>
          <w:p w14:paraId="57A2708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DC407D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46EB02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14:paraId="1568C69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</w:tcPr>
          <w:p w14:paraId="6F96B949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044F151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68E8D8A9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47CCCC4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16C55D1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</w:tr>
      <w:tr w:rsidR="004604DE" w:rsidRPr="00031E1E" w14:paraId="149FD94E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55068F6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vMerge/>
          </w:tcPr>
          <w:p w14:paraId="77B8A7ED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0F27D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61/F</w:t>
            </w:r>
          </w:p>
        </w:tc>
        <w:tc>
          <w:tcPr>
            <w:tcW w:w="0" w:type="auto"/>
            <w:noWrap/>
            <w:vAlign w:val="center"/>
            <w:hideMark/>
          </w:tcPr>
          <w:p w14:paraId="1A76FBA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1A10C2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1.68</w:t>
            </w:r>
          </w:p>
        </w:tc>
        <w:tc>
          <w:tcPr>
            <w:tcW w:w="0" w:type="auto"/>
            <w:noWrap/>
            <w:vAlign w:val="center"/>
            <w:hideMark/>
          </w:tcPr>
          <w:p w14:paraId="7A5B7CB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14:paraId="22CC8F2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21.26</w:t>
            </w:r>
          </w:p>
        </w:tc>
        <w:tc>
          <w:tcPr>
            <w:tcW w:w="0" w:type="auto"/>
            <w:noWrap/>
            <w:vAlign w:val="center"/>
            <w:hideMark/>
          </w:tcPr>
          <w:p w14:paraId="1C9CFC8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90785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65B5B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AF9F17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</w:tcPr>
          <w:p w14:paraId="11B17252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5F7B72A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1DEA59B8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4280B4A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5E9EFEB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</w:tr>
      <w:tr w:rsidR="004604DE" w:rsidRPr="00031E1E" w14:paraId="3AE13BF2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536038B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vMerge/>
          </w:tcPr>
          <w:p w14:paraId="2D6D755D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B3C4E4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64/F</w:t>
            </w:r>
          </w:p>
        </w:tc>
        <w:tc>
          <w:tcPr>
            <w:tcW w:w="0" w:type="auto"/>
            <w:noWrap/>
            <w:vAlign w:val="center"/>
            <w:hideMark/>
          </w:tcPr>
          <w:p w14:paraId="33948776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641D892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1.58</w:t>
            </w:r>
          </w:p>
        </w:tc>
        <w:tc>
          <w:tcPr>
            <w:tcW w:w="0" w:type="auto"/>
            <w:noWrap/>
            <w:vAlign w:val="center"/>
            <w:hideMark/>
          </w:tcPr>
          <w:p w14:paraId="5C230AA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59</w:t>
            </w:r>
          </w:p>
        </w:tc>
        <w:tc>
          <w:tcPr>
            <w:tcW w:w="0" w:type="auto"/>
            <w:noWrap/>
            <w:vAlign w:val="center"/>
            <w:hideMark/>
          </w:tcPr>
          <w:p w14:paraId="475CD46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23.63</w:t>
            </w:r>
          </w:p>
        </w:tc>
        <w:tc>
          <w:tcPr>
            <w:tcW w:w="0" w:type="auto"/>
            <w:noWrap/>
            <w:vAlign w:val="center"/>
            <w:hideMark/>
          </w:tcPr>
          <w:p w14:paraId="4F4D598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71197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EE9C5C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954AF2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</w:tcPr>
          <w:p w14:paraId="30CFE819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3307CFC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4DBA4D05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7F29A93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7C4D41C6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61F2AF32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6DC585D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</w:t>
            </w:r>
          </w:p>
        </w:tc>
        <w:tc>
          <w:tcPr>
            <w:tcW w:w="0" w:type="auto"/>
            <w:vMerge/>
          </w:tcPr>
          <w:p w14:paraId="4DAD25AF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68B7F9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49/F</w:t>
            </w:r>
          </w:p>
        </w:tc>
        <w:tc>
          <w:tcPr>
            <w:tcW w:w="0" w:type="auto"/>
            <w:noWrap/>
            <w:vAlign w:val="center"/>
            <w:hideMark/>
          </w:tcPr>
          <w:p w14:paraId="30ABB07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59D4D1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1.55</w:t>
            </w:r>
          </w:p>
        </w:tc>
        <w:tc>
          <w:tcPr>
            <w:tcW w:w="0" w:type="auto"/>
            <w:noWrap/>
            <w:vAlign w:val="center"/>
            <w:hideMark/>
          </w:tcPr>
          <w:p w14:paraId="3EA394B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69</w:t>
            </w:r>
          </w:p>
        </w:tc>
        <w:tc>
          <w:tcPr>
            <w:tcW w:w="0" w:type="auto"/>
            <w:noWrap/>
            <w:vAlign w:val="center"/>
            <w:hideMark/>
          </w:tcPr>
          <w:p w14:paraId="248C37A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28.72</w:t>
            </w:r>
          </w:p>
        </w:tc>
        <w:tc>
          <w:tcPr>
            <w:tcW w:w="0" w:type="auto"/>
            <w:noWrap/>
            <w:vAlign w:val="center"/>
            <w:hideMark/>
          </w:tcPr>
          <w:p w14:paraId="323EA92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8EB0CB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14:paraId="5C53850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14:paraId="0B23080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</w:tcPr>
          <w:p w14:paraId="59F7CE02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12A6F7E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2A81E05E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5389428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53C905D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0C547162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36380F0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</w:t>
            </w:r>
          </w:p>
        </w:tc>
        <w:tc>
          <w:tcPr>
            <w:tcW w:w="0" w:type="auto"/>
            <w:vMerge/>
          </w:tcPr>
          <w:p w14:paraId="1FA5F8D5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D47C31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73/F</w:t>
            </w:r>
          </w:p>
        </w:tc>
        <w:tc>
          <w:tcPr>
            <w:tcW w:w="0" w:type="auto"/>
            <w:noWrap/>
            <w:vAlign w:val="center"/>
            <w:hideMark/>
          </w:tcPr>
          <w:p w14:paraId="05134C2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05D3A0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1.55</w:t>
            </w:r>
          </w:p>
        </w:tc>
        <w:tc>
          <w:tcPr>
            <w:tcW w:w="0" w:type="auto"/>
            <w:noWrap/>
            <w:vAlign w:val="center"/>
            <w:hideMark/>
          </w:tcPr>
          <w:p w14:paraId="2386F6E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64.5</w:t>
            </w:r>
          </w:p>
        </w:tc>
        <w:tc>
          <w:tcPr>
            <w:tcW w:w="0" w:type="auto"/>
            <w:noWrap/>
            <w:vAlign w:val="center"/>
            <w:hideMark/>
          </w:tcPr>
          <w:p w14:paraId="0BBBD5A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26.85</w:t>
            </w:r>
          </w:p>
        </w:tc>
        <w:tc>
          <w:tcPr>
            <w:tcW w:w="0" w:type="auto"/>
            <w:noWrap/>
            <w:vAlign w:val="center"/>
            <w:hideMark/>
          </w:tcPr>
          <w:p w14:paraId="3FFFAB8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632CC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14:paraId="4DBADCD6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14:paraId="14B6DD3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</w:tcPr>
          <w:p w14:paraId="4650D71A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2658D7A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395658B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40965B0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632E8FED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6A240636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1E8E80D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</w:t>
            </w:r>
          </w:p>
        </w:tc>
        <w:tc>
          <w:tcPr>
            <w:tcW w:w="0" w:type="auto"/>
            <w:vMerge/>
          </w:tcPr>
          <w:p w14:paraId="5BF263F8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CF1F81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70/M</w:t>
            </w:r>
          </w:p>
        </w:tc>
        <w:tc>
          <w:tcPr>
            <w:tcW w:w="0" w:type="auto"/>
            <w:noWrap/>
            <w:vAlign w:val="center"/>
            <w:hideMark/>
          </w:tcPr>
          <w:p w14:paraId="69C7396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1AF24DA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1.74</w:t>
            </w:r>
          </w:p>
        </w:tc>
        <w:tc>
          <w:tcPr>
            <w:tcW w:w="0" w:type="auto"/>
            <w:noWrap/>
            <w:vAlign w:val="center"/>
            <w:hideMark/>
          </w:tcPr>
          <w:p w14:paraId="5C9AF29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75</w:t>
            </w:r>
          </w:p>
        </w:tc>
        <w:tc>
          <w:tcPr>
            <w:tcW w:w="0" w:type="auto"/>
            <w:noWrap/>
            <w:vAlign w:val="center"/>
            <w:hideMark/>
          </w:tcPr>
          <w:p w14:paraId="3F585CC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24.77</w:t>
            </w:r>
          </w:p>
        </w:tc>
        <w:tc>
          <w:tcPr>
            <w:tcW w:w="0" w:type="auto"/>
            <w:noWrap/>
            <w:vAlign w:val="center"/>
            <w:hideMark/>
          </w:tcPr>
          <w:p w14:paraId="3BECD9D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86D33B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65D8E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14:paraId="3E40206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</w:tcPr>
          <w:p w14:paraId="3D28694F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525CDDA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4FAF52D6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1409C46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55C10D31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48A1A9A8" w14:textId="77777777" w:rsidTr="00B42D24">
        <w:trPr>
          <w:trHeight w:val="280"/>
        </w:trPr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030F37A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8</w:t>
            </w:r>
          </w:p>
        </w:tc>
        <w:tc>
          <w:tcPr>
            <w:tcW w:w="0" w:type="auto"/>
            <w:vMerge/>
            <w:tcBorders>
              <w:bottom w:val="dashed" w:sz="4" w:space="0" w:color="auto"/>
            </w:tcBorders>
          </w:tcPr>
          <w:p w14:paraId="79D71366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4B103B6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67/F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48C4897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36DA249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1.58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69B9D16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62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18A41B0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24.84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6AAD28D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1003B4E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793F55E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bottom w:val="dashed" w:sz="4" w:space="0" w:color="auto"/>
            </w:tcBorders>
            <w:noWrap/>
            <w:vAlign w:val="center"/>
            <w:hideMark/>
          </w:tcPr>
          <w:p w14:paraId="0DD09A2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tcBorders>
              <w:bottom w:val="dashed" w:sz="4" w:space="0" w:color="auto"/>
            </w:tcBorders>
          </w:tcPr>
          <w:p w14:paraId="16B59179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bottom w:val="dashed" w:sz="4" w:space="0" w:color="auto"/>
            </w:tcBorders>
          </w:tcPr>
          <w:p w14:paraId="4E9A8C3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  <w:tcBorders>
              <w:bottom w:val="dashed" w:sz="4" w:space="0" w:color="auto"/>
            </w:tcBorders>
          </w:tcPr>
          <w:p w14:paraId="1A033D0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  <w:tcBorders>
              <w:bottom w:val="dashed" w:sz="4" w:space="0" w:color="auto"/>
            </w:tcBorders>
          </w:tcPr>
          <w:p w14:paraId="094A18B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  <w:tcBorders>
              <w:bottom w:val="dashed" w:sz="4" w:space="0" w:color="auto"/>
            </w:tcBorders>
          </w:tcPr>
          <w:p w14:paraId="7AA28A54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283B9A50" w14:textId="77777777" w:rsidTr="00B42D24">
        <w:trPr>
          <w:trHeight w:val="280"/>
        </w:trPr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7CF676A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9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</w:tcBorders>
            <w:vAlign w:val="center"/>
          </w:tcPr>
          <w:p w14:paraId="1633091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Control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3EEF725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53/F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03036BE6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354F11A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1.61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3565D96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57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1F519D0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21.99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19011AB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5A6B834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6998F51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dashed" w:sz="4" w:space="0" w:color="auto"/>
            </w:tcBorders>
            <w:noWrap/>
            <w:vAlign w:val="center"/>
            <w:hideMark/>
          </w:tcPr>
          <w:p w14:paraId="2C00591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 w:val="restart"/>
            <w:tcBorders>
              <w:top w:val="dashed" w:sz="4" w:space="0" w:color="auto"/>
            </w:tcBorders>
            <w:vAlign w:val="center"/>
          </w:tcPr>
          <w:p w14:paraId="24659A7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Cartilage &amp; synovium</w:t>
            </w:r>
          </w:p>
        </w:tc>
        <w:tc>
          <w:tcPr>
            <w:tcW w:w="0" w:type="auto"/>
            <w:tcBorders>
              <w:top w:val="dashed" w:sz="4" w:space="0" w:color="auto"/>
            </w:tcBorders>
          </w:tcPr>
          <w:p w14:paraId="68E4D24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  <w:tcBorders>
              <w:top w:val="dashed" w:sz="4" w:space="0" w:color="auto"/>
            </w:tcBorders>
          </w:tcPr>
          <w:p w14:paraId="2D62D278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top w:val="dashed" w:sz="4" w:space="0" w:color="auto"/>
            </w:tcBorders>
          </w:tcPr>
          <w:p w14:paraId="43310AAE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top w:val="dashed" w:sz="4" w:space="0" w:color="auto"/>
            </w:tcBorders>
          </w:tcPr>
          <w:p w14:paraId="4B737AD2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11C12375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119BC89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10</w:t>
            </w:r>
          </w:p>
        </w:tc>
        <w:tc>
          <w:tcPr>
            <w:tcW w:w="0" w:type="auto"/>
            <w:vMerge/>
            <w:vAlign w:val="center"/>
          </w:tcPr>
          <w:p w14:paraId="206B981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AB72DA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50/F</w:t>
            </w:r>
          </w:p>
        </w:tc>
        <w:tc>
          <w:tcPr>
            <w:tcW w:w="0" w:type="auto"/>
            <w:noWrap/>
            <w:vAlign w:val="center"/>
            <w:hideMark/>
          </w:tcPr>
          <w:p w14:paraId="40605F4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C34E6D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1.68</w:t>
            </w:r>
          </w:p>
        </w:tc>
        <w:tc>
          <w:tcPr>
            <w:tcW w:w="0" w:type="auto"/>
            <w:noWrap/>
            <w:vAlign w:val="center"/>
            <w:hideMark/>
          </w:tcPr>
          <w:p w14:paraId="24878B3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62</w:t>
            </w:r>
          </w:p>
        </w:tc>
        <w:tc>
          <w:tcPr>
            <w:tcW w:w="0" w:type="auto"/>
            <w:noWrap/>
            <w:vAlign w:val="center"/>
            <w:hideMark/>
          </w:tcPr>
          <w:p w14:paraId="7EF5562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21.97</w:t>
            </w:r>
          </w:p>
        </w:tc>
        <w:tc>
          <w:tcPr>
            <w:tcW w:w="0" w:type="auto"/>
            <w:noWrap/>
            <w:vAlign w:val="center"/>
            <w:hideMark/>
          </w:tcPr>
          <w:p w14:paraId="24F83DA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2626E8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536639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96928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25814C8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6C624D1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1234F222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1439B66E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051856A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</w:tr>
      <w:tr w:rsidR="004604DE" w:rsidRPr="00031E1E" w14:paraId="1631D491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3979EA5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11</w:t>
            </w:r>
          </w:p>
        </w:tc>
        <w:tc>
          <w:tcPr>
            <w:tcW w:w="0" w:type="auto"/>
            <w:vMerge/>
            <w:vAlign w:val="center"/>
          </w:tcPr>
          <w:p w14:paraId="1520C7BB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59B1186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35/M</w:t>
            </w:r>
          </w:p>
        </w:tc>
        <w:tc>
          <w:tcPr>
            <w:tcW w:w="0" w:type="auto"/>
            <w:noWrap/>
            <w:vAlign w:val="center"/>
            <w:hideMark/>
          </w:tcPr>
          <w:p w14:paraId="48FC0B2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845EB2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1.79</w:t>
            </w:r>
          </w:p>
        </w:tc>
        <w:tc>
          <w:tcPr>
            <w:tcW w:w="0" w:type="auto"/>
            <w:noWrap/>
            <w:vAlign w:val="center"/>
            <w:hideMark/>
          </w:tcPr>
          <w:p w14:paraId="7D5C2D2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95</w:t>
            </w:r>
          </w:p>
        </w:tc>
        <w:tc>
          <w:tcPr>
            <w:tcW w:w="0" w:type="auto"/>
            <w:noWrap/>
            <w:vAlign w:val="center"/>
            <w:hideMark/>
          </w:tcPr>
          <w:p w14:paraId="543C60F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29.65</w:t>
            </w:r>
          </w:p>
        </w:tc>
        <w:tc>
          <w:tcPr>
            <w:tcW w:w="0" w:type="auto"/>
            <w:noWrap/>
            <w:vAlign w:val="center"/>
            <w:hideMark/>
          </w:tcPr>
          <w:p w14:paraId="2B61E2F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4DE145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7C7FA5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DDBD97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063349E2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78A622C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1891885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2228F755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18A53D6A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361B31ED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10B475F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12</w:t>
            </w:r>
          </w:p>
        </w:tc>
        <w:tc>
          <w:tcPr>
            <w:tcW w:w="0" w:type="auto"/>
            <w:vMerge/>
            <w:vAlign w:val="center"/>
          </w:tcPr>
          <w:p w14:paraId="761EAD3E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1E910E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47/M</w:t>
            </w:r>
          </w:p>
        </w:tc>
        <w:tc>
          <w:tcPr>
            <w:tcW w:w="0" w:type="auto"/>
            <w:noWrap/>
            <w:vAlign w:val="center"/>
            <w:hideMark/>
          </w:tcPr>
          <w:p w14:paraId="353AE8B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2FFE195C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1.76</w:t>
            </w:r>
          </w:p>
        </w:tc>
        <w:tc>
          <w:tcPr>
            <w:tcW w:w="0" w:type="auto"/>
            <w:noWrap/>
            <w:vAlign w:val="center"/>
            <w:hideMark/>
          </w:tcPr>
          <w:p w14:paraId="421F9B5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79</w:t>
            </w:r>
          </w:p>
        </w:tc>
        <w:tc>
          <w:tcPr>
            <w:tcW w:w="0" w:type="auto"/>
            <w:noWrap/>
            <w:vAlign w:val="center"/>
            <w:hideMark/>
          </w:tcPr>
          <w:p w14:paraId="519725E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25.50</w:t>
            </w:r>
          </w:p>
        </w:tc>
        <w:tc>
          <w:tcPr>
            <w:tcW w:w="0" w:type="auto"/>
            <w:noWrap/>
            <w:vAlign w:val="center"/>
            <w:hideMark/>
          </w:tcPr>
          <w:p w14:paraId="2E9706A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2E83EA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2B7F5F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63DD3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702A9B09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2D8AA57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3AFB00E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4A5D7D1F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7F95EFBD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7C8FFDF2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4C572C2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13</w:t>
            </w:r>
          </w:p>
        </w:tc>
        <w:tc>
          <w:tcPr>
            <w:tcW w:w="0" w:type="auto"/>
            <w:vMerge/>
            <w:vAlign w:val="center"/>
          </w:tcPr>
          <w:p w14:paraId="474508CA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3E6F119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55/F</w:t>
            </w:r>
          </w:p>
        </w:tc>
        <w:tc>
          <w:tcPr>
            <w:tcW w:w="0" w:type="auto"/>
            <w:noWrap/>
            <w:vAlign w:val="center"/>
            <w:hideMark/>
          </w:tcPr>
          <w:p w14:paraId="4601958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5D2628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1.53</w:t>
            </w:r>
          </w:p>
        </w:tc>
        <w:tc>
          <w:tcPr>
            <w:tcW w:w="0" w:type="auto"/>
            <w:noWrap/>
            <w:vAlign w:val="center"/>
            <w:hideMark/>
          </w:tcPr>
          <w:p w14:paraId="331B23B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60</w:t>
            </w:r>
          </w:p>
        </w:tc>
        <w:tc>
          <w:tcPr>
            <w:tcW w:w="0" w:type="auto"/>
            <w:noWrap/>
            <w:vAlign w:val="center"/>
            <w:hideMark/>
          </w:tcPr>
          <w:p w14:paraId="33353C2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25.63</w:t>
            </w:r>
          </w:p>
        </w:tc>
        <w:tc>
          <w:tcPr>
            <w:tcW w:w="0" w:type="auto"/>
            <w:noWrap/>
            <w:vAlign w:val="center"/>
            <w:hideMark/>
          </w:tcPr>
          <w:p w14:paraId="1C5191D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55A22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039937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BDB475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564DFB93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08B91E2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40C7942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438B0338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47074287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1F541582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3B0E230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14</w:t>
            </w:r>
          </w:p>
        </w:tc>
        <w:tc>
          <w:tcPr>
            <w:tcW w:w="0" w:type="auto"/>
            <w:vMerge/>
            <w:vAlign w:val="center"/>
          </w:tcPr>
          <w:p w14:paraId="28619B08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4385483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58/F</w:t>
            </w:r>
          </w:p>
        </w:tc>
        <w:tc>
          <w:tcPr>
            <w:tcW w:w="0" w:type="auto"/>
            <w:noWrap/>
            <w:vAlign w:val="center"/>
            <w:hideMark/>
          </w:tcPr>
          <w:p w14:paraId="6B2F41C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0EFCA36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1.66</w:t>
            </w:r>
          </w:p>
        </w:tc>
        <w:tc>
          <w:tcPr>
            <w:tcW w:w="0" w:type="auto"/>
            <w:noWrap/>
            <w:vAlign w:val="center"/>
            <w:hideMark/>
          </w:tcPr>
          <w:p w14:paraId="0D14796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70</w:t>
            </w:r>
          </w:p>
        </w:tc>
        <w:tc>
          <w:tcPr>
            <w:tcW w:w="0" w:type="auto"/>
            <w:noWrap/>
            <w:vAlign w:val="center"/>
            <w:hideMark/>
          </w:tcPr>
          <w:p w14:paraId="65827B5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25.40</w:t>
            </w:r>
          </w:p>
        </w:tc>
        <w:tc>
          <w:tcPr>
            <w:tcW w:w="0" w:type="auto"/>
            <w:noWrap/>
            <w:vAlign w:val="center"/>
            <w:hideMark/>
          </w:tcPr>
          <w:p w14:paraId="59C1F23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77459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B5582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noWrap/>
            <w:vAlign w:val="center"/>
            <w:hideMark/>
          </w:tcPr>
          <w:p w14:paraId="1A035651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0D131C66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313526A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5F18DE4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58157063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49857130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  <w:tr w:rsidR="004604DE" w:rsidRPr="00031E1E" w14:paraId="1874F115" w14:textId="77777777" w:rsidTr="00B42D24">
        <w:trPr>
          <w:trHeight w:val="280"/>
        </w:trPr>
        <w:tc>
          <w:tcPr>
            <w:tcW w:w="0" w:type="auto"/>
            <w:noWrap/>
            <w:vAlign w:val="center"/>
            <w:hideMark/>
          </w:tcPr>
          <w:p w14:paraId="77C9D23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15</w:t>
            </w:r>
          </w:p>
        </w:tc>
        <w:tc>
          <w:tcPr>
            <w:tcW w:w="0" w:type="auto"/>
            <w:vMerge/>
            <w:vAlign w:val="center"/>
          </w:tcPr>
          <w:p w14:paraId="1493B9AB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246957D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42/F</w:t>
            </w:r>
          </w:p>
        </w:tc>
        <w:tc>
          <w:tcPr>
            <w:tcW w:w="0" w:type="auto"/>
            <w:noWrap/>
            <w:vAlign w:val="center"/>
            <w:hideMark/>
          </w:tcPr>
          <w:p w14:paraId="68E1910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3084E73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1.65</w:t>
            </w:r>
          </w:p>
        </w:tc>
        <w:tc>
          <w:tcPr>
            <w:tcW w:w="0" w:type="auto"/>
            <w:noWrap/>
            <w:vAlign w:val="center"/>
            <w:hideMark/>
          </w:tcPr>
          <w:p w14:paraId="75A66877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73</w:t>
            </w:r>
          </w:p>
        </w:tc>
        <w:tc>
          <w:tcPr>
            <w:tcW w:w="0" w:type="auto"/>
            <w:noWrap/>
            <w:vAlign w:val="center"/>
            <w:hideMark/>
          </w:tcPr>
          <w:p w14:paraId="0C028E6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26.81</w:t>
            </w:r>
          </w:p>
        </w:tc>
        <w:tc>
          <w:tcPr>
            <w:tcW w:w="0" w:type="auto"/>
            <w:noWrap/>
            <w:vAlign w:val="center"/>
            <w:hideMark/>
          </w:tcPr>
          <w:p w14:paraId="591CB72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DAAB7B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957E1C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7E068F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vAlign w:val="center"/>
          </w:tcPr>
          <w:p w14:paraId="4CCE5F4F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242B3EDB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</w:tcPr>
          <w:p w14:paraId="2A171347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524B5BB7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14:paraId="300A5BE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</w:tr>
      <w:tr w:rsidR="004604DE" w:rsidRPr="00031E1E" w14:paraId="0C045A93" w14:textId="77777777" w:rsidTr="00B42D24">
        <w:trPr>
          <w:trHeight w:val="280"/>
        </w:trPr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59517AA2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16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25DA880C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4BA1FD1D" w14:textId="457B9F20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66</w:t>
            </w:r>
            <w:r w:rsidR="005E70E8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/</w:t>
            </w: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F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207829B0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3CE40AD9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1.58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1380EC5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55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53F89B34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22.03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0366F78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2033B803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+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7B27121E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tcBorders>
              <w:bottom w:val="single" w:sz="8" w:space="0" w:color="auto"/>
            </w:tcBorders>
            <w:noWrap/>
            <w:vAlign w:val="center"/>
            <w:hideMark/>
          </w:tcPr>
          <w:p w14:paraId="24EF1098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0" w:type="auto"/>
            <w:vMerge/>
            <w:tcBorders>
              <w:bottom w:val="single" w:sz="8" w:space="0" w:color="auto"/>
            </w:tcBorders>
            <w:vAlign w:val="center"/>
          </w:tcPr>
          <w:p w14:paraId="025C6F43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F25213A" w14:textId="77777777" w:rsidR="003E181D" w:rsidRPr="00031E1E" w:rsidRDefault="00321561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  <w:r w:rsidRPr="00031E1E"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  <w:t>√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E787747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2E84BB08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3507EC63" w14:textId="77777777" w:rsidR="003E181D" w:rsidRPr="00031E1E" w:rsidRDefault="003E181D" w:rsidP="00B42D24">
            <w:pPr>
              <w:widowControl/>
              <w:jc w:val="center"/>
              <w:rPr>
                <w:rFonts w:eastAsia="Calibri"/>
                <w:color w:val="000000"/>
                <w:kern w:val="0"/>
                <w:sz w:val="14"/>
                <w:szCs w:val="14"/>
                <w:lang w:eastAsia="en-US"/>
              </w:rPr>
            </w:pPr>
          </w:p>
        </w:tc>
      </w:tr>
    </w:tbl>
    <w:p w14:paraId="1E136D41" w14:textId="77777777" w:rsidR="003E181D" w:rsidRPr="00031E1E" w:rsidRDefault="00321561" w:rsidP="003E181D">
      <w:pPr>
        <w:widowControl/>
        <w:jc w:val="left"/>
        <w:rPr>
          <w:bCs/>
          <w:kern w:val="32"/>
          <w:szCs w:val="24"/>
          <w:lang w:eastAsia="en-US"/>
        </w:rPr>
      </w:pPr>
      <w:r w:rsidRPr="00031E1E">
        <w:rPr>
          <w:bCs/>
          <w:kern w:val="32"/>
          <w:szCs w:val="24"/>
          <w:lang w:eastAsia="en-US"/>
        </w:rPr>
        <w:t>RA, rheumatoid arthritis; DM, diabetes mellitus; HT, hypertension; CA, cancer; +, present; -, absent</w:t>
      </w:r>
    </w:p>
    <w:p w14:paraId="4A39BDA8" w14:textId="77777777" w:rsidR="003E181D" w:rsidRPr="00031E1E" w:rsidRDefault="003E181D" w:rsidP="00A101CD">
      <w:pPr>
        <w:widowControl/>
        <w:spacing w:line="480" w:lineRule="auto"/>
        <w:jc w:val="left"/>
        <w:rPr>
          <w:rFonts w:eastAsiaTheme="minorHAnsi"/>
        </w:rPr>
      </w:pPr>
    </w:p>
    <w:sectPr w:rsidR="003E181D" w:rsidRPr="00031E1E" w:rsidSect="00152FD1">
      <w:footerReference w:type="default" r:id="rId9"/>
      <w:pgSz w:w="11906" w:h="16838"/>
      <w:pgMar w:top="1440" w:right="1440" w:bottom="1440" w:left="1440" w:header="851" w:footer="992" w:gutter="0"/>
      <w:lnNumType w:countBy="1" w:restart="continuous"/>
      <w:cols w:space="425"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611A7" w16cex:dateUtc="2022-11-21T20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4D9665" w16cid:durableId="27260ED7"/>
  <w16cid:commentId w16cid:paraId="06DFAD55" w16cid:durableId="27260ED8"/>
  <w16cid:commentId w16cid:paraId="532B9D5F" w16cid:durableId="272611A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54B9CA" w14:textId="77777777" w:rsidR="00302926" w:rsidRPr="00031E1E" w:rsidRDefault="00302926">
      <w:r w:rsidRPr="00031E1E">
        <w:separator/>
      </w:r>
    </w:p>
  </w:endnote>
  <w:endnote w:type="continuationSeparator" w:id="0">
    <w:p w14:paraId="634AC8A3" w14:textId="77777777" w:rsidR="00302926" w:rsidRPr="00031E1E" w:rsidRDefault="00302926">
      <w:r w:rsidRPr="00031E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4380721"/>
      <w:docPartObj>
        <w:docPartGallery w:val="Page Numbers (Bottom of Page)"/>
        <w:docPartUnique/>
      </w:docPartObj>
    </w:sdtPr>
    <w:sdtEndPr/>
    <w:sdtContent>
      <w:p w14:paraId="6E681ED7" w14:textId="54151481" w:rsidR="008B31E5" w:rsidRPr="00031E1E" w:rsidRDefault="00321561">
        <w:pPr>
          <w:pStyle w:val="Footer"/>
          <w:jc w:val="center"/>
        </w:pPr>
        <w:r w:rsidRPr="00031E1E">
          <w:fldChar w:fldCharType="begin"/>
        </w:r>
        <w:r w:rsidRPr="00031E1E">
          <w:instrText>PAGE   \* MERGEFORMAT</w:instrText>
        </w:r>
        <w:r w:rsidRPr="00031E1E">
          <w:fldChar w:fldCharType="separate"/>
        </w:r>
        <w:r w:rsidR="00320821">
          <w:rPr>
            <w:noProof/>
          </w:rPr>
          <w:t>6</w:t>
        </w:r>
        <w:r w:rsidRPr="00031E1E">
          <w:fldChar w:fldCharType="end"/>
        </w:r>
      </w:p>
    </w:sdtContent>
  </w:sdt>
  <w:p w14:paraId="2D028BE1" w14:textId="77777777" w:rsidR="008B31E5" w:rsidRPr="00031E1E" w:rsidRDefault="008B31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73C415" w14:textId="77777777" w:rsidR="00302926" w:rsidRPr="00031E1E" w:rsidRDefault="00302926">
      <w:r w:rsidRPr="00031E1E">
        <w:separator/>
      </w:r>
    </w:p>
  </w:footnote>
  <w:footnote w:type="continuationSeparator" w:id="0">
    <w:p w14:paraId="31A2C341" w14:textId="77777777" w:rsidR="00302926" w:rsidRPr="00031E1E" w:rsidRDefault="00302926">
      <w:r w:rsidRPr="00031E1E"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C1E2766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424C59C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3BEF79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60A40A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FBAECFB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26369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B02291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E9AA45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2EEC1C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5C66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830C82"/>
    <w:multiLevelType w:val="hybridMultilevel"/>
    <w:tmpl w:val="8032641C"/>
    <w:lvl w:ilvl="0" w:tplc="D5E2D138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ED84A0B0" w:tentative="1">
      <w:start w:val="1"/>
      <w:numFmt w:val="lowerLetter"/>
      <w:lvlText w:val="%2)"/>
      <w:lvlJc w:val="left"/>
      <w:pPr>
        <w:ind w:left="840" w:hanging="420"/>
      </w:pPr>
    </w:lvl>
    <w:lvl w:ilvl="2" w:tplc="0D56DEF6" w:tentative="1">
      <w:start w:val="1"/>
      <w:numFmt w:val="lowerRoman"/>
      <w:lvlText w:val="%3."/>
      <w:lvlJc w:val="right"/>
      <w:pPr>
        <w:ind w:left="1260" w:hanging="420"/>
      </w:pPr>
    </w:lvl>
    <w:lvl w:ilvl="3" w:tplc="30F0C8DA" w:tentative="1">
      <w:start w:val="1"/>
      <w:numFmt w:val="decimal"/>
      <w:lvlText w:val="%4."/>
      <w:lvlJc w:val="left"/>
      <w:pPr>
        <w:ind w:left="1680" w:hanging="420"/>
      </w:pPr>
    </w:lvl>
    <w:lvl w:ilvl="4" w:tplc="D32605F0" w:tentative="1">
      <w:start w:val="1"/>
      <w:numFmt w:val="lowerLetter"/>
      <w:lvlText w:val="%5)"/>
      <w:lvlJc w:val="left"/>
      <w:pPr>
        <w:ind w:left="2100" w:hanging="420"/>
      </w:pPr>
    </w:lvl>
    <w:lvl w:ilvl="5" w:tplc="22D6F08C" w:tentative="1">
      <w:start w:val="1"/>
      <w:numFmt w:val="lowerRoman"/>
      <w:lvlText w:val="%6."/>
      <w:lvlJc w:val="right"/>
      <w:pPr>
        <w:ind w:left="2520" w:hanging="420"/>
      </w:pPr>
    </w:lvl>
    <w:lvl w:ilvl="6" w:tplc="E8128F80" w:tentative="1">
      <w:start w:val="1"/>
      <w:numFmt w:val="decimal"/>
      <w:lvlText w:val="%7."/>
      <w:lvlJc w:val="left"/>
      <w:pPr>
        <w:ind w:left="2940" w:hanging="420"/>
      </w:pPr>
    </w:lvl>
    <w:lvl w:ilvl="7" w:tplc="86DE9CF2" w:tentative="1">
      <w:start w:val="1"/>
      <w:numFmt w:val="lowerLetter"/>
      <w:lvlText w:val="%8)"/>
      <w:lvlJc w:val="left"/>
      <w:pPr>
        <w:ind w:left="3360" w:hanging="420"/>
      </w:pPr>
    </w:lvl>
    <w:lvl w:ilvl="8" w:tplc="842AB9C0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29B3A1A"/>
    <w:multiLevelType w:val="hybridMultilevel"/>
    <w:tmpl w:val="678A99E2"/>
    <w:lvl w:ilvl="0" w:tplc="52BEBD26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F230C912" w:tentative="1">
      <w:start w:val="1"/>
      <w:numFmt w:val="lowerLetter"/>
      <w:lvlText w:val="%2)"/>
      <w:lvlJc w:val="left"/>
      <w:pPr>
        <w:ind w:left="840" w:hanging="420"/>
      </w:pPr>
    </w:lvl>
    <w:lvl w:ilvl="2" w:tplc="53B0F3D8" w:tentative="1">
      <w:start w:val="1"/>
      <w:numFmt w:val="lowerRoman"/>
      <w:lvlText w:val="%3."/>
      <w:lvlJc w:val="right"/>
      <w:pPr>
        <w:ind w:left="1260" w:hanging="420"/>
      </w:pPr>
    </w:lvl>
    <w:lvl w:ilvl="3" w:tplc="4934CC24" w:tentative="1">
      <w:start w:val="1"/>
      <w:numFmt w:val="decimal"/>
      <w:lvlText w:val="%4."/>
      <w:lvlJc w:val="left"/>
      <w:pPr>
        <w:ind w:left="1680" w:hanging="420"/>
      </w:pPr>
    </w:lvl>
    <w:lvl w:ilvl="4" w:tplc="FBAA5A64" w:tentative="1">
      <w:start w:val="1"/>
      <w:numFmt w:val="lowerLetter"/>
      <w:lvlText w:val="%5)"/>
      <w:lvlJc w:val="left"/>
      <w:pPr>
        <w:ind w:left="2100" w:hanging="420"/>
      </w:pPr>
    </w:lvl>
    <w:lvl w:ilvl="5" w:tplc="15108FDA" w:tentative="1">
      <w:start w:val="1"/>
      <w:numFmt w:val="lowerRoman"/>
      <w:lvlText w:val="%6."/>
      <w:lvlJc w:val="right"/>
      <w:pPr>
        <w:ind w:left="2520" w:hanging="420"/>
      </w:pPr>
    </w:lvl>
    <w:lvl w:ilvl="6" w:tplc="1B5ACC72" w:tentative="1">
      <w:start w:val="1"/>
      <w:numFmt w:val="decimal"/>
      <w:lvlText w:val="%7."/>
      <w:lvlJc w:val="left"/>
      <w:pPr>
        <w:ind w:left="2940" w:hanging="420"/>
      </w:pPr>
    </w:lvl>
    <w:lvl w:ilvl="7" w:tplc="C7E0808E" w:tentative="1">
      <w:start w:val="1"/>
      <w:numFmt w:val="lowerLetter"/>
      <w:lvlText w:val="%8)"/>
      <w:lvlJc w:val="left"/>
      <w:pPr>
        <w:ind w:left="3360" w:hanging="420"/>
      </w:pPr>
    </w:lvl>
    <w:lvl w:ilvl="8" w:tplc="342E376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4337490"/>
    <w:multiLevelType w:val="hybridMultilevel"/>
    <w:tmpl w:val="A42A84D4"/>
    <w:lvl w:ilvl="0" w:tplc="DC5C62BC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52E0BDF6" w:tentative="1">
      <w:start w:val="1"/>
      <w:numFmt w:val="lowerLetter"/>
      <w:lvlText w:val="%2)"/>
      <w:lvlJc w:val="left"/>
      <w:pPr>
        <w:ind w:left="840" w:hanging="420"/>
      </w:pPr>
    </w:lvl>
    <w:lvl w:ilvl="2" w:tplc="34E814F2" w:tentative="1">
      <w:start w:val="1"/>
      <w:numFmt w:val="lowerRoman"/>
      <w:lvlText w:val="%3."/>
      <w:lvlJc w:val="right"/>
      <w:pPr>
        <w:ind w:left="1260" w:hanging="420"/>
      </w:pPr>
    </w:lvl>
    <w:lvl w:ilvl="3" w:tplc="CCB6FC66" w:tentative="1">
      <w:start w:val="1"/>
      <w:numFmt w:val="decimal"/>
      <w:lvlText w:val="%4."/>
      <w:lvlJc w:val="left"/>
      <w:pPr>
        <w:ind w:left="1680" w:hanging="420"/>
      </w:pPr>
    </w:lvl>
    <w:lvl w:ilvl="4" w:tplc="6BF89544" w:tentative="1">
      <w:start w:val="1"/>
      <w:numFmt w:val="lowerLetter"/>
      <w:lvlText w:val="%5)"/>
      <w:lvlJc w:val="left"/>
      <w:pPr>
        <w:ind w:left="2100" w:hanging="420"/>
      </w:pPr>
    </w:lvl>
    <w:lvl w:ilvl="5" w:tplc="F2A8CD24" w:tentative="1">
      <w:start w:val="1"/>
      <w:numFmt w:val="lowerRoman"/>
      <w:lvlText w:val="%6."/>
      <w:lvlJc w:val="right"/>
      <w:pPr>
        <w:ind w:left="2520" w:hanging="420"/>
      </w:pPr>
    </w:lvl>
    <w:lvl w:ilvl="6" w:tplc="94503456" w:tentative="1">
      <w:start w:val="1"/>
      <w:numFmt w:val="decimal"/>
      <w:lvlText w:val="%7."/>
      <w:lvlJc w:val="left"/>
      <w:pPr>
        <w:ind w:left="2940" w:hanging="420"/>
      </w:pPr>
    </w:lvl>
    <w:lvl w:ilvl="7" w:tplc="58727500" w:tentative="1">
      <w:start w:val="1"/>
      <w:numFmt w:val="lowerLetter"/>
      <w:lvlText w:val="%8)"/>
      <w:lvlJc w:val="left"/>
      <w:pPr>
        <w:ind w:left="3360" w:hanging="420"/>
      </w:pPr>
    </w:lvl>
    <w:lvl w:ilvl="8" w:tplc="23E6B7F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4B857F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26D97F74"/>
    <w:multiLevelType w:val="hybridMultilevel"/>
    <w:tmpl w:val="17E0490C"/>
    <w:lvl w:ilvl="0" w:tplc="8C16B2D4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E842DB74" w:tentative="1">
      <w:start w:val="1"/>
      <w:numFmt w:val="lowerLetter"/>
      <w:lvlText w:val="%2)"/>
      <w:lvlJc w:val="left"/>
      <w:pPr>
        <w:ind w:left="840" w:hanging="420"/>
      </w:pPr>
    </w:lvl>
    <w:lvl w:ilvl="2" w:tplc="94D67BC8" w:tentative="1">
      <w:start w:val="1"/>
      <w:numFmt w:val="lowerRoman"/>
      <w:lvlText w:val="%3."/>
      <w:lvlJc w:val="right"/>
      <w:pPr>
        <w:ind w:left="1260" w:hanging="420"/>
      </w:pPr>
    </w:lvl>
    <w:lvl w:ilvl="3" w:tplc="43FEFD6C" w:tentative="1">
      <w:start w:val="1"/>
      <w:numFmt w:val="decimal"/>
      <w:lvlText w:val="%4."/>
      <w:lvlJc w:val="left"/>
      <w:pPr>
        <w:ind w:left="1680" w:hanging="420"/>
      </w:pPr>
    </w:lvl>
    <w:lvl w:ilvl="4" w:tplc="D0F00CF4" w:tentative="1">
      <w:start w:val="1"/>
      <w:numFmt w:val="lowerLetter"/>
      <w:lvlText w:val="%5)"/>
      <w:lvlJc w:val="left"/>
      <w:pPr>
        <w:ind w:left="2100" w:hanging="420"/>
      </w:pPr>
    </w:lvl>
    <w:lvl w:ilvl="5" w:tplc="5AE6A2CE" w:tentative="1">
      <w:start w:val="1"/>
      <w:numFmt w:val="lowerRoman"/>
      <w:lvlText w:val="%6."/>
      <w:lvlJc w:val="right"/>
      <w:pPr>
        <w:ind w:left="2520" w:hanging="420"/>
      </w:pPr>
    </w:lvl>
    <w:lvl w:ilvl="6" w:tplc="2A3CA3DC" w:tentative="1">
      <w:start w:val="1"/>
      <w:numFmt w:val="decimal"/>
      <w:lvlText w:val="%7."/>
      <w:lvlJc w:val="left"/>
      <w:pPr>
        <w:ind w:left="2940" w:hanging="420"/>
      </w:pPr>
    </w:lvl>
    <w:lvl w:ilvl="7" w:tplc="BD32D7EC" w:tentative="1">
      <w:start w:val="1"/>
      <w:numFmt w:val="lowerLetter"/>
      <w:lvlText w:val="%8)"/>
      <w:lvlJc w:val="left"/>
      <w:pPr>
        <w:ind w:left="3360" w:hanging="420"/>
      </w:pPr>
    </w:lvl>
    <w:lvl w:ilvl="8" w:tplc="F3861386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EA74BD3"/>
    <w:multiLevelType w:val="hybridMultilevel"/>
    <w:tmpl w:val="11EAB414"/>
    <w:lvl w:ilvl="0" w:tplc="362CC8DC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1CF401EC" w:tentative="1">
      <w:start w:val="1"/>
      <w:numFmt w:val="lowerLetter"/>
      <w:lvlText w:val="%2)"/>
      <w:lvlJc w:val="left"/>
      <w:pPr>
        <w:ind w:left="840" w:hanging="420"/>
      </w:pPr>
    </w:lvl>
    <w:lvl w:ilvl="2" w:tplc="141E12B8" w:tentative="1">
      <w:start w:val="1"/>
      <w:numFmt w:val="lowerRoman"/>
      <w:lvlText w:val="%3."/>
      <w:lvlJc w:val="right"/>
      <w:pPr>
        <w:ind w:left="1260" w:hanging="420"/>
      </w:pPr>
    </w:lvl>
    <w:lvl w:ilvl="3" w:tplc="87D46EF2" w:tentative="1">
      <w:start w:val="1"/>
      <w:numFmt w:val="decimal"/>
      <w:lvlText w:val="%4."/>
      <w:lvlJc w:val="left"/>
      <w:pPr>
        <w:ind w:left="1680" w:hanging="420"/>
      </w:pPr>
    </w:lvl>
    <w:lvl w:ilvl="4" w:tplc="D41CEA56" w:tentative="1">
      <w:start w:val="1"/>
      <w:numFmt w:val="lowerLetter"/>
      <w:lvlText w:val="%5)"/>
      <w:lvlJc w:val="left"/>
      <w:pPr>
        <w:ind w:left="2100" w:hanging="420"/>
      </w:pPr>
    </w:lvl>
    <w:lvl w:ilvl="5" w:tplc="8A94BB92" w:tentative="1">
      <w:start w:val="1"/>
      <w:numFmt w:val="lowerRoman"/>
      <w:lvlText w:val="%6."/>
      <w:lvlJc w:val="right"/>
      <w:pPr>
        <w:ind w:left="2520" w:hanging="420"/>
      </w:pPr>
    </w:lvl>
    <w:lvl w:ilvl="6" w:tplc="7DB06CE0" w:tentative="1">
      <w:start w:val="1"/>
      <w:numFmt w:val="decimal"/>
      <w:lvlText w:val="%7."/>
      <w:lvlJc w:val="left"/>
      <w:pPr>
        <w:ind w:left="2940" w:hanging="420"/>
      </w:pPr>
    </w:lvl>
    <w:lvl w:ilvl="7" w:tplc="307C67D0" w:tentative="1">
      <w:start w:val="1"/>
      <w:numFmt w:val="lowerLetter"/>
      <w:lvlText w:val="%8)"/>
      <w:lvlJc w:val="left"/>
      <w:pPr>
        <w:ind w:left="3360" w:hanging="420"/>
      </w:pPr>
    </w:lvl>
    <w:lvl w:ilvl="8" w:tplc="F4DC53E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413307B3"/>
    <w:multiLevelType w:val="hybridMultilevel"/>
    <w:tmpl w:val="51907FCC"/>
    <w:lvl w:ilvl="0" w:tplc="52B663AE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76FC09DE" w:tentative="1">
      <w:start w:val="1"/>
      <w:numFmt w:val="lowerLetter"/>
      <w:lvlText w:val="%2)"/>
      <w:lvlJc w:val="left"/>
      <w:pPr>
        <w:ind w:left="840" w:hanging="420"/>
      </w:pPr>
    </w:lvl>
    <w:lvl w:ilvl="2" w:tplc="ED3A7E20" w:tentative="1">
      <w:start w:val="1"/>
      <w:numFmt w:val="lowerRoman"/>
      <w:lvlText w:val="%3."/>
      <w:lvlJc w:val="right"/>
      <w:pPr>
        <w:ind w:left="1260" w:hanging="420"/>
      </w:pPr>
    </w:lvl>
    <w:lvl w:ilvl="3" w:tplc="1EDAF9AC" w:tentative="1">
      <w:start w:val="1"/>
      <w:numFmt w:val="decimal"/>
      <w:lvlText w:val="%4."/>
      <w:lvlJc w:val="left"/>
      <w:pPr>
        <w:ind w:left="1680" w:hanging="420"/>
      </w:pPr>
    </w:lvl>
    <w:lvl w:ilvl="4" w:tplc="CC18364E" w:tentative="1">
      <w:start w:val="1"/>
      <w:numFmt w:val="lowerLetter"/>
      <w:lvlText w:val="%5)"/>
      <w:lvlJc w:val="left"/>
      <w:pPr>
        <w:ind w:left="2100" w:hanging="420"/>
      </w:pPr>
    </w:lvl>
    <w:lvl w:ilvl="5" w:tplc="D1DC9244" w:tentative="1">
      <w:start w:val="1"/>
      <w:numFmt w:val="lowerRoman"/>
      <w:lvlText w:val="%6."/>
      <w:lvlJc w:val="right"/>
      <w:pPr>
        <w:ind w:left="2520" w:hanging="420"/>
      </w:pPr>
    </w:lvl>
    <w:lvl w:ilvl="6" w:tplc="CC3A84CC" w:tentative="1">
      <w:start w:val="1"/>
      <w:numFmt w:val="decimal"/>
      <w:lvlText w:val="%7."/>
      <w:lvlJc w:val="left"/>
      <w:pPr>
        <w:ind w:left="2940" w:hanging="420"/>
      </w:pPr>
    </w:lvl>
    <w:lvl w:ilvl="7" w:tplc="F3CC7A76" w:tentative="1">
      <w:start w:val="1"/>
      <w:numFmt w:val="lowerLetter"/>
      <w:lvlText w:val="%8)"/>
      <w:lvlJc w:val="left"/>
      <w:pPr>
        <w:ind w:left="3360" w:hanging="420"/>
      </w:pPr>
    </w:lvl>
    <w:lvl w:ilvl="8" w:tplc="8CC6F532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47AE2E33"/>
    <w:multiLevelType w:val="hybridMultilevel"/>
    <w:tmpl w:val="AB86CA16"/>
    <w:lvl w:ilvl="0" w:tplc="91DC4E44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1656393E" w:tentative="1">
      <w:start w:val="1"/>
      <w:numFmt w:val="lowerLetter"/>
      <w:lvlText w:val="%2)"/>
      <w:lvlJc w:val="left"/>
      <w:pPr>
        <w:ind w:left="840" w:hanging="420"/>
      </w:pPr>
    </w:lvl>
    <w:lvl w:ilvl="2" w:tplc="61440692" w:tentative="1">
      <w:start w:val="1"/>
      <w:numFmt w:val="lowerRoman"/>
      <w:lvlText w:val="%3."/>
      <w:lvlJc w:val="right"/>
      <w:pPr>
        <w:ind w:left="1260" w:hanging="420"/>
      </w:pPr>
    </w:lvl>
    <w:lvl w:ilvl="3" w:tplc="60783564" w:tentative="1">
      <w:start w:val="1"/>
      <w:numFmt w:val="decimal"/>
      <w:lvlText w:val="%4."/>
      <w:lvlJc w:val="left"/>
      <w:pPr>
        <w:ind w:left="1680" w:hanging="420"/>
      </w:pPr>
    </w:lvl>
    <w:lvl w:ilvl="4" w:tplc="925C6460" w:tentative="1">
      <w:start w:val="1"/>
      <w:numFmt w:val="lowerLetter"/>
      <w:lvlText w:val="%5)"/>
      <w:lvlJc w:val="left"/>
      <w:pPr>
        <w:ind w:left="2100" w:hanging="420"/>
      </w:pPr>
    </w:lvl>
    <w:lvl w:ilvl="5" w:tplc="2E76CDFE" w:tentative="1">
      <w:start w:val="1"/>
      <w:numFmt w:val="lowerRoman"/>
      <w:lvlText w:val="%6."/>
      <w:lvlJc w:val="right"/>
      <w:pPr>
        <w:ind w:left="2520" w:hanging="420"/>
      </w:pPr>
    </w:lvl>
    <w:lvl w:ilvl="6" w:tplc="2C7CF1F2" w:tentative="1">
      <w:start w:val="1"/>
      <w:numFmt w:val="decimal"/>
      <w:lvlText w:val="%7."/>
      <w:lvlJc w:val="left"/>
      <w:pPr>
        <w:ind w:left="2940" w:hanging="420"/>
      </w:pPr>
    </w:lvl>
    <w:lvl w:ilvl="7" w:tplc="726041EA" w:tentative="1">
      <w:start w:val="1"/>
      <w:numFmt w:val="lowerLetter"/>
      <w:lvlText w:val="%8)"/>
      <w:lvlJc w:val="left"/>
      <w:pPr>
        <w:ind w:left="3360" w:hanging="420"/>
      </w:pPr>
    </w:lvl>
    <w:lvl w:ilvl="8" w:tplc="FCA03E1C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4B0D686E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>
    <w:nsid w:val="4B954CC6"/>
    <w:multiLevelType w:val="hybridMultilevel"/>
    <w:tmpl w:val="BF34AC10"/>
    <w:lvl w:ilvl="0" w:tplc="DA98754A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39A868CE" w:tentative="1">
      <w:start w:val="1"/>
      <w:numFmt w:val="lowerLetter"/>
      <w:lvlText w:val="%2)"/>
      <w:lvlJc w:val="left"/>
      <w:pPr>
        <w:ind w:left="840" w:hanging="420"/>
      </w:pPr>
    </w:lvl>
    <w:lvl w:ilvl="2" w:tplc="33ACB624" w:tentative="1">
      <w:start w:val="1"/>
      <w:numFmt w:val="lowerRoman"/>
      <w:lvlText w:val="%3."/>
      <w:lvlJc w:val="right"/>
      <w:pPr>
        <w:ind w:left="1260" w:hanging="420"/>
      </w:pPr>
    </w:lvl>
    <w:lvl w:ilvl="3" w:tplc="173258B2" w:tentative="1">
      <w:start w:val="1"/>
      <w:numFmt w:val="decimal"/>
      <w:lvlText w:val="%4."/>
      <w:lvlJc w:val="left"/>
      <w:pPr>
        <w:ind w:left="1680" w:hanging="420"/>
      </w:pPr>
    </w:lvl>
    <w:lvl w:ilvl="4" w:tplc="1AB28824" w:tentative="1">
      <w:start w:val="1"/>
      <w:numFmt w:val="lowerLetter"/>
      <w:lvlText w:val="%5)"/>
      <w:lvlJc w:val="left"/>
      <w:pPr>
        <w:ind w:left="2100" w:hanging="420"/>
      </w:pPr>
    </w:lvl>
    <w:lvl w:ilvl="5" w:tplc="4742234E" w:tentative="1">
      <w:start w:val="1"/>
      <w:numFmt w:val="lowerRoman"/>
      <w:lvlText w:val="%6."/>
      <w:lvlJc w:val="right"/>
      <w:pPr>
        <w:ind w:left="2520" w:hanging="420"/>
      </w:pPr>
    </w:lvl>
    <w:lvl w:ilvl="6" w:tplc="E1B2F7F4" w:tentative="1">
      <w:start w:val="1"/>
      <w:numFmt w:val="decimal"/>
      <w:lvlText w:val="%7."/>
      <w:lvlJc w:val="left"/>
      <w:pPr>
        <w:ind w:left="2940" w:hanging="420"/>
      </w:pPr>
    </w:lvl>
    <w:lvl w:ilvl="7" w:tplc="E9E81ADA" w:tentative="1">
      <w:start w:val="1"/>
      <w:numFmt w:val="lowerLetter"/>
      <w:lvlText w:val="%8)"/>
      <w:lvlJc w:val="left"/>
      <w:pPr>
        <w:ind w:left="3360" w:hanging="420"/>
      </w:pPr>
    </w:lvl>
    <w:lvl w:ilvl="8" w:tplc="8466B68E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4EA268F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81C7A7A"/>
    <w:multiLevelType w:val="hybridMultilevel"/>
    <w:tmpl w:val="888C006E"/>
    <w:lvl w:ilvl="0" w:tplc="2FECC1FA">
      <w:start w:val="1"/>
      <w:numFmt w:val="upperLetter"/>
      <w:lvlText w:val="(%1)"/>
      <w:lvlJc w:val="left"/>
      <w:pPr>
        <w:ind w:left="0" w:firstLine="0"/>
      </w:pPr>
      <w:rPr>
        <w:rFonts w:hint="default"/>
      </w:rPr>
    </w:lvl>
    <w:lvl w:ilvl="1" w:tplc="286AEDA8" w:tentative="1">
      <w:start w:val="1"/>
      <w:numFmt w:val="lowerLetter"/>
      <w:lvlText w:val="%2)"/>
      <w:lvlJc w:val="left"/>
      <w:pPr>
        <w:ind w:left="840" w:hanging="420"/>
      </w:pPr>
    </w:lvl>
    <w:lvl w:ilvl="2" w:tplc="FFCA7F2A" w:tentative="1">
      <w:start w:val="1"/>
      <w:numFmt w:val="lowerRoman"/>
      <w:lvlText w:val="%3."/>
      <w:lvlJc w:val="right"/>
      <w:pPr>
        <w:ind w:left="1260" w:hanging="420"/>
      </w:pPr>
    </w:lvl>
    <w:lvl w:ilvl="3" w:tplc="14C2D10C" w:tentative="1">
      <w:start w:val="1"/>
      <w:numFmt w:val="decimal"/>
      <w:lvlText w:val="%4."/>
      <w:lvlJc w:val="left"/>
      <w:pPr>
        <w:ind w:left="1680" w:hanging="420"/>
      </w:pPr>
    </w:lvl>
    <w:lvl w:ilvl="4" w:tplc="702E285A" w:tentative="1">
      <w:start w:val="1"/>
      <w:numFmt w:val="lowerLetter"/>
      <w:lvlText w:val="%5)"/>
      <w:lvlJc w:val="left"/>
      <w:pPr>
        <w:ind w:left="2100" w:hanging="420"/>
      </w:pPr>
    </w:lvl>
    <w:lvl w:ilvl="5" w:tplc="4EBAA12E" w:tentative="1">
      <w:start w:val="1"/>
      <w:numFmt w:val="lowerRoman"/>
      <w:lvlText w:val="%6."/>
      <w:lvlJc w:val="right"/>
      <w:pPr>
        <w:ind w:left="2520" w:hanging="420"/>
      </w:pPr>
    </w:lvl>
    <w:lvl w:ilvl="6" w:tplc="02D6274E" w:tentative="1">
      <w:start w:val="1"/>
      <w:numFmt w:val="decimal"/>
      <w:lvlText w:val="%7."/>
      <w:lvlJc w:val="left"/>
      <w:pPr>
        <w:ind w:left="2940" w:hanging="420"/>
      </w:pPr>
    </w:lvl>
    <w:lvl w:ilvl="7" w:tplc="669CEBAC" w:tentative="1">
      <w:start w:val="1"/>
      <w:numFmt w:val="lowerLetter"/>
      <w:lvlText w:val="%8)"/>
      <w:lvlJc w:val="left"/>
      <w:pPr>
        <w:ind w:left="3360" w:hanging="420"/>
      </w:pPr>
    </w:lvl>
    <w:lvl w:ilvl="8" w:tplc="E2BE440E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9"/>
  </w:num>
  <w:num w:numId="2">
    <w:abstractNumId w:val="14"/>
  </w:num>
  <w:num w:numId="3">
    <w:abstractNumId w:val="17"/>
  </w:num>
  <w:num w:numId="4">
    <w:abstractNumId w:val="11"/>
  </w:num>
  <w:num w:numId="5">
    <w:abstractNumId w:val="12"/>
  </w:num>
  <w:num w:numId="6">
    <w:abstractNumId w:val="21"/>
  </w:num>
  <w:num w:numId="7">
    <w:abstractNumId w:val="15"/>
  </w:num>
  <w:num w:numId="8">
    <w:abstractNumId w:val="10"/>
  </w:num>
  <w:num w:numId="9">
    <w:abstractNumId w:val="16"/>
  </w:num>
  <w:num w:numId="10">
    <w:abstractNumId w:val="20"/>
  </w:num>
  <w:num w:numId="11">
    <w:abstractNumId w:val="13"/>
  </w:num>
  <w:num w:numId="12">
    <w:abstractNumId w:val="18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9a5rp22to9wfsaez2x15zrad9t9seffwd5ts&quot;&gt;My EndNote Library&lt;record-ids&gt;&lt;item&gt;1582&lt;/item&gt;&lt;item&gt;1586&lt;/item&gt;&lt;item&gt;1590&lt;/item&gt;&lt;item&gt;1591&lt;/item&gt;&lt;item&gt;1604&lt;/item&gt;&lt;item&gt;1611&lt;/item&gt;&lt;item&gt;1619&lt;/item&gt;&lt;item&gt;1623&lt;/item&gt;&lt;item&gt;1624&lt;/item&gt;&lt;item&gt;1627&lt;/item&gt;&lt;item&gt;1628&lt;/item&gt;&lt;item&gt;1630&lt;/item&gt;&lt;item&gt;1642&lt;/item&gt;&lt;item&gt;1724&lt;/item&gt;&lt;item&gt;1876&lt;/item&gt;&lt;item&gt;1882&lt;/item&gt;&lt;item&gt;1896&lt;/item&gt;&lt;item&gt;1897&lt;/item&gt;&lt;item&gt;1898&lt;/item&gt;&lt;item&gt;1904&lt;/item&gt;&lt;item&gt;1905&lt;/item&gt;&lt;item&gt;1912&lt;/item&gt;&lt;item&gt;1913&lt;/item&gt;&lt;item&gt;2117&lt;/item&gt;&lt;item&gt;2120&lt;/item&gt;&lt;item&gt;2123&lt;/item&gt;&lt;item&gt;2127&lt;/item&gt;&lt;item&gt;2135&lt;/item&gt;&lt;item&gt;2138&lt;/item&gt;&lt;item&gt;2223&lt;/item&gt;&lt;item&gt;2286&lt;/item&gt;&lt;item&gt;2297&lt;/item&gt;&lt;item&gt;2334&lt;/item&gt;&lt;item&gt;2335&lt;/item&gt;&lt;item&gt;2342&lt;/item&gt;&lt;item&gt;2392&lt;/item&gt;&lt;item&gt;2395&lt;/item&gt;&lt;item&gt;2451&lt;/item&gt;&lt;item&gt;2455&lt;/item&gt;&lt;item&gt;2457&lt;/item&gt;&lt;item&gt;2459&lt;/item&gt;&lt;item&gt;2463&lt;/item&gt;&lt;item&gt;2480&lt;/item&gt;&lt;item&gt;2482&lt;/item&gt;&lt;item&gt;2485&lt;/item&gt;&lt;item&gt;2500&lt;/item&gt;&lt;item&gt;2509&lt;/item&gt;&lt;item&gt;2522&lt;/item&gt;&lt;item&gt;2559&lt;/item&gt;&lt;item&gt;2568&lt;/item&gt;&lt;item&gt;2575&lt;/item&gt;&lt;item&gt;2576&lt;/item&gt;&lt;item&gt;2577&lt;/item&gt;&lt;item&gt;2578&lt;/item&gt;&lt;item&gt;2580&lt;/item&gt;&lt;item&gt;2581&lt;/item&gt;&lt;item&gt;2584&lt;/item&gt;&lt;item&gt;2587&lt;/item&gt;&lt;item&gt;2588&lt;/item&gt;&lt;item&gt;2589&lt;/item&gt;&lt;item&gt;2590&lt;/item&gt;&lt;item&gt;2591&lt;/item&gt;&lt;item&gt;2595&lt;/item&gt;&lt;item&gt;2994&lt;/item&gt;&lt;item&gt;2995&lt;/item&gt;&lt;item&gt;2996&lt;/item&gt;&lt;item&gt;2997&lt;/item&gt;&lt;item&gt;2998&lt;/item&gt;&lt;item&gt;2999&lt;/item&gt;&lt;item&gt;3000&lt;/item&gt;&lt;item&gt;3001&lt;/item&gt;&lt;item&gt;3002&lt;/item&gt;&lt;item&gt;3003&lt;/item&gt;&lt;item&gt;3004&lt;/item&gt;&lt;item&gt;3039&lt;/item&gt;&lt;item&gt;3413&lt;/item&gt;&lt;item&gt;3414&lt;/item&gt;&lt;item&gt;3421&lt;/item&gt;&lt;item&gt;3422&lt;/item&gt;&lt;item&gt;3529&lt;/item&gt;&lt;item&gt;3536&lt;/item&gt;&lt;item&gt;3537&lt;/item&gt;&lt;item&gt;3540&lt;/item&gt;&lt;item&gt;3543&lt;/item&gt;&lt;/record-ids&gt;&lt;/item&gt;&lt;/Libraries&gt;"/>
  </w:docVars>
  <w:rsids>
    <w:rsidRoot w:val="00721727"/>
    <w:rsid w:val="0000034E"/>
    <w:rsid w:val="00000AA6"/>
    <w:rsid w:val="00000ABC"/>
    <w:rsid w:val="00001016"/>
    <w:rsid w:val="000028A3"/>
    <w:rsid w:val="0000411D"/>
    <w:rsid w:val="00004409"/>
    <w:rsid w:val="000046E4"/>
    <w:rsid w:val="00005638"/>
    <w:rsid w:val="000059A6"/>
    <w:rsid w:val="00013433"/>
    <w:rsid w:val="000150D4"/>
    <w:rsid w:val="00016198"/>
    <w:rsid w:val="000162AB"/>
    <w:rsid w:val="00017271"/>
    <w:rsid w:val="00023685"/>
    <w:rsid w:val="000259BC"/>
    <w:rsid w:val="000266B7"/>
    <w:rsid w:val="0003114F"/>
    <w:rsid w:val="00031D37"/>
    <w:rsid w:val="00031E1E"/>
    <w:rsid w:val="000353FD"/>
    <w:rsid w:val="00035CCD"/>
    <w:rsid w:val="00036012"/>
    <w:rsid w:val="00036A6A"/>
    <w:rsid w:val="0003752D"/>
    <w:rsid w:val="00037807"/>
    <w:rsid w:val="00043A60"/>
    <w:rsid w:val="00044F1E"/>
    <w:rsid w:val="0004641A"/>
    <w:rsid w:val="0004670C"/>
    <w:rsid w:val="000503E5"/>
    <w:rsid w:val="00050F70"/>
    <w:rsid w:val="00051623"/>
    <w:rsid w:val="0005296C"/>
    <w:rsid w:val="0005481B"/>
    <w:rsid w:val="00055EF0"/>
    <w:rsid w:val="000562F5"/>
    <w:rsid w:val="00056493"/>
    <w:rsid w:val="00057611"/>
    <w:rsid w:val="000602AE"/>
    <w:rsid w:val="00060500"/>
    <w:rsid w:val="000614CF"/>
    <w:rsid w:val="00063E2A"/>
    <w:rsid w:val="00066604"/>
    <w:rsid w:val="00067C9B"/>
    <w:rsid w:val="0007048D"/>
    <w:rsid w:val="000732B6"/>
    <w:rsid w:val="000742E2"/>
    <w:rsid w:val="00074764"/>
    <w:rsid w:val="00075588"/>
    <w:rsid w:val="00076079"/>
    <w:rsid w:val="000760EF"/>
    <w:rsid w:val="00076831"/>
    <w:rsid w:val="0008071C"/>
    <w:rsid w:val="000822AD"/>
    <w:rsid w:val="00082A2F"/>
    <w:rsid w:val="000865F1"/>
    <w:rsid w:val="00086ADD"/>
    <w:rsid w:val="000907FA"/>
    <w:rsid w:val="00090EF0"/>
    <w:rsid w:val="000934E2"/>
    <w:rsid w:val="00093642"/>
    <w:rsid w:val="00093ECA"/>
    <w:rsid w:val="00096F81"/>
    <w:rsid w:val="0009707F"/>
    <w:rsid w:val="000979BE"/>
    <w:rsid w:val="000A0927"/>
    <w:rsid w:val="000A0E4D"/>
    <w:rsid w:val="000A74D2"/>
    <w:rsid w:val="000B6756"/>
    <w:rsid w:val="000B7164"/>
    <w:rsid w:val="000B7FD6"/>
    <w:rsid w:val="000C3E65"/>
    <w:rsid w:val="000C4E6E"/>
    <w:rsid w:val="000C5FA5"/>
    <w:rsid w:val="000C63DB"/>
    <w:rsid w:val="000C72B2"/>
    <w:rsid w:val="000C7A35"/>
    <w:rsid w:val="000D1E0E"/>
    <w:rsid w:val="000D2212"/>
    <w:rsid w:val="000D32C7"/>
    <w:rsid w:val="000D48EA"/>
    <w:rsid w:val="000D5870"/>
    <w:rsid w:val="000D62B8"/>
    <w:rsid w:val="000D6F25"/>
    <w:rsid w:val="000E033F"/>
    <w:rsid w:val="000E2443"/>
    <w:rsid w:val="000E3746"/>
    <w:rsid w:val="000E4665"/>
    <w:rsid w:val="000E5DD3"/>
    <w:rsid w:val="000E6804"/>
    <w:rsid w:val="000F031C"/>
    <w:rsid w:val="000F0EBA"/>
    <w:rsid w:val="000F116B"/>
    <w:rsid w:val="000F1425"/>
    <w:rsid w:val="000F2894"/>
    <w:rsid w:val="000F2E5E"/>
    <w:rsid w:val="000F3D97"/>
    <w:rsid w:val="000F47FD"/>
    <w:rsid w:val="000F4815"/>
    <w:rsid w:val="000F5E43"/>
    <w:rsid w:val="000F5F7F"/>
    <w:rsid w:val="000F746D"/>
    <w:rsid w:val="001020B1"/>
    <w:rsid w:val="001022BF"/>
    <w:rsid w:val="001045AE"/>
    <w:rsid w:val="0010494D"/>
    <w:rsid w:val="00104A8D"/>
    <w:rsid w:val="0011320C"/>
    <w:rsid w:val="001146E0"/>
    <w:rsid w:val="0011506B"/>
    <w:rsid w:val="0011541A"/>
    <w:rsid w:val="00116B57"/>
    <w:rsid w:val="00117904"/>
    <w:rsid w:val="001207FE"/>
    <w:rsid w:val="0012093C"/>
    <w:rsid w:val="00120E4E"/>
    <w:rsid w:val="00130AA9"/>
    <w:rsid w:val="0013248A"/>
    <w:rsid w:val="00133D94"/>
    <w:rsid w:val="00134E16"/>
    <w:rsid w:val="001375C0"/>
    <w:rsid w:val="0013783A"/>
    <w:rsid w:val="00140080"/>
    <w:rsid w:val="001405F8"/>
    <w:rsid w:val="00145338"/>
    <w:rsid w:val="00147DF9"/>
    <w:rsid w:val="00147F6A"/>
    <w:rsid w:val="00152FD1"/>
    <w:rsid w:val="00153438"/>
    <w:rsid w:val="00154849"/>
    <w:rsid w:val="001566AE"/>
    <w:rsid w:val="001574D5"/>
    <w:rsid w:val="001627D2"/>
    <w:rsid w:val="00162E0A"/>
    <w:rsid w:val="00164E10"/>
    <w:rsid w:val="00165E5F"/>
    <w:rsid w:val="00167F47"/>
    <w:rsid w:val="00173BFB"/>
    <w:rsid w:val="00173F08"/>
    <w:rsid w:val="00175FFE"/>
    <w:rsid w:val="00176D38"/>
    <w:rsid w:val="0018136E"/>
    <w:rsid w:val="0018426B"/>
    <w:rsid w:val="001858C8"/>
    <w:rsid w:val="00187F83"/>
    <w:rsid w:val="001902EA"/>
    <w:rsid w:val="00191EAB"/>
    <w:rsid w:val="00192776"/>
    <w:rsid w:val="00192874"/>
    <w:rsid w:val="0019315A"/>
    <w:rsid w:val="00193177"/>
    <w:rsid w:val="00194371"/>
    <w:rsid w:val="00195AA3"/>
    <w:rsid w:val="00195EDD"/>
    <w:rsid w:val="001966CE"/>
    <w:rsid w:val="001A06E6"/>
    <w:rsid w:val="001A22CA"/>
    <w:rsid w:val="001A2729"/>
    <w:rsid w:val="001A29D8"/>
    <w:rsid w:val="001A37CF"/>
    <w:rsid w:val="001A42A2"/>
    <w:rsid w:val="001A47B2"/>
    <w:rsid w:val="001A4E86"/>
    <w:rsid w:val="001B426C"/>
    <w:rsid w:val="001B4E5B"/>
    <w:rsid w:val="001B5D3B"/>
    <w:rsid w:val="001C0379"/>
    <w:rsid w:val="001C0EDB"/>
    <w:rsid w:val="001C1736"/>
    <w:rsid w:val="001C1D23"/>
    <w:rsid w:val="001C304B"/>
    <w:rsid w:val="001C6CAC"/>
    <w:rsid w:val="001C6FAD"/>
    <w:rsid w:val="001D1048"/>
    <w:rsid w:val="001D192D"/>
    <w:rsid w:val="001D3F73"/>
    <w:rsid w:val="001D5F79"/>
    <w:rsid w:val="001D6A74"/>
    <w:rsid w:val="001D7721"/>
    <w:rsid w:val="001E19B1"/>
    <w:rsid w:val="001E1D42"/>
    <w:rsid w:val="001E39F9"/>
    <w:rsid w:val="001E3A69"/>
    <w:rsid w:val="001E4C21"/>
    <w:rsid w:val="001E61E2"/>
    <w:rsid w:val="001E66B7"/>
    <w:rsid w:val="001E7516"/>
    <w:rsid w:val="001E79BC"/>
    <w:rsid w:val="001F0B90"/>
    <w:rsid w:val="001F14A9"/>
    <w:rsid w:val="001F24B0"/>
    <w:rsid w:val="001F2547"/>
    <w:rsid w:val="001F2D98"/>
    <w:rsid w:val="001F2E9C"/>
    <w:rsid w:val="001F4A65"/>
    <w:rsid w:val="001F696B"/>
    <w:rsid w:val="001F74F1"/>
    <w:rsid w:val="002005F9"/>
    <w:rsid w:val="0020184B"/>
    <w:rsid w:val="002018FF"/>
    <w:rsid w:val="002039E2"/>
    <w:rsid w:val="00204021"/>
    <w:rsid w:val="00204B3C"/>
    <w:rsid w:val="0020563C"/>
    <w:rsid w:val="00206AA9"/>
    <w:rsid w:val="0021189F"/>
    <w:rsid w:val="00212AC5"/>
    <w:rsid w:val="00213FC0"/>
    <w:rsid w:val="002150E2"/>
    <w:rsid w:val="0021536C"/>
    <w:rsid w:val="002158AA"/>
    <w:rsid w:val="00217029"/>
    <w:rsid w:val="0021736F"/>
    <w:rsid w:val="00220C0E"/>
    <w:rsid w:val="00220DA2"/>
    <w:rsid w:val="0022162C"/>
    <w:rsid w:val="00222D8C"/>
    <w:rsid w:val="002237E4"/>
    <w:rsid w:val="00223AD4"/>
    <w:rsid w:val="00225E65"/>
    <w:rsid w:val="002265F4"/>
    <w:rsid w:val="00232EAD"/>
    <w:rsid w:val="0023784A"/>
    <w:rsid w:val="00242BE0"/>
    <w:rsid w:val="00242FBA"/>
    <w:rsid w:val="00244520"/>
    <w:rsid w:val="00245273"/>
    <w:rsid w:val="00245F09"/>
    <w:rsid w:val="00246096"/>
    <w:rsid w:val="002500D6"/>
    <w:rsid w:val="00253733"/>
    <w:rsid w:val="00253816"/>
    <w:rsid w:val="0025460D"/>
    <w:rsid w:val="00254C22"/>
    <w:rsid w:val="00255021"/>
    <w:rsid w:val="002553D4"/>
    <w:rsid w:val="00256227"/>
    <w:rsid w:val="00264AAC"/>
    <w:rsid w:val="00265E5F"/>
    <w:rsid w:val="00270B23"/>
    <w:rsid w:val="002716BA"/>
    <w:rsid w:val="002720BA"/>
    <w:rsid w:val="00272482"/>
    <w:rsid w:val="0027559B"/>
    <w:rsid w:val="002770FF"/>
    <w:rsid w:val="002804F0"/>
    <w:rsid w:val="00280A3B"/>
    <w:rsid w:val="00280C3F"/>
    <w:rsid w:val="00280EDE"/>
    <w:rsid w:val="00282210"/>
    <w:rsid w:val="00283D5C"/>
    <w:rsid w:val="00283EA9"/>
    <w:rsid w:val="00285482"/>
    <w:rsid w:val="0028585A"/>
    <w:rsid w:val="00285AF8"/>
    <w:rsid w:val="002860CC"/>
    <w:rsid w:val="00286B85"/>
    <w:rsid w:val="002879D9"/>
    <w:rsid w:val="00291036"/>
    <w:rsid w:val="00293C80"/>
    <w:rsid w:val="0029495D"/>
    <w:rsid w:val="00296447"/>
    <w:rsid w:val="00296508"/>
    <w:rsid w:val="00297436"/>
    <w:rsid w:val="002A008E"/>
    <w:rsid w:val="002A0265"/>
    <w:rsid w:val="002A1A43"/>
    <w:rsid w:val="002A1DC5"/>
    <w:rsid w:val="002A2750"/>
    <w:rsid w:val="002A28C7"/>
    <w:rsid w:val="002A29AC"/>
    <w:rsid w:val="002A31F4"/>
    <w:rsid w:val="002A42C2"/>
    <w:rsid w:val="002B00F0"/>
    <w:rsid w:val="002B108B"/>
    <w:rsid w:val="002B2E8E"/>
    <w:rsid w:val="002B4715"/>
    <w:rsid w:val="002B54AF"/>
    <w:rsid w:val="002B5C93"/>
    <w:rsid w:val="002B7C67"/>
    <w:rsid w:val="002C1BCA"/>
    <w:rsid w:val="002C1D64"/>
    <w:rsid w:val="002C41BD"/>
    <w:rsid w:val="002C4260"/>
    <w:rsid w:val="002C544A"/>
    <w:rsid w:val="002C5F9D"/>
    <w:rsid w:val="002C6485"/>
    <w:rsid w:val="002D2821"/>
    <w:rsid w:val="002D29E5"/>
    <w:rsid w:val="002D3317"/>
    <w:rsid w:val="002D63D8"/>
    <w:rsid w:val="002D75D4"/>
    <w:rsid w:val="002E094B"/>
    <w:rsid w:val="002E2572"/>
    <w:rsid w:val="002E27D1"/>
    <w:rsid w:val="002E2C4C"/>
    <w:rsid w:val="002E33F6"/>
    <w:rsid w:val="002E53A1"/>
    <w:rsid w:val="002E79CB"/>
    <w:rsid w:val="002E7F26"/>
    <w:rsid w:val="002F14B3"/>
    <w:rsid w:val="002F14BE"/>
    <w:rsid w:val="002F38B1"/>
    <w:rsid w:val="002F46DA"/>
    <w:rsid w:val="002F754D"/>
    <w:rsid w:val="0030062E"/>
    <w:rsid w:val="003006A2"/>
    <w:rsid w:val="00300C30"/>
    <w:rsid w:val="0030262F"/>
    <w:rsid w:val="00302926"/>
    <w:rsid w:val="0030300B"/>
    <w:rsid w:val="00303300"/>
    <w:rsid w:val="00304BC7"/>
    <w:rsid w:val="003057A6"/>
    <w:rsid w:val="00310436"/>
    <w:rsid w:val="00314266"/>
    <w:rsid w:val="003200EA"/>
    <w:rsid w:val="00320821"/>
    <w:rsid w:val="00321561"/>
    <w:rsid w:val="00324608"/>
    <w:rsid w:val="00324EF7"/>
    <w:rsid w:val="00330D41"/>
    <w:rsid w:val="0033209E"/>
    <w:rsid w:val="00332CED"/>
    <w:rsid w:val="003366D1"/>
    <w:rsid w:val="00337279"/>
    <w:rsid w:val="0034089A"/>
    <w:rsid w:val="00342AA0"/>
    <w:rsid w:val="003431E6"/>
    <w:rsid w:val="0034577C"/>
    <w:rsid w:val="0034692A"/>
    <w:rsid w:val="00347657"/>
    <w:rsid w:val="00347692"/>
    <w:rsid w:val="0035316E"/>
    <w:rsid w:val="00353283"/>
    <w:rsid w:val="0035421F"/>
    <w:rsid w:val="00355BB3"/>
    <w:rsid w:val="003574C7"/>
    <w:rsid w:val="003606A2"/>
    <w:rsid w:val="00361087"/>
    <w:rsid w:val="00361843"/>
    <w:rsid w:val="0036189E"/>
    <w:rsid w:val="00363314"/>
    <w:rsid w:val="0036478F"/>
    <w:rsid w:val="00365053"/>
    <w:rsid w:val="00365E9E"/>
    <w:rsid w:val="00367B9A"/>
    <w:rsid w:val="00367D59"/>
    <w:rsid w:val="0037037A"/>
    <w:rsid w:val="00370CA0"/>
    <w:rsid w:val="00371220"/>
    <w:rsid w:val="00372555"/>
    <w:rsid w:val="00375A56"/>
    <w:rsid w:val="00375E8B"/>
    <w:rsid w:val="0037646F"/>
    <w:rsid w:val="003772C8"/>
    <w:rsid w:val="0037755B"/>
    <w:rsid w:val="00381555"/>
    <w:rsid w:val="00381FC0"/>
    <w:rsid w:val="00382248"/>
    <w:rsid w:val="00382480"/>
    <w:rsid w:val="00382E99"/>
    <w:rsid w:val="0038375E"/>
    <w:rsid w:val="0038426C"/>
    <w:rsid w:val="003860E7"/>
    <w:rsid w:val="003862AD"/>
    <w:rsid w:val="00387CE1"/>
    <w:rsid w:val="00391545"/>
    <w:rsid w:val="00391EB2"/>
    <w:rsid w:val="00392894"/>
    <w:rsid w:val="00393322"/>
    <w:rsid w:val="00393B7C"/>
    <w:rsid w:val="003941D1"/>
    <w:rsid w:val="00394793"/>
    <w:rsid w:val="003949BE"/>
    <w:rsid w:val="00397E56"/>
    <w:rsid w:val="003A0FDA"/>
    <w:rsid w:val="003A1211"/>
    <w:rsid w:val="003A27AB"/>
    <w:rsid w:val="003A328E"/>
    <w:rsid w:val="003A406B"/>
    <w:rsid w:val="003A6105"/>
    <w:rsid w:val="003A636B"/>
    <w:rsid w:val="003B21BA"/>
    <w:rsid w:val="003C0AE5"/>
    <w:rsid w:val="003C134B"/>
    <w:rsid w:val="003C1928"/>
    <w:rsid w:val="003C2766"/>
    <w:rsid w:val="003C4B43"/>
    <w:rsid w:val="003C54EA"/>
    <w:rsid w:val="003C72A7"/>
    <w:rsid w:val="003D0647"/>
    <w:rsid w:val="003D12C0"/>
    <w:rsid w:val="003D2E73"/>
    <w:rsid w:val="003D38F0"/>
    <w:rsid w:val="003D40F5"/>
    <w:rsid w:val="003E0367"/>
    <w:rsid w:val="003E181D"/>
    <w:rsid w:val="003E3D60"/>
    <w:rsid w:val="003E41AC"/>
    <w:rsid w:val="003E4890"/>
    <w:rsid w:val="003F10D4"/>
    <w:rsid w:val="003F4236"/>
    <w:rsid w:val="003F5F73"/>
    <w:rsid w:val="003F5FDE"/>
    <w:rsid w:val="003F785A"/>
    <w:rsid w:val="003F78FB"/>
    <w:rsid w:val="003F7A67"/>
    <w:rsid w:val="0040152E"/>
    <w:rsid w:val="00401BFA"/>
    <w:rsid w:val="00404542"/>
    <w:rsid w:val="00405306"/>
    <w:rsid w:val="004057BC"/>
    <w:rsid w:val="00405DB7"/>
    <w:rsid w:val="00406056"/>
    <w:rsid w:val="00406B37"/>
    <w:rsid w:val="00407A0E"/>
    <w:rsid w:val="00412FD0"/>
    <w:rsid w:val="00415BFA"/>
    <w:rsid w:val="004160C8"/>
    <w:rsid w:val="004167F9"/>
    <w:rsid w:val="00421AE6"/>
    <w:rsid w:val="0042310F"/>
    <w:rsid w:val="004258B9"/>
    <w:rsid w:val="00427567"/>
    <w:rsid w:val="00432DE9"/>
    <w:rsid w:val="004363F4"/>
    <w:rsid w:val="00437CCF"/>
    <w:rsid w:val="00442339"/>
    <w:rsid w:val="0044234C"/>
    <w:rsid w:val="004423FD"/>
    <w:rsid w:val="00444B90"/>
    <w:rsid w:val="00445E14"/>
    <w:rsid w:val="0044675E"/>
    <w:rsid w:val="0045109A"/>
    <w:rsid w:val="004562AD"/>
    <w:rsid w:val="004604DE"/>
    <w:rsid w:val="004609BB"/>
    <w:rsid w:val="004638FE"/>
    <w:rsid w:val="00465698"/>
    <w:rsid w:val="00465A4C"/>
    <w:rsid w:val="0047098B"/>
    <w:rsid w:val="00470E5B"/>
    <w:rsid w:val="00471A50"/>
    <w:rsid w:val="00471C41"/>
    <w:rsid w:val="00473958"/>
    <w:rsid w:val="004772EB"/>
    <w:rsid w:val="00477444"/>
    <w:rsid w:val="00477875"/>
    <w:rsid w:val="004821CD"/>
    <w:rsid w:val="004877E7"/>
    <w:rsid w:val="00487B55"/>
    <w:rsid w:val="00490248"/>
    <w:rsid w:val="004905C8"/>
    <w:rsid w:val="0049188B"/>
    <w:rsid w:val="0049229A"/>
    <w:rsid w:val="00492D72"/>
    <w:rsid w:val="00492D85"/>
    <w:rsid w:val="004940B4"/>
    <w:rsid w:val="00494468"/>
    <w:rsid w:val="00497247"/>
    <w:rsid w:val="00497249"/>
    <w:rsid w:val="004A178F"/>
    <w:rsid w:val="004A4E9E"/>
    <w:rsid w:val="004A5089"/>
    <w:rsid w:val="004B2396"/>
    <w:rsid w:val="004B26C3"/>
    <w:rsid w:val="004B2CCB"/>
    <w:rsid w:val="004B48BC"/>
    <w:rsid w:val="004B69A5"/>
    <w:rsid w:val="004C171D"/>
    <w:rsid w:val="004C2C00"/>
    <w:rsid w:val="004C366D"/>
    <w:rsid w:val="004C4906"/>
    <w:rsid w:val="004C49CA"/>
    <w:rsid w:val="004C67EF"/>
    <w:rsid w:val="004D0146"/>
    <w:rsid w:val="004D04EE"/>
    <w:rsid w:val="004D1293"/>
    <w:rsid w:val="004D2D3F"/>
    <w:rsid w:val="004D4952"/>
    <w:rsid w:val="004D5FE2"/>
    <w:rsid w:val="004E131A"/>
    <w:rsid w:val="004E13D0"/>
    <w:rsid w:val="004E3FD9"/>
    <w:rsid w:val="004E41A8"/>
    <w:rsid w:val="004E63A4"/>
    <w:rsid w:val="004E7561"/>
    <w:rsid w:val="004E7FB8"/>
    <w:rsid w:val="004F1484"/>
    <w:rsid w:val="004F2317"/>
    <w:rsid w:val="004F2C93"/>
    <w:rsid w:val="004F2E3F"/>
    <w:rsid w:val="004F39D1"/>
    <w:rsid w:val="004F62CB"/>
    <w:rsid w:val="004F783A"/>
    <w:rsid w:val="005001AF"/>
    <w:rsid w:val="0050037F"/>
    <w:rsid w:val="00502098"/>
    <w:rsid w:val="00503102"/>
    <w:rsid w:val="005070E0"/>
    <w:rsid w:val="00507F2F"/>
    <w:rsid w:val="0051081D"/>
    <w:rsid w:val="00512BD3"/>
    <w:rsid w:val="005131C3"/>
    <w:rsid w:val="00513521"/>
    <w:rsid w:val="0051387E"/>
    <w:rsid w:val="00517905"/>
    <w:rsid w:val="0052351D"/>
    <w:rsid w:val="00524092"/>
    <w:rsid w:val="005278B7"/>
    <w:rsid w:val="00527FFD"/>
    <w:rsid w:val="00534932"/>
    <w:rsid w:val="0053700A"/>
    <w:rsid w:val="00540B2B"/>
    <w:rsid w:val="00543E67"/>
    <w:rsid w:val="005452BB"/>
    <w:rsid w:val="00547AE0"/>
    <w:rsid w:val="00547DD3"/>
    <w:rsid w:val="00550BEB"/>
    <w:rsid w:val="005537FC"/>
    <w:rsid w:val="005541A0"/>
    <w:rsid w:val="005551C8"/>
    <w:rsid w:val="005551DE"/>
    <w:rsid w:val="0055658E"/>
    <w:rsid w:val="00556E1F"/>
    <w:rsid w:val="00560A87"/>
    <w:rsid w:val="00561B84"/>
    <w:rsid w:val="00561DD6"/>
    <w:rsid w:val="00563009"/>
    <w:rsid w:val="005630D2"/>
    <w:rsid w:val="00563DDA"/>
    <w:rsid w:val="005668F0"/>
    <w:rsid w:val="00566E1F"/>
    <w:rsid w:val="0057027B"/>
    <w:rsid w:val="005719BA"/>
    <w:rsid w:val="005738F0"/>
    <w:rsid w:val="00574A74"/>
    <w:rsid w:val="00575DB1"/>
    <w:rsid w:val="00576768"/>
    <w:rsid w:val="00580387"/>
    <w:rsid w:val="0058399F"/>
    <w:rsid w:val="00585181"/>
    <w:rsid w:val="00585741"/>
    <w:rsid w:val="005863D4"/>
    <w:rsid w:val="00590D15"/>
    <w:rsid w:val="0059194E"/>
    <w:rsid w:val="0059475F"/>
    <w:rsid w:val="005947E0"/>
    <w:rsid w:val="005960A2"/>
    <w:rsid w:val="005969D7"/>
    <w:rsid w:val="005975E4"/>
    <w:rsid w:val="005A17AB"/>
    <w:rsid w:val="005A218C"/>
    <w:rsid w:val="005A4D63"/>
    <w:rsid w:val="005A63ED"/>
    <w:rsid w:val="005B09CD"/>
    <w:rsid w:val="005B0B4D"/>
    <w:rsid w:val="005B1144"/>
    <w:rsid w:val="005B2158"/>
    <w:rsid w:val="005B4407"/>
    <w:rsid w:val="005B4D79"/>
    <w:rsid w:val="005B5085"/>
    <w:rsid w:val="005B633D"/>
    <w:rsid w:val="005B73DE"/>
    <w:rsid w:val="005B79BD"/>
    <w:rsid w:val="005C1C23"/>
    <w:rsid w:val="005C415A"/>
    <w:rsid w:val="005C4399"/>
    <w:rsid w:val="005C45BE"/>
    <w:rsid w:val="005C5048"/>
    <w:rsid w:val="005C6877"/>
    <w:rsid w:val="005C7C7F"/>
    <w:rsid w:val="005D1283"/>
    <w:rsid w:val="005D15B4"/>
    <w:rsid w:val="005D1823"/>
    <w:rsid w:val="005D1F9A"/>
    <w:rsid w:val="005E175A"/>
    <w:rsid w:val="005E52D2"/>
    <w:rsid w:val="005E5A99"/>
    <w:rsid w:val="005E5FE1"/>
    <w:rsid w:val="005E70E8"/>
    <w:rsid w:val="005E7A56"/>
    <w:rsid w:val="005F1798"/>
    <w:rsid w:val="005F1B7F"/>
    <w:rsid w:val="005F608C"/>
    <w:rsid w:val="005F7222"/>
    <w:rsid w:val="0060146C"/>
    <w:rsid w:val="00605CE8"/>
    <w:rsid w:val="00606016"/>
    <w:rsid w:val="00607B17"/>
    <w:rsid w:val="00610724"/>
    <w:rsid w:val="00612926"/>
    <w:rsid w:val="0061445C"/>
    <w:rsid w:val="00614623"/>
    <w:rsid w:val="006212E1"/>
    <w:rsid w:val="00622172"/>
    <w:rsid w:val="0062342B"/>
    <w:rsid w:val="0062576B"/>
    <w:rsid w:val="00627ACF"/>
    <w:rsid w:val="0063120A"/>
    <w:rsid w:val="00634B7E"/>
    <w:rsid w:val="00636151"/>
    <w:rsid w:val="00637638"/>
    <w:rsid w:val="00640B42"/>
    <w:rsid w:val="00640DA3"/>
    <w:rsid w:val="00641559"/>
    <w:rsid w:val="0064374F"/>
    <w:rsid w:val="00644AC8"/>
    <w:rsid w:val="006453CB"/>
    <w:rsid w:val="00646457"/>
    <w:rsid w:val="006472F5"/>
    <w:rsid w:val="00647CFC"/>
    <w:rsid w:val="00653B32"/>
    <w:rsid w:val="00653C9D"/>
    <w:rsid w:val="006543CF"/>
    <w:rsid w:val="006557D6"/>
    <w:rsid w:val="006562DA"/>
    <w:rsid w:val="006625E7"/>
    <w:rsid w:val="0066435B"/>
    <w:rsid w:val="006645F5"/>
    <w:rsid w:val="00664B43"/>
    <w:rsid w:val="00665E38"/>
    <w:rsid w:val="00665F64"/>
    <w:rsid w:val="0066707E"/>
    <w:rsid w:val="006706AB"/>
    <w:rsid w:val="00670AC6"/>
    <w:rsid w:val="00670D90"/>
    <w:rsid w:val="00671B77"/>
    <w:rsid w:val="00673A63"/>
    <w:rsid w:val="00673BFC"/>
    <w:rsid w:val="00674C7E"/>
    <w:rsid w:val="00675C61"/>
    <w:rsid w:val="00677643"/>
    <w:rsid w:val="006816D6"/>
    <w:rsid w:val="00681ED6"/>
    <w:rsid w:val="00681F2B"/>
    <w:rsid w:val="006830E9"/>
    <w:rsid w:val="00683123"/>
    <w:rsid w:val="006842D7"/>
    <w:rsid w:val="00684893"/>
    <w:rsid w:val="00686C31"/>
    <w:rsid w:val="00687089"/>
    <w:rsid w:val="0069392D"/>
    <w:rsid w:val="006952D2"/>
    <w:rsid w:val="006A0682"/>
    <w:rsid w:val="006A0E05"/>
    <w:rsid w:val="006A1B5F"/>
    <w:rsid w:val="006A2441"/>
    <w:rsid w:val="006A2CD6"/>
    <w:rsid w:val="006A352F"/>
    <w:rsid w:val="006A369B"/>
    <w:rsid w:val="006A3EA1"/>
    <w:rsid w:val="006A49EA"/>
    <w:rsid w:val="006B371A"/>
    <w:rsid w:val="006B6B8C"/>
    <w:rsid w:val="006C1F86"/>
    <w:rsid w:val="006C472A"/>
    <w:rsid w:val="006D1033"/>
    <w:rsid w:val="006D4081"/>
    <w:rsid w:val="006D540C"/>
    <w:rsid w:val="006D59BC"/>
    <w:rsid w:val="006D5CAE"/>
    <w:rsid w:val="006D5E87"/>
    <w:rsid w:val="006D7627"/>
    <w:rsid w:val="006E0711"/>
    <w:rsid w:val="006E1A6F"/>
    <w:rsid w:val="006E2123"/>
    <w:rsid w:val="006E50BC"/>
    <w:rsid w:val="006E6DF8"/>
    <w:rsid w:val="006E75D7"/>
    <w:rsid w:val="006E79EA"/>
    <w:rsid w:val="006E7D2F"/>
    <w:rsid w:val="006F24EC"/>
    <w:rsid w:val="006F37FC"/>
    <w:rsid w:val="006F482F"/>
    <w:rsid w:val="006F6E6D"/>
    <w:rsid w:val="00700E9F"/>
    <w:rsid w:val="0070129F"/>
    <w:rsid w:val="00702585"/>
    <w:rsid w:val="0070407B"/>
    <w:rsid w:val="00704FA0"/>
    <w:rsid w:val="00704FB9"/>
    <w:rsid w:val="007050C7"/>
    <w:rsid w:val="0070627F"/>
    <w:rsid w:val="00713CB9"/>
    <w:rsid w:val="007172F8"/>
    <w:rsid w:val="00717A39"/>
    <w:rsid w:val="0072086A"/>
    <w:rsid w:val="0072101C"/>
    <w:rsid w:val="00721727"/>
    <w:rsid w:val="007227A4"/>
    <w:rsid w:val="007232C0"/>
    <w:rsid w:val="0072376B"/>
    <w:rsid w:val="00726564"/>
    <w:rsid w:val="00726DC1"/>
    <w:rsid w:val="0072705F"/>
    <w:rsid w:val="00731D4A"/>
    <w:rsid w:val="007326C0"/>
    <w:rsid w:val="00733C2B"/>
    <w:rsid w:val="00736258"/>
    <w:rsid w:val="00737905"/>
    <w:rsid w:val="00741270"/>
    <w:rsid w:val="00742300"/>
    <w:rsid w:val="00743672"/>
    <w:rsid w:val="00744630"/>
    <w:rsid w:val="007505C2"/>
    <w:rsid w:val="00751F2E"/>
    <w:rsid w:val="0075236F"/>
    <w:rsid w:val="007530A5"/>
    <w:rsid w:val="00755E2A"/>
    <w:rsid w:val="007579F0"/>
    <w:rsid w:val="007621F0"/>
    <w:rsid w:val="0076221A"/>
    <w:rsid w:val="0076301F"/>
    <w:rsid w:val="00763B8D"/>
    <w:rsid w:val="0076415C"/>
    <w:rsid w:val="00765043"/>
    <w:rsid w:val="00765435"/>
    <w:rsid w:val="00765C3E"/>
    <w:rsid w:val="007665DD"/>
    <w:rsid w:val="00770522"/>
    <w:rsid w:val="00770FAC"/>
    <w:rsid w:val="00771A66"/>
    <w:rsid w:val="00775048"/>
    <w:rsid w:val="007758C8"/>
    <w:rsid w:val="00775A9C"/>
    <w:rsid w:val="0078214F"/>
    <w:rsid w:val="00786343"/>
    <w:rsid w:val="00787303"/>
    <w:rsid w:val="00790928"/>
    <w:rsid w:val="00791305"/>
    <w:rsid w:val="007925C9"/>
    <w:rsid w:val="00792841"/>
    <w:rsid w:val="00792BA3"/>
    <w:rsid w:val="00793ECE"/>
    <w:rsid w:val="00794EA9"/>
    <w:rsid w:val="00795D84"/>
    <w:rsid w:val="0079611C"/>
    <w:rsid w:val="007A040A"/>
    <w:rsid w:val="007A19CA"/>
    <w:rsid w:val="007A6B45"/>
    <w:rsid w:val="007B0E66"/>
    <w:rsid w:val="007B2FB3"/>
    <w:rsid w:val="007B2FEB"/>
    <w:rsid w:val="007B30A0"/>
    <w:rsid w:val="007B5344"/>
    <w:rsid w:val="007B5818"/>
    <w:rsid w:val="007B6AB3"/>
    <w:rsid w:val="007B7B29"/>
    <w:rsid w:val="007C34A6"/>
    <w:rsid w:val="007C705D"/>
    <w:rsid w:val="007D3440"/>
    <w:rsid w:val="007D34A7"/>
    <w:rsid w:val="007D3D08"/>
    <w:rsid w:val="007D3E88"/>
    <w:rsid w:val="007D64CC"/>
    <w:rsid w:val="007D6B3E"/>
    <w:rsid w:val="007D6D93"/>
    <w:rsid w:val="007E3F8F"/>
    <w:rsid w:val="007E438F"/>
    <w:rsid w:val="007E53CD"/>
    <w:rsid w:val="007E70B5"/>
    <w:rsid w:val="007E7AE7"/>
    <w:rsid w:val="007F0A7D"/>
    <w:rsid w:val="007F108D"/>
    <w:rsid w:val="007F1883"/>
    <w:rsid w:val="007F206F"/>
    <w:rsid w:val="008006A5"/>
    <w:rsid w:val="00800B07"/>
    <w:rsid w:val="00800ECC"/>
    <w:rsid w:val="00802099"/>
    <w:rsid w:val="00803502"/>
    <w:rsid w:val="008048C8"/>
    <w:rsid w:val="0080497D"/>
    <w:rsid w:val="00805C5B"/>
    <w:rsid w:val="00806732"/>
    <w:rsid w:val="00806D32"/>
    <w:rsid w:val="0080789E"/>
    <w:rsid w:val="008104C6"/>
    <w:rsid w:val="00812AAB"/>
    <w:rsid w:val="00812BA7"/>
    <w:rsid w:val="00813569"/>
    <w:rsid w:val="00815D18"/>
    <w:rsid w:val="0081609B"/>
    <w:rsid w:val="00821AD7"/>
    <w:rsid w:val="00823B60"/>
    <w:rsid w:val="00823C68"/>
    <w:rsid w:val="008267C7"/>
    <w:rsid w:val="00827C6A"/>
    <w:rsid w:val="00827EFD"/>
    <w:rsid w:val="00830FB0"/>
    <w:rsid w:val="008313F3"/>
    <w:rsid w:val="00833FAA"/>
    <w:rsid w:val="008358D3"/>
    <w:rsid w:val="00836418"/>
    <w:rsid w:val="00836752"/>
    <w:rsid w:val="00837E2A"/>
    <w:rsid w:val="00840F79"/>
    <w:rsid w:val="0084281B"/>
    <w:rsid w:val="00842BC5"/>
    <w:rsid w:val="00844E85"/>
    <w:rsid w:val="00847678"/>
    <w:rsid w:val="00851834"/>
    <w:rsid w:val="008520A4"/>
    <w:rsid w:val="008538CB"/>
    <w:rsid w:val="00855C84"/>
    <w:rsid w:val="00855EF1"/>
    <w:rsid w:val="00856F06"/>
    <w:rsid w:val="0086130E"/>
    <w:rsid w:val="008618D8"/>
    <w:rsid w:val="00862F6E"/>
    <w:rsid w:val="00862FE0"/>
    <w:rsid w:val="00863C33"/>
    <w:rsid w:val="00864134"/>
    <w:rsid w:val="00865FDA"/>
    <w:rsid w:val="00867DE9"/>
    <w:rsid w:val="0087075D"/>
    <w:rsid w:val="00870F24"/>
    <w:rsid w:val="0087127C"/>
    <w:rsid w:val="00871DCF"/>
    <w:rsid w:val="00872ABC"/>
    <w:rsid w:val="0087412A"/>
    <w:rsid w:val="00875FF9"/>
    <w:rsid w:val="008765D2"/>
    <w:rsid w:val="00877E45"/>
    <w:rsid w:val="008813EA"/>
    <w:rsid w:val="00881FD5"/>
    <w:rsid w:val="0088486A"/>
    <w:rsid w:val="008849AA"/>
    <w:rsid w:val="008853AD"/>
    <w:rsid w:val="008853B9"/>
    <w:rsid w:val="00885DAC"/>
    <w:rsid w:val="00886329"/>
    <w:rsid w:val="008954F7"/>
    <w:rsid w:val="00895B77"/>
    <w:rsid w:val="00897262"/>
    <w:rsid w:val="008A09C4"/>
    <w:rsid w:val="008A1062"/>
    <w:rsid w:val="008A189F"/>
    <w:rsid w:val="008A307B"/>
    <w:rsid w:val="008A49E6"/>
    <w:rsid w:val="008B0057"/>
    <w:rsid w:val="008B005A"/>
    <w:rsid w:val="008B1F49"/>
    <w:rsid w:val="008B31E5"/>
    <w:rsid w:val="008B480F"/>
    <w:rsid w:val="008B4B57"/>
    <w:rsid w:val="008B5683"/>
    <w:rsid w:val="008B71EE"/>
    <w:rsid w:val="008C1245"/>
    <w:rsid w:val="008C174F"/>
    <w:rsid w:val="008C187C"/>
    <w:rsid w:val="008C1A24"/>
    <w:rsid w:val="008C29E3"/>
    <w:rsid w:val="008C3365"/>
    <w:rsid w:val="008C3619"/>
    <w:rsid w:val="008C4CBA"/>
    <w:rsid w:val="008C57ED"/>
    <w:rsid w:val="008C70EC"/>
    <w:rsid w:val="008D0579"/>
    <w:rsid w:val="008D1310"/>
    <w:rsid w:val="008D3BFB"/>
    <w:rsid w:val="008D4BA9"/>
    <w:rsid w:val="008E1951"/>
    <w:rsid w:val="008E278B"/>
    <w:rsid w:val="008E7626"/>
    <w:rsid w:val="008E7B4B"/>
    <w:rsid w:val="008F020B"/>
    <w:rsid w:val="008F56DD"/>
    <w:rsid w:val="008F689A"/>
    <w:rsid w:val="008F75BD"/>
    <w:rsid w:val="00901FC9"/>
    <w:rsid w:val="00902C16"/>
    <w:rsid w:val="0090319A"/>
    <w:rsid w:val="00903F6D"/>
    <w:rsid w:val="00904D47"/>
    <w:rsid w:val="00905197"/>
    <w:rsid w:val="00907B15"/>
    <w:rsid w:val="00910369"/>
    <w:rsid w:val="0091038E"/>
    <w:rsid w:val="0091257A"/>
    <w:rsid w:val="009127C1"/>
    <w:rsid w:val="0091352C"/>
    <w:rsid w:val="00913B28"/>
    <w:rsid w:val="00913EA3"/>
    <w:rsid w:val="00917BDE"/>
    <w:rsid w:val="009205FB"/>
    <w:rsid w:val="009210D4"/>
    <w:rsid w:val="00921E88"/>
    <w:rsid w:val="009224DA"/>
    <w:rsid w:val="00924441"/>
    <w:rsid w:val="00924689"/>
    <w:rsid w:val="0092564A"/>
    <w:rsid w:val="0092597D"/>
    <w:rsid w:val="00937418"/>
    <w:rsid w:val="009403BC"/>
    <w:rsid w:val="00941156"/>
    <w:rsid w:val="009418B4"/>
    <w:rsid w:val="009420DF"/>
    <w:rsid w:val="009422D1"/>
    <w:rsid w:val="009423C3"/>
    <w:rsid w:val="00942AFB"/>
    <w:rsid w:val="009520F0"/>
    <w:rsid w:val="00952D1D"/>
    <w:rsid w:val="009530FB"/>
    <w:rsid w:val="009541C8"/>
    <w:rsid w:val="00954C38"/>
    <w:rsid w:val="00956395"/>
    <w:rsid w:val="00957286"/>
    <w:rsid w:val="00960017"/>
    <w:rsid w:val="00960598"/>
    <w:rsid w:val="00960A78"/>
    <w:rsid w:val="009615EF"/>
    <w:rsid w:val="00962E86"/>
    <w:rsid w:val="0096333F"/>
    <w:rsid w:val="009636E7"/>
    <w:rsid w:val="009641A9"/>
    <w:rsid w:val="00964BA1"/>
    <w:rsid w:val="009665EE"/>
    <w:rsid w:val="00966E3A"/>
    <w:rsid w:val="009674D8"/>
    <w:rsid w:val="00967CFE"/>
    <w:rsid w:val="00970194"/>
    <w:rsid w:val="00974579"/>
    <w:rsid w:val="00974C93"/>
    <w:rsid w:val="00975C91"/>
    <w:rsid w:val="009763F5"/>
    <w:rsid w:val="00976BBA"/>
    <w:rsid w:val="00977986"/>
    <w:rsid w:val="00980E49"/>
    <w:rsid w:val="00980ED5"/>
    <w:rsid w:val="0098151D"/>
    <w:rsid w:val="00984471"/>
    <w:rsid w:val="00984858"/>
    <w:rsid w:val="0098485E"/>
    <w:rsid w:val="00985C6B"/>
    <w:rsid w:val="00986CC0"/>
    <w:rsid w:val="00987FC9"/>
    <w:rsid w:val="00991F42"/>
    <w:rsid w:val="00994B02"/>
    <w:rsid w:val="009976D5"/>
    <w:rsid w:val="00997EAC"/>
    <w:rsid w:val="009A0726"/>
    <w:rsid w:val="009A16D6"/>
    <w:rsid w:val="009A18A4"/>
    <w:rsid w:val="009A1FB4"/>
    <w:rsid w:val="009A606A"/>
    <w:rsid w:val="009A63FD"/>
    <w:rsid w:val="009B0225"/>
    <w:rsid w:val="009B0DCE"/>
    <w:rsid w:val="009B4653"/>
    <w:rsid w:val="009B4AB1"/>
    <w:rsid w:val="009B4C76"/>
    <w:rsid w:val="009B58AA"/>
    <w:rsid w:val="009B63D4"/>
    <w:rsid w:val="009B7187"/>
    <w:rsid w:val="009C158B"/>
    <w:rsid w:val="009C169C"/>
    <w:rsid w:val="009D0DA4"/>
    <w:rsid w:val="009D1008"/>
    <w:rsid w:val="009D1260"/>
    <w:rsid w:val="009D24EE"/>
    <w:rsid w:val="009D3314"/>
    <w:rsid w:val="009D4D6C"/>
    <w:rsid w:val="009D4EF3"/>
    <w:rsid w:val="009D5669"/>
    <w:rsid w:val="009E1145"/>
    <w:rsid w:val="009E20C3"/>
    <w:rsid w:val="009E44DB"/>
    <w:rsid w:val="009E4C1B"/>
    <w:rsid w:val="009E4D15"/>
    <w:rsid w:val="009E63A2"/>
    <w:rsid w:val="009E79EE"/>
    <w:rsid w:val="009F199F"/>
    <w:rsid w:val="009F2013"/>
    <w:rsid w:val="009F4122"/>
    <w:rsid w:val="009F623B"/>
    <w:rsid w:val="009F7FA2"/>
    <w:rsid w:val="00A00417"/>
    <w:rsid w:val="00A00CE0"/>
    <w:rsid w:val="00A074B5"/>
    <w:rsid w:val="00A101CD"/>
    <w:rsid w:val="00A11FD3"/>
    <w:rsid w:val="00A12022"/>
    <w:rsid w:val="00A13A10"/>
    <w:rsid w:val="00A15102"/>
    <w:rsid w:val="00A203C3"/>
    <w:rsid w:val="00A219FF"/>
    <w:rsid w:val="00A2362C"/>
    <w:rsid w:val="00A27716"/>
    <w:rsid w:val="00A30F00"/>
    <w:rsid w:val="00A317EB"/>
    <w:rsid w:val="00A341D3"/>
    <w:rsid w:val="00A36845"/>
    <w:rsid w:val="00A36AEF"/>
    <w:rsid w:val="00A36F28"/>
    <w:rsid w:val="00A36FAA"/>
    <w:rsid w:val="00A4068D"/>
    <w:rsid w:val="00A4081B"/>
    <w:rsid w:val="00A40DA4"/>
    <w:rsid w:val="00A42412"/>
    <w:rsid w:val="00A42F4E"/>
    <w:rsid w:val="00A437B8"/>
    <w:rsid w:val="00A4418A"/>
    <w:rsid w:val="00A44C32"/>
    <w:rsid w:val="00A4565B"/>
    <w:rsid w:val="00A464BD"/>
    <w:rsid w:val="00A46B0E"/>
    <w:rsid w:val="00A47AC7"/>
    <w:rsid w:val="00A51A6A"/>
    <w:rsid w:val="00A520FE"/>
    <w:rsid w:val="00A53AD4"/>
    <w:rsid w:val="00A63A30"/>
    <w:rsid w:val="00A661C9"/>
    <w:rsid w:val="00A66F83"/>
    <w:rsid w:val="00A70429"/>
    <w:rsid w:val="00A71BD3"/>
    <w:rsid w:val="00A7332D"/>
    <w:rsid w:val="00A75B56"/>
    <w:rsid w:val="00A76494"/>
    <w:rsid w:val="00A76C7A"/>
    <w:rsid w:val="00A76C8E"/>
    <w:rsid w:val="00A76CA4"/>
    <w:rsid w:val="00A76D14"/>
    <w:rsid w:val="00A77EC6"/>
    <w:rsid w:val="00A80827"/>
    <w:rsid w:val="00A81F02"/>
    <w:rsid w:val="00A83235"/>
    <w:rsid w:val="00A847B9"/>
    <w:rsid w:val="00A85C87"/>
    <w:rsid w:val="00A906E0"/>
    <w:rsid w:val="00A923DD"/>
    <w:rsid w:val="00A92FD5"/>
    <w:rsid w:val="00A9421A"/>
    <w:rsid w:val="00A94E8C"/>
    <w:rsid w:val="00A9500B"/>
    <w:rsid w:val="00A96E99"/>
    <w:rsid w:val="00A97319"/>
    <w:rsid w:val="00A97C9D"/>
    <w:rsid w:val="00AA0C01"/>
    <w:rsid w:val="00AA24B3"/>
    <w:rsid w:val="00AA2D74"/>
    <w:rsid w:val="00AA4225"/>
    <w:rsid w:val="00AA4EF3"/>
    <w:rsid w:val="00AA6838"/>
    <w:rsid w:val="00AA7437"/>
    <w:rsid w:val="00AB03D3"/>
    <w:rsid w:val="00AB0915"/>
    <w:rsid w:val="00AB1189"/>
    <w:rsid w:val="00AB1F69"/>
    <w:rsid w:val="00AB3F81"/>
    <w:rsid w:val="00AB47A2"/>
    <w:rsid w:val="00AB7231"/>
    <w:rsid w:val="00AC1190"/>
    <w:rsid w:val="00AC1660"/>
    <w:rsid w:val="00AC26C3"/>
    <w:rsid w:val="00AC288C"/>
    <w:rsid w:val="00AC4BE6"/>
    <w:rsid w:val="00AC6355"/>
    <w:rsid w:val="00AD05EF"/>
    <w:rsid w:val="00AD0CEF"/>
    <w:rsid w:val="00AD1783"/>
    <w:rsid w:val="00AD5385"/>
    <w:rsid w:val="00AD5C20"/>
    <w:rsid w:val="00AD6088"/>
    <w:rsid w:val="00AE16C1"/>
    <w:rsid w:val="00AE304E"/>
    <w:rsid w:val="00AE3136"/>
    <w:rsid w:val="00AE45CD"/>
    <w:rsid w:val="00AE6D53"/>
    <w:rsid w:val="00AF2178"/>
    <w:rsid w:val="00AF28F5"/>
    <w:rsid w:val="00AF33A9"/>
    <w:rsid w:val="00AF3A47"/>
    <w:rsid w:val="00AF3BFB"/>
    <w:rsid w:val="00AF4454"/>
    <w:rsid w:val="00AF45D6"/>
    <w:rsid w:val="00AF62B5"/>
    <w:rsid w:val="00AF749F"/>
    <w:rsid w:val="00AF7F5D"/>
    <w:rsid w:val="00B029A4"/>
    <w:rsid w:val="00B10721"/>
    <w:rsid w:val="00B10E58"/>
    <w:rsid w:val="00B11AEB"/>
    <w:rsid w:val="00B11F80"/>
    <w:rsid w:val="00B1345F"/>
    <w:rsid w:val="00B1481C"/>
    <w:rsid w:val="00B15158"/>
    <w:rsid w:val="00B157A5"/>
    <w:rsid w:val="00B162DB"/>
    <w:rsid w:val="00B16AD3"/>
    <w:rsid w:val="00B16F49"/>
    <w:rsid w:val="00B22ABD"/>
    <w:rsid w:val="00B23B0E"/>
    <w:rsid w:val="00B23D39"/>
    <w:rsid w:val="00B2648B"/>
    <w:rsid w:val="00B30399"/>
    <w:rsid w:val="00B30A60"/>
    <w:rsid w:val="00B32463"/>
    <w:rsid w:val="00B3346C"/>
    <w:rsid w:val="00B334C6"/>
    <w:rsid w:val="00B33FE9"/>
    <w:rsid w:val="00B34CF3"/>
    <w:rsid w:val="00B404D2"/>
    <w:rsid w:val="00B42068"/>
    <w:rsid w:val="00B423CE"/>
    <w:rsid w:val="00B42D24"/>
    <w:rsid w:val="00B4397E"/>
    <w:rsid w:val="00B46E7D"/>
    <w:rsid w:val="00B509AA"/>
    <w:rsid w:val="00B51617"/>
    <w:rsid w:val="00B52ECE"/>
    <w:rsid w:val="00B537A1"/>
    <w:rsid w:val="00B564EA"/>
    <w:rsid w:val="00B614C7"/>
    <w:rsid w:val="00B637F4"/>
    <w:rsid w:val="00B63855"/>
    <w:rsid w:val="00B639FE"/>
    <w:rsid w:val="00B645EA"/>
    <w:rsid w:val="00B64F27"/>
    <w:rsid w:val="00B658FF"/>
    <w:rsid w:val="00B67450"/>
    <w:rsid w:val="00B67D10"/>
    <w:rsid w:val="00B7079B"/>
    <w:rsid w:val="00B73931"/>
    <w:rsid w:val="00B7451E"/>
    <w:rsid w:val="00B74F7A"/>
    <w:rsid w:val="00B81725"/>
    <w:rsid w:val="00B82115"/>
    <w:rsid w:val="00B83FC4"/>
    <w:rsid w:val="00B8599A"/>
    <w:rsid w:val="00B9003F"/>
    <w:rsid w:val="00B901F1"/>
    <w:rsid w:val="00B927DF"/>
    <w:rsid w:val="00B92E38"/>
    <w:rsid w:val="00B93FC6"/>
    <w:rsid w:val="00B943C0"/>
    <w:rsid w:val="00B95BC1"/>
    <w:rsid w:val="00B963DD"/>
    <w:rsid w:val="00B96D57"/>
    <w:rsid w:val="00B96DC1"/>
    <w:rsid w:val="00BA1CA4"/>
    <w:rsid w:val="00BA1EB0"/>
    <w:rsid w:val="00BA2C4B"/>
    <w:rsid w:val="00BA2C9A"/>
    <w:rsid w:val="00BA4140"/>
    <w:rsid w:val="00BA483E"/>
    <w:rsid w:val="00BA49A0"/>
    <w:rsid w:val="00BA5DDE"/>
    <w:rsid w:val="00BB1437"/>
    <w:rsid w:val="00BB2EEC"/>
    <w:rsid w:val="00BB5790"/>
    <w:rsid w:val="00BB65D2"/>
    <w:rsid w:val="00BB6780"/>
    <w:rsid w:val="00BB6814"/>
    <w:rsid w:val="00BB70D0"/>
    <w:rsid w:val="00BB75EB"/>
    <w:rsid w:val="00BC00D3"/>
    <w:rsid w:val="00BC09C6"/>
    <w:rsid w:val="00BC0A2A"/>
    <w:rsid w:val="00BC2B06"/>
    <w:rsid w:val="00BC4191"/>
    <w:rsid w:val="00BC63E1"/>
    <w:rsid w:val="00BC743C"/>
    <w:rsid w:val="00BD0F66"/>
    <w:rsid w:val="00BD16FE"/>
    <w:rsid w:val="00BD39A9"/>
    <w:rsid w:val="00BD4861"/>
    <w:rsid w:val="00BD5307"/>
    <w:rsid w:val="00BE2DF4"/>
    <w:rsid w:val="00BE4002"/>
    <w:rsid w:val="00BE61A5"/>
    <w:rsid w:val="00BE6204"/>
    <w:rsid w:val="00BE6A0E"/>
    <w:rsid w:val="00BF53A4"/>
    <w:rsid w:val="00BF591E"/>
    <w:rsid w:val="00BF592E"/>
    <w:rsid w:val="00BF5D67"/>
    <w:rsid w:val="00BF6E73"/>
    <w:rsid w:val="00BF711D"/>
    <w:rsid w:val="00BF7665"/>
    <w:rsid w:val="00BF76C8"/>
    <w:rsid w:val="00BF7A63"/>
    <w:rsid w:val="00C00370"/>
    <w:rsid w:val="00C003D3"/>
    <w:rsid w:val="00C0069A"/>
    <w:rsid w:val="00C02978"/>
    <w:rsid w:val="00C0390C"/>
    <w:rsid w:val="00C03BEC"/>
    <w:rsid w:val="00C06DAA"/>
    <w:rsid w:val="00C07A0A"/>
    <w:rsid w:val="00C1066C"/>
    <w:rsid w:val="00C10B22"/>
    <w:rsid w:val="00C162CE"/>
    <w:rsid w:val="00C1675D"/>
    <w:rsid w:val="00C21DA9"/>
    <w:rsid w:val="00C221A8"/>
    <w:rsid w:val="00C224C9"/>
    <w:rsid w:val="00C25536"/>
    <w:rsid w:val="00C26B44"/>
    <w:rsid w:val="00C2795E"/>
    <w:rsid w:val="00C27B1D"/>
    <w:rsid w:val="00C3128B"/>
    <w:rsid w:val="00C33405"/>
    <w:rsid w:val="00C33B89"/>
    <w:rsid w:val="00C35287"/>
    <w:rsid w:val="00C36344"/>
    <w:rsid w:val="00C36A78"/>
    <w:rsid w:val="00C36B73"/>
    <w:rsid w:val="00C403A7"/>
    <w:rsid w:val="00C4281B"/>
    <w:rsid w:val="00C43569"/>
    <w:rsid w:val="00C46BAC"/>
    <w:rsid w:val="00C47A94"/>
    <w:rsid w:val="00C47F68"/>
    <w:rsid w:val="00C50A69"/>
    <w:rsid w:val="00C5110A"/>
    <w:rsid w:val="00C5120D"/>
    <w:rsid w:val="00C5284B"/>
    <w:rsid w:val="00C5376A"/>
    <w:rsid w:val="00C541F4"/>
    <w:rsid w:val="00C543A3"/>
    <w:rsid w:val="00C54516"/>
    <w:rsid w:val="00C565B3"/>
    <w:rsid w:val="00C5766E"/>
    <w:rsid w:val="00C6263A"/>
    <w:rsid w:val="00C62DEE"/>
    <w:rsid w:val="00C63352"/>
    <w:rsid w:val="00C6368E"/>
    <w:rsid w:val="00C64A86"/>
    <w:rsid w:val="00C70846"/>
    <w:rsid w:val="00C71037"/>
    <w:rsid w:val="00C712BD"/>
    <w:rsid w:val="00C73729"/>
    <w:rsid w:val="00C75E20"/>
    <w:rsid w:val="00C76AAC"/>
    <w:rsid w:val="00C83161"/>
    <w:rsid w:val="00C83651"/>
    <w:rsid w:val="00C85B2E"/>
    <w:rsid w:val="00C87A67"/>
    <w:rsid w:val="00C91DB4"/>
    <w:rsid w:val="00C925FC"/>
    <w:rsid w:val="00C94892"/>
    <w:rsid w:val="00C95A80"/>
    <w:rsid w:val="00C96095"/>
    <w:rsid w:val="00C97051"/>
    <w:rsid w:val="00C97C6A"/>
    <w:rsid w:val="00CA2D85"/>
    <w:rsid w:val="00CA3DDD"/>
    <w:rsid w:val="00CA40E7"/>
    <w:rsid w:val="00CA68E3"/>
    <w:rsid w:val="00CB455F"/>
    <w:rsid w:val="00CB622E"/>
    <w:rsid w:val="00CC060A"/>
    <w:rsid w:val="00CC34D3"/>
    <w:rsid w:val="00CC561F"/>
    <w:rsid w:val="00CC73EB"/>
    <w:rsid w:val="00CD1075"/>
    <w:rsid w:val="00CD593D"/>
    <w:rsid w:val="00CD6EB1"/>
    <w:rsid w:val="00CE1255"/>
    <w:rsid w:val="00CE149F"/>
    <w:rsid w:val="00CE1B75"/>
    <w:rsid w:val="00CE421F"/>
    <w:rsid w:val="00CE493A"/>
    <w:rsid w:val="00CE4B9E"/>
    <w:rsid w:val="00CE571D"/>
    <w:rsid w:val="00CE6219"/>
    <w:rsid w:val="00CF4E49"/>
    <w:rsid w:val="00CF623A"/>
    <w:rsid w:val="00CF7625"/>
    <w:rsid w:val="00D02B5F"/>
    <w:rsid w:val="00D0464A"/>
    <w:rsid w:val="00D06466"/>
    <w:rsid w:val="00D071AF"/>
    <w:rsid w:val="00D169C5"/>
    <w:rsid w:val="00D16E1B"/>
    <w:rsid w:val="00D174B3"/>
    <w:rsid w:val="00D20EE4"/>
    <w:rsid w:val="00D22664"/>
    <w:rsid w:val="00D23E4D"/>
    <w:rsid w:val="00D260FA"/>
    <w:rsid w:val="00D26459"/>
    <w:rsid w:val="00D3069A"/>
    <w:rsid w:val="00D31373"/>
    <w:rsid w:val="00D31B22"/>
    <w:rsid w:val="00D33ED0"/>
    <w:rsid w:val="00D3413E"/>
    <w:rsid w:val="00D35D6E"/>
    <w:rsid w:val="00D36769"/>
    <w:rsid w:val="00D368C3"/>
    <w:rsid w:val="00D3750B"/>
    <w:rsid w:val="00D403CD"/>
    <w:rsid w:val="00D40542"/>
    <w:rsid w:val="00D44363"/>
    <w:rsid w:val="00D525DC"/>
    <w:rsid w:val="00D528AB"/>
    <w:rsid w:val="00D53C1C"/>
    <w:rsid w:val="00D6043C"/>
    <w:rsid w:val="00D60B01"/>
    <w:rsid w:val="00D66970"/>
    <w:rsid w:val="00D75A61"/>
    <w:rsid w:val="00D76096"/>
    <w:rsid w:val="00D76D7B"/>
    <w:rsid w:val="00D77FAC"/>
    <w:rsid w:val="00D80675"/>
    <w:rsid w:val="00D8182F"/>
    <w:rsid w:val="00D83488"/>
    <w:rsid w:val="00D83B4A"/>
    <w:rsid w:val="00D84397"/>
    <w:rsid w:val="00D8568B"/>
    <w:rsid w:val="00D867C4"/>
    <w:rsid w:val="00D9021C"/>
    <w:rsid w:val="00D91D09"/>
    <w:rsid w:val="00D91E33"/>
    <w:rsid w:val="00D97230"/>
    <w:rsid w:val="00D97708"/>
    <w:rsid w:val="00D9777A"/>
    <w:rsid w:val="00D97E3F"/>
    <w:rsid w:val="00DA2A0D"/>
    <w:rsid w:val="00DA2C58"/>
    <w:rsid w:val="00DA5B2D"/>
    <w:rsid w:val="00DA5F6A"/>
    <w:rsid w:val="00DA705E"/>
    <w:rsid w:val="00DA7DEF"/>
    <w:rsid w:val="00DB00FE"/>
    <w:rsid w:val="00DB2ADB"/>
    <w:rsid w:val="00DB679B"/>
    <w:rsid w:val="00DB7348"/>
    <w:rsid w:val="00DB759E"/>
    <w:rsid w:val="00DB7904"/>
    <w:rsid w:val="00DC01D5"/>
    <w:rsid w:val="00DC2E2F"/>
    <w:rsid w:val="00DC46B6"/>
    <w:rsid w:val="00DC489C"/>
    <w:rsid w:val="00DC6CCC"/>
    <w:rsid w:val="00DC7499"/>
    <w:rsid w:val="00DC7AF4"/>
    <w:rsid w:val="00DD07BA"/>
    <w:rsid w:val="00DD1DCE"/>
    <w:rsid w:val="00DD2669"/>
    <w:rsid w:val="00DE02CD"/>
    <w:rsid w:val="00DE6441"/>
    <w:rsid w:val="00DE6C1E"/>
    <w:rsid w:val="00DF0007"/>
    <w:rsid w:val="00DF0569"/>
    <w:rsid w:val="00DF1A83"/>
    <w:rsid w:val="00DF1C5C"/>
    <w:rsid w:val="00DF3310"/>
    <w:rsid w:val="00DF36EE"/>
    <w:rsid w:val="00DF3A0D"/>
    <w:rsid w:val="00DF5482"/>
    <w:rsid w:val="00DF5C87"/>
    <w:rsid w:val="00DF60D7"/>
    <w:rsid w:val="00DF78E2"/>
    <w:rsid w:val="00E00736"/>
    <w:rsid w:val="00E00818"/>
    <w:rsid w:val="00E00F5C"/>
    <w:rsid w:val="00E01EA3"/>
    <w:rsid w:val="00E02489"/>
    <w:rsid w:val="00E03D44"/>
    <w:rsid w:val="00E04A5A"/>
    <w:rsid w:val="00E1261C"/>
    <w:rsid w:val="00E15659"/>
    <w:rsid w:val="00E16C4D"/>
    <w:rsid w:val="00E178E3"/>
    <w:rsid w:val="00E17F9B"/>
    <w:rsid w:val="00E20FFE"/>
    <w:rsid w:val="00E23E77"/>
    <w:rsid w:val="00E267EB"/>
    <w:rsid w:val="00E3253D"/>
    <w:rsid w:val="00E33153"/>
    <w:rsid w:val="00E33AD7"/>
    <w:rsid w:val="00E346A1"/>
    <w:rsid w:val="00E35EF7"/>
    <w:rsid w:val="00E36528"/>
    <w:rsid w:val="00E37F6C"/>
    <w:rsid w:val="00E40115"/>
    <w:rsid w:val="00E411B5"/>
    <w:rsid w:val="00E4170E"/>
    <w:rsid w:val="00E4189A"/>
    <w:rsid w:val="00E427EC"/>
    <w:rsid w:val="00E45A57"/>
    <w:rsid w:val="00E47CA4"/>
    <w:rsid w:val="00E503CA"/>
    <w:rsid w:val="00E50B15"/>
    <w:rsid w:val="00E52935"/>
    <w:rsid w:val="00E53FC6"/>
    <w:rsid w:val="00E60575"/>
    <w:rsid w:val="00E614D9"/>
    <w:rsid w:val="00E6154A"/>
    <w:rsid w:val="00E6686B"/>
    <w:rsid w:val="00E6709E"/>
    <w:rsid w:val="00E674C2"/>
    <w:rsid w:val="00E71695"/>
    <w:rsid w:val="00E72022"/>
    <w:rsid w:val="00E73DDF"/>
    <w:rsid w:val="00E74D1F"/>
    <w:rsid w:val="00E76C9D"/>
    <w:rsid w:val="00E77DC3"/>
    <w:rsid w:val="00E8022E"/>
    <w:rsid w:val="00E82478"/>
    <w:rsid w:val="00E84EF0"/>
    <w:rsid w:val="00E85EFA"/>
    <w:rsid w:val="00E87AF3"/>
    <w:rsid w:val="00E91BAF"/>
    <w:rsid w:val="00E929A6"/>
    <w:rsid w:val="00E94323"/>
    <w:rsid w:val="00E95DD3"/>
    <w:rsid w:val="00E96324"/>
    <w:rsid w:val="00E969F2"/>
    <w:rsid w:val="00EA0007"/>
    <w:rsid w:val="00EA0103"/>
    <w:rsid w:val="00EA2ACF"/>
    <w:rsid w:val="00EA3551"/>
    <w:rsid w:val="00EA397A"/>
    <w:rsid w:val="00EA4753"/>
    <w:rsid w:val="00EA6988"/>
    <w:rsid w:val="00EA750C"/>
    <w:rsid w:val="00EA7B10"/>
    <w:rsid w:val="00EB14CF"/>
    <w:rsid w:val="00EB1DA3"/>
    <w:rsid w:val="00EB1E05"/>
    <w:rsid w:val="00EB2739"/>
    <w:rsid w:val="00EB49B6"/>
    <w:rsid w:val="00EB61C2"/>
    <w:rsid w:val="00EB70C8"/>
    <w:rsid w:val="00EB73C0"/>
    <w:rsid w:val="00EB757B"/>
    <w:rsid w:val="00EC0196"/>
    <w:rsid w:val="00EC0C74"/>
    <w:rsid w:val="00EC0D8D"/>
    <w:rsid w:val="00EC2384"/>
    <w:rsid w:val="00EC28B7"/>
    <w:rsid w:val="00EC49AD"/>
    <w:rsid w:val="00EC75F5"/>
    <w:rsid w:val="00ED399A"/>
    <w:rsid w:val="00ED3F51"/>
    <w:rsid w:val="00ED411F"/>
    <w:rsid w:val="00ED6106"/>
    <w:rsid w:val="00ED662B"/>
    <w:rsid w:val="00EE0CFF"/>
    <w:rsid w:val="00EE2246"/>
    <w:rsid w:val="00EE2E9C"/>
    <w:rsid w:val="00EE4AF1"/>
    <w:rsid w:val="00EE5901"/>
    <w:rsid w:val="00EE7CFE"/>
    <w:rsid w:val="00EF0191"/>
    <w:rsid w:val="00EF0A4E"/>
    <w:rsid w:val="00EF1BB0"/>
    <w:rsid w:val="00EF1F59"/>
    <w:rsid w:val="00EF48C1"/>
    <w:rsid w:val="00EF65C9"/>
    <w:rsid w:val="00EF77E1"/>
    <w:rsid w:val="00F0504A"/>
    <w:rsid w:val="00F0565E"/>
    <w:rsid w:val="00F05B38"/>
    <w:rsid w:val="00F0782A"/>
    <w:rsid w:val="00F1073E"/>
    <w:rsid w:val="00F110B8"/>
    <w:rsid w:val="00F12755"/>
    <w:rsid w:val="00F132A6"/>
    <w:rsid w:val="00F145B6"/>
    <w:rsid w:val="00F20C66"/>
    <w:rsid w:val="00F212D6"/>
    <w:rsid w:val="00F213E6"/>
    <w:rsid w:val="00F21C8A"/>
    <w:rsid w:val="00F21FFB"/>
    <w:rsid w:val="00F25C7F"/>
    <w:rsid w:val="00F27B6F"/>
    <w:rsid w:val="00F27D85"/>
    <w:rsid w:val="00F32594"/>
    <w:rsid w:val="00F334E4"/>
    <w:rsid w:val="00F33518"/>
    <w:rsid w:val="00F33BF1"/>
    <w:rsid w:val="00F33D55"/>
    <w:rsid w:val="00F34504"/>
    <w:rsid w:val="00F359E8"/>
    <w:rsid w:val="00F3622C"/>
    <w:rsid w:val="00F3775B"/>
    <w:rsid w:val="00F37C36"/>
    <w:rsid w:val="00F4096D"/>
    <w:rsid w:val="00F41907"/>
    <w:rsid w:val="00F44822"/>
    <w:rsid w:val="00F50AFD"/>
    <w:rsid w:val="00F50FB9"/>
    <w:rsid w:val="00F54943"/>
    <w:rsid w:val="00F556C7"/>
    <w:rsid w:val="00F55BA7"/>
    <w:rsid w:val="00F57F0F"/>
    <w:rsid w:val="00F619E6"/>
    <w:rsid w:val="00F62C8E"/>
    <w:rsid w:val="00F63BA4"/>
    <w:rsid w:val="00F66649"/>
    <w:rsid w:val="00F714D4"/>
    <w:rsid w:val="00F7188D"/>
    <w:rsid w:val="00F729CB"/>
    <w:rsid w:val="00F75BE6"/>
    <w:rsid w:val="00F80053"/>
    <w:rsid w:val="00F83376"/>
    <w:rsid w:val="00F83AE5"/>
    <w:rsid w:val="00F849D6"/>
    <w:rsid w:val="00F867F1"/>
    <w:rsid w:val="00F86BF1"/>
    <w:rsid w:val="00F86C38"/>
    <w:rsid w:val="00F91A79"/>
    <w:rsid w:val="00F936FF"/>
    <w:rsid w:val="00F952B9"/>
    <w:rsid w:val="00F95E43"/>
    <w:rsid w:val="00F95E56"/>
    <w:rsid w:val="00F95F92"/>
    <w:rsid w:val="00F96E74"/>
    <w:rsid w:val="00F973C9"/>
    <w:rsid w:val="00FA11D8"/>
    <w:rsid w:val="00FA1253"/>
    <w:rsid w:val="00FA2E4B"/>
    <w:rsid w:val="00FA3A83"/>
    <w:rsid w:val="00FA3E4F"/>
    <w:rsid w:val="00FA43F0"/>
    <w:rsid w:val="00FA45C8"/>
    <w:rsid w:val="00FA5701"/>
    <w:rsid w:val="00FA67D6"/>
    <w:rsid w:val="00FB048E"/>
    <w:rsid w:val="00FB1EBD"/>
    <w:rsid w:val="00FB4913"/>
    <w:rsid w:val="00FC1123"/>
    <w:rsid w:val="00FC121D"/>
    <w:rsid w:val="00FC25EA"/>
    <w:rsid w:val="00FC2C04"/>
    <w:rsid w:val="00FC49D0"/>
    <w:rsid w:val="00FC4CAF"/>
    <w:rsid w:val="00FC4ED9"/>
    <w:rsid w:val="00FC6151"/>
    <w:rsid w:val="00FD054D"/>
    <w:rsid w:val="00FD06E2"/>
    <w:rsid w:val="00FD0707"/>
    <w:rsid w:val="00FD12FF"/>
    <w:rsid w:val="00FD32C8"/>
    <w:rsid w:val="00FD3C58"/>
    <w:rsid w:val="00FD3D36"/>
    <w:rsid w:val="00FD550D"/>
    <w:rsid w:val="00FD61FD"/>
    <w:rsid w:val="00FD6314"/>
    <w:rsid w:val="00FD6A06"/>
    <w:rsid w:val="00FD6E5F"/>
    <w:rsid w:val="00FE03E2"/>
    <w:rsid w:val="00FE0C49"/>
    <w:rsid w:val="00FE29C1"/>
    <w:rsid w:val="00FE2D4F"/>
    <w:rsid w:val="00FE2D5A"/>
    <w:rsid w:val="00FE39F3"/>
    <w:rsid w:val="00FE41B4"/>
    <w:rsid w:val="00FE521B"/>
    <w:rsid w:val="00FE75ED"/>
    <w:rsid w:val="00FE7F6A"/>
    <w:rsid w:val="00FF05AF"/>
    <w:rsid w:val="00FF1BED"/>
    <w:rsid w:val="00FF27AC"/>
    <w:rsid w:val="00FF7127"/>
    <w:rsid w:val="00FF7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4E2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SimSun" w:hAnsi="Arial" w:cs="Arial"/>
        <w:kern w:val="2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2C7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31E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E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E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E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E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E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966E3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66E3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66E3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66E3A"/>
    <w:rPr>
      <w:rFonts w:ascii="等线" w:eastAsia="等线" w:hAnsi="等线"/>
      <w:noProof/>
      <w:sz w:val="20"/>
    </w:rPr>
  </w:style>
  <w:style w:type="paragraph" w:styleId="ListParagraph">
    <w:name w:val="List Paragraph"/>
    <w:basedOn w:val="Normal"/>
    <w:uiPriority w:val="34"/>
    <w:qFormat/>
    <w:rsid w:val="008E7626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8E7626"/>
  </w:style>
  <w:style w:type="paragraph" w:styleId="Header">
    <w:name w:val="header"/>
    <w:basedOn w:val="Normal"/>
    <w:link w:val="HeaderChar"/>
    <w:uiPriority w:val="99"/>
    <w:unhideWhenUsed/>
    <w:rsid w:val="008E7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E762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76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7626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55021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13E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13E"/>
    <w:rPr>
      <w:rFonts w:ascii="Tahoma" w:hAnsi="Tahoma" w:cs="Tahoma"/>
      <w:sz w:val="16"/>
      <w:szCs w:val="18"/>
    </w:rPr>
  </w:style>
  <w:style w:type="character" w:customStyle="1" w:styleId="skip">
    <w:name w:val="skip"/>
    <w:basedOn w:val="DefaultParagraphFont"/>
    <w:rsid w:val="000F2894"/>
  </w:style>
  <w:style w:type="character" w:styleId="Hyperlink">
    <w:name w:val="Hyperlink"/>
    <w:basedOn w:val="DefaultParagraphFont"/>
    <w:uiPriority w:val="99"/>
    <w:unhideWhenUsed/>
    <w:rsid w:val="000F289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F2894"/>
  </w:style>
  <w:style w:type="paragraph" w:styleId="Revision">
    <w:name w:val="Revision"/>
    <w:hidden/>
    <w:uiPriority w:val="99"/>
    <w:semiHidden/>
    <w:rsid w:val="00A76C7A"/>
  </w:style>
  <w:style w:type="character" w:styleId="CommentReference">
    <w:name w:val="annotation reference"/>
    <w:basedOn w:val="DefaultParagraphFont"/>
    <w:uiPriority w:val="99"/>
    <w:semiHidden/>
    <w:unhideWhenUsed/>
    <w:rsid w:val="00D071A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1AF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1AF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1AF"/>
    <w:rPr>
      <w:rFonts w:ascii="Tahoma" w:hAnsi="Tahoma" w:cs="Tahoma"/>
      <w:b/>
      <w:bCs/>
      <w:sz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18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NoList"/>
    <w:uiPriority w:val="99"/>
    <w:semiHidden/>
    <w:unhideWhenUsed/>
    <w:rsid w:val="00031E1E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031E1E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31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E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E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E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031E1E"/>
    <w:pPr>
      <w:numPr>
        <w:numId w:val="12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031E1E"/>
  </w:style>
  <w:style w:type="paragraph" w:styleId="BlockText">
    <w:name w:val="Block Text"/>
    <w:basedOn w:val="Normal"/>
    <w:uiPriority w:val="99"/>
    <w:semiHidden/>
    <w:unhideWhenUsed/>
    <w:rsid w:val="00031E1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31E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1E1E"/>
  </w:style>
  <w:style w:type="paragraph" w:styleId="BodyText2">
    <w:name w:val="Body Text 2"/>
    <w:basedOn w:val="Normal"/>
    <w:link w:val="BodyText2Char"/>
    <w:uiPriority w:val="99"/>
    <w:semiHidden/>
    <w:unhideWhenUsed/>
    <w:rsid w:val="00031E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31E1E"/>
  </w:style>
  <w:style w:type="paragraph" w:styleId="BodyText3">
    <w:name w:val="Body Text 3"/>
    <w:basedOn w:val="Normal"/>
    <w:link w:val="BodyText3Char"/>
    <w:uiPriority w:val="99"/>
    <w:semiHidden/>
    <w:unhideWhenUsed/>
    <w:rsid w:val="00031E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31E1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31E1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31E1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1E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1E1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31E1E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31E1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1E1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31E1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1E1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31E1E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031E1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1E1E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31E1E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31E1E"/>
  </w:style>
  <w:style w:type="table" w:styleId="ColorfulGrid">
    <w:name w:val="Colorful Grid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31E1E"/>
  </w:style>
  <w:style w:type="character" w:customStyle="1" w:styleId="DateChar">
    <w:name w:val="Date Char"/>
    <w:basedOn w:val="DefaultParagraphFont"/>
    <w:link w:val="Date"/>
    <w:uiPriority w:val="99"/>
    <w:semiHidden/>
    <w:rsid w:val="00031E1E"/>
  </w:style>
  <w:style w:type="paragraph" w:styleId="DocumentMap">
    <w:name w:val="Document Map"/>
    <w:basedOn w:val="Normal"/>
    <w:link w:val="DocumentMapChar"/>
    <w:uiPriority w:val="99"/>
    <w:semiHidden/>
    <w:unhideWhenUsed/>
    <w:rsid w:val="00031E1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1E1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31E1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31E1E"/>
  </w:style>
  <w:style w:type="character" w:styleId="Emphasis">
    <w:name w:val="Emphasis"/>
    <w:basedOn w:val="DefaultParagraphFont"/>
    <w:uiPriority w:val="20"/>
    <w:qFormat/>
    <w:rsid w:val="00031E1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31E1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1E1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1E1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31E1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31E1E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31E1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31E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1E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1E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31E1E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31E1E"/>
  </w:style>
  <w:style w:type="paragraph" w:styleId="HTMLAddress">
    <w:name w:val="HTML Address"/>
    <w:basedOn w:val="Normal"/>
    <w:link w:val="HTMLAddressChar"/>
    <w:uiPriority w:val="99"/>
    <w:semiHidden/>
    <w:unhideWhenUsed/>
    <w:rsid w:val="00031E1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31E1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31E1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31E1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31E1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31E1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1E1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1E1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31E1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31E1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31E1E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031E1E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031E1E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031E1E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031E1E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031E1E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031E1E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031E1E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031E1E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031E1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31E1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031E1E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E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E1E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031E1E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31E1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31E1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31E1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031E1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31E1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31E1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31E1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31E1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31E1E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31E1E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31E1E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31E1E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31E1E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31E1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31E1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31E1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31E1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31E1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31E1E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31E1E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31E1E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31E1E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31E1E"/>
    <w:pPr>
      <w:numPr>
        <w:numId w:val="22"/>
      </w:numPr>
      <w:contextualSpacing/>
    </w:pPr>
  </w:style>
  <w:style w:type="table" w:customStyle="1" w:styleId="ListTable1Light">
    <w:name w:val="List Table 1 Light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31E1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31E1E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31E1E"/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031E1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31E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31E1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31E1E"/>
    <w:pPr>
      <w:widowControl w:val="0"/>
      <w:jc w:val="both"/>
    </w:pPr>
  </w:style>
  <w:style w:type="paragraph" w:styleId="NormalIndent">
    <w:name w:val="Normal Indent"/>
    <w:basedOn w:val="Normal"/>
    <w:uiPriority w:val="99"/>
    <w:semiHidden/>
    <w:unhideWhenUsed/>
    <w:rsid w:val="00031E1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31E1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31E1E"/>
  </w:style>
  <w:style w:type="character" w:styleId="PageNumber">
    <w:name w:val="page number"/>
    <w:basedOn w:val="DefaultParagraphFont"/>
    <w:uiPriority w:val="99"/>
    <w:semiHidden/>
    <w:unhideWhenUsed/>
    <w:rsid w:val="00031E1E"/>
  </w:style>
  <w:style w:type="character" w:styleId="PlaceholderText">
    <w:name w:val="Placeholder Text"/>
    <w:basedOn w:val="DefaultParagraphFont"/>
    <w:uiPriority w:val="99"/>
    <w:semiHidden/>
    <w:rsid w:val="00031E1E"/>
    <w:rPr>
      <w:color w:val="808080"/>
    </w:rPr>
  </w:style>
  <w:style w:type="table" w:customStyle="1" w:styleId="PlainTable1">
    <w:name w:val="Plain Table 1"/>
    <w:basedOn w:val="TableNormal"/>
    <w:uiPriority w:val="41"/>
    <w:rsid w:val="00031E1E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31E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31E1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1E1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31E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E1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31E1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31E1E"/>
  </w:style>
  <w:style w:type="paragraph" w:styleId="Signature">
    <w:name w:val="Signature"/>
    <w:basedOn w:val="Normal"/>
    <w:link w:val="SignatureChar"/>
    <w:uiPriority w:val="99"/>
    <w:semiHidden/>
    <w:unhideWhenUsed/>
    <w:rsid w:val="00031E1E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31E1E"/>
  </w:style>
  <w:style w:type="character" w:customStyle="1" w:styleId="SmartHyperlink">
    <w:name w:val="Smart Hyperlink"/>
    <w:basedOn w:val="DefaultParagraphFont"/>
    <w:uiPriority w:val="99"/>
    <w:semiHidden/>
    <w:unhideWhenUsed/>
    <w:rsid w:val="00031E1E"/>
    <w:rPr>
      <w:u w:val="dotted"/>
    </w:rPr>
  </w:style>
  <w:style w:type="character" w:customStyle="1" w:styleId="SmartLink">
    <w:name w:val="Smart Link"/>
    <w:basedOn w:val="DefaultParagraphFont"/>
    <w:uiPriority w:val="99"/>
    <w:semiHidden/>
    <w:unhideWhenUsed/>
    <w:rsid w:val="00031E1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031E1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E1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31E1E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31E1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31E1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31E1E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31E1E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31E1E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31E1E"/>
    <w:pPr>
      <w:widowControl w:val="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031E1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31E1E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31E1E"/>
  </w:style>
  <w:style w:type="table" w:styleId="TableProfessional">
    <w:name w:val="Table Professional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31E1E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31E1E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31E1E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31E1E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31E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31E1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031E1E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031E1E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031E1E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031E1E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031E1E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031E1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031E1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031E1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031E1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E1E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1E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SimSun" w:hAnsi="Arial" w:cs="Arial"/>
        <w:kern w:val="2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2C7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031E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E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1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1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1E1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1E1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1E1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1E1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1E1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0"/>
    <w:rsid w:val="00966E3A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66E3A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966E3A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66E3A"/>
    <w:rPr>
      <w:rFonts w:ascii="等线" w:eastAsia="等线" w:hAnsi="等线"/>
      <w:noProof/>
      <w:sz w:val="20"/>
    </w:rPr>
  </w:style>
  <w:style w:type="paragraph" w:styleId="ListParagraph">
    <w:name w:val="List Paragraph"/>
    <w:basedOn w:val="Normal"/>
    <w:uiPriority w:val="34"/>
    <w:qFormat/>
    <w:rsid w:val="008E7626"/>
    <w:pPr>
      <w:ind w:firstLineChars="200" w:firstLine="420"/>
    </w:pPr>
  </w:style>
  <w:style w:type="character" w:styleId="LineNumber">
    <w:name w:val="line number"/>
    <w:basedOn w:val="DefaultParagraphFont"/>
    <w:uiPriority w:val="99"/>
    <w:semiHidden/>
    <w:unhideWhenUsed/>
    <w:rsid w:val="008E7626"/>
  </w:style>
  <w:style w:type="paragraph" w:styleId="Header">
    <w:name w:val="header"/>
    <w:basedOn w:val="Normal"/>
    <w:link w:val="HeaderChar"/>
    <w:uiPriority w:val="99"/>
    <w:unhideWhenUsed/>
    <w:rsid w:val="008E76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E762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E76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E7626"/>
    <w:rPr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255021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413E"/>
    <w:rPr>
      <w:rFonts w:ascii="Tahoma" w:hAnsi="Tahoma" w:cs="Tahoma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13E"/>
    <w:rPr>
      <w:rFonts w:ascii="Tahoma" w:hAnsi="Tahoma" w:cs="Tahoma"/>
      <w:sz w:val="16"/>
      <w:szCs w:val="18"/>
    </w:rPr>
  </w:style>
  <w:style w:type="character" w:customStyle="1" w:styleId="skip">
    <w:name w:val="skip"/>
    <w:basedOn w:val="DefaultParagraphFont"/>
    <w:rsid w:val="000F2894"/>
  </w:style>
  <w:style w:type="character" w:styleId="Hyperlink">
    <w:name w:val="Hyperlink"/>
    <w:basedOn w:val="DefaultParagraphFont"/>
    <w:uiPriority w:val="99"/>
    <w:unhideWhenUsed/>
    <w:rsid w:val="000F2894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0F2894"/>
  </w:style>
  <w:style w:type="paragraph" w:styleId="Revision">
    <w:name w:val="Revision"/>
    <w:hidden/>
    <w:uiPriority w:val="99"/>
    <w:semiHidden/>
    <w:rsid w:val="00A76C7A"/>
  </w:style>
  <w:style w:type="character" w:styleId="CommentReference">
    <w:name w:val="annotation reference"/>
    <w:basedOn w:val="DefaultParagraphFont"/>
    <w:uiPriority w:val="99"/>
    <w:semiHidden/>
    <w:unhideWhenUsed/>
    <w:rsid w:val="00D071AF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1AF"/>
    <w:pPr>
      <w:jc w:val="left"/>
    </w:pPr>
    <w:rPr>
      <w:rFonts w:ascii="Tahoma" w:hAnsi="Tahoma" w:cs="Tahoma"/>
      <w:sz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1AF"/>
    <w:rPr>
      <w:rFonts w:ascii="Tahoma" w:hAnsi="Tahoma" w:cs="Tahoma"/>
      <w:sz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1AF"/>
    <w:rPr>
      <w:rFonts w:ascii="Tahoma" w:hAnsi="Tahoma" w:cs="Tahoma"/>
      <w:b/>
      <w:bCs/>
      <w:sz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332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E18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NoList"/>
    <w:uiPriority w:val="99"/>
    <w:semiHidden/>
    <w:unhideWhenUsed/>
    <w:rsid w:val="00031E1E"/>
    <w:pPr>
      <w:numPr>
        <w:numId w:val="10"/>
      </w:numPr>
    </w:pPr>
  </w:style>
  <w:style w:type="numbering" w:styleId="1ai">
    <w:name w:val="Outline List 1"/>
    <w:basedOn w:val="NoList"/>
    <w:uiPriority w:val="99"/>
    <w:semiHidden/>
    <w:unhideWhenUsed/>
    <w:rsid w:val="00031E1E"/>
    <w:pPr>
      <w:numPr>
        <w:numId w:val="1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031E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E1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1E1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1E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1E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1E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1E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1E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1E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NoList"/>
    <w:uiPriority w:val="99"/>
    <w:semiHidden/>
    <w:unhideWhenUsed/>
    <w:rsid w:val="00031E1E"/>
    <w:pPr>
      <w:numPr>
        <w:numId w:val="12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031E1E"/>
  </w:style>
  <w:style w:type="paragraph" w:styleId="BlockText">
    <w:name w:val="Block Text"/>
    <w:basedOn w:val="Normal"/>
    <w:uiPriority w:val="99"/>
    <w:semiHidden/>
    <w:unhideWhenUsed/>
    <w:rsid w:val="00031E1E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031E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31E1E"/>
  </w:style>
  <w:style w:type="paragraph" w:styleId="BodyText2">
    <w:name w:val="Body Text 2"/>
    <w:basedOn w:val="Normal"/>
    <w:link w:val="BodyText2Char"/>
    <w:uiPriority w:val="99"/>
    <w:semiHidden/>
    <w:unhideWhenUsed/>
    <w:rsid w:val="00031E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31E1E"/>
  </w:style>
  <w:style w:type="paragraph" w:styleId="BodyText3">
    <w:name w:val="Body Text 3"/>
    <w:basedOn w:val="Normal"/>
    <w:link w:val="BodyText3Char"/>
    <w:uiPriority w:val="99"/>
    <w:semiHidden/>
    <w:unhideWhenUsed/>
    <w:rsid w:val="00031E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31E1E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31E1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31E1E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31E1E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31E1E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31E1E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31E1E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1E1E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31E1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1E1E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31E1E"/>
    <w:rPr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031E1E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31E1E"/>
    <w:pPr>
      <w:spacing w:after="200"/>
    </w:pPr>
    <w:rPr>
      <w:i/>
      <w:iCs/>
      <w:color w:val="44546A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031E1E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31E1E"/>
  </w:style>
  <w:style w:type="table" w:styleId="ColorfulGrid">
    <w:name w:val="Colorful Grid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31E1E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31E1E"/>
  </w:style>
  <w:style w:type="character" w:customStyle="1" w:styleId="DateChar">
    <w:name w:val="Date Char"/>
    <w:basedOn w:val="DefaultParagraphFont"/>
    <w:link w:val="Date"/>
    <w:uiPriority w:val="99"/>
    <w:semiHidden/>
    <w:rsid w:val="00031E1E"/>
  </w:style>
  <w:style w:type="paragraph" w:styleId="DocumentMap">
    <w:name w:val="Document Map"/>
    <w:basedOn w:val="Normal"/>
    <w:link w:val="DocumentMapChar"/>
    <w:uiPriority w:val="99"/>
    <w:semiHidden/>
    <w:unhideWhenUsed/>
    <w:rsid w:val="00031E1E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31E1E"/>
    <w:rPr>
      <w:rFonts w:ascii="Segoe UI" w:hAnsi="Segoe UI" w:cs="Segoe UI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31E1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31E1E"/>
  </w:style>
  <w:style w:type="character" w:styleId="Emphasis">
    <w:name w:val="Emphasis"/>
    <w:basedOn w:val="DefaultParagraphFont"/>
    <w:uiPriority w:val="20"/>
    <w:qFormat/>
    <w:rsid w:val="00031E1E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31E1E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31E1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31E1E"/>
    <w:rPr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031E1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31E1E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031E1E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31E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1E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31E1E"/>
    <w:rPr>
      <w:sz w:val="20"/>
      <w:szCs w:val="20"/>
    </w:rPr>
  </w:style>
  <w:style w:type="table" w:customStyle="1" w:styleId="GridTable1Light">
    <w:name w:val="Grid Table 1 Light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031E1E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031E1E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031E1E"/>
    <w:rPr>
      <w:color w:val="2B579A"/>
      <w:shd w:val="clear" w:color="auto" w:fill="E1DFDD"/>
    </w:rPr>
  </w:style>
  <w:style w:type="character" w:styleId="HTMLAcronym">
    <w:name w:val="HTML Acronym"/>
    <w:basedOn w:val="DefaultParagraphFont"/>
    <w:uiPriority w:val="99"/>
    <w:semiHidden/>
    <w:unhideWhenUsed/>
    <w:rsid w:val="00031E1E"/>
  </w:style>
  <w:style w:type="paragraph" w:styleId="HTMLAddress">
    <w:name w:val="HTML Address"/>
    <w:basedOn w:val="Normal"/>
    <w:link w:val="HTMLAddressChar"/>
    <w:uiPriority w:val="99"/>
    <w:semiHidden/>
    <w:unhideWhenUsed/>
    <w:rsid w:val="00031E1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31E1E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031E1E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031E1E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031E1E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031E1E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31E1E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31E1E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031E1E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031E1E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031E1E"/>
    <w:rPr>
      <w:i/>
      <w:iCs/>
    </w:rPr>
  </w:style>
  <w:style w:type="paragraph" w:styleId="Index1">
    <w:name w:val="index 1"/>
    <w:basedOn w:val="Normal"/>
    <w:next w:val="Normal"/>
    <w:uiPriority w:val="99"/>
    <w:semiHidden/>
    <w:unhideWhenUsed/>
    <w:rsid w:val="00031E1E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unhideWhenUsed/>
    <w:rsid w:val="00031E1E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unhideWhenUsed/>
    <w:rsid w:val="00031E1E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unhideWhenUsed/>
    <w:rsid w:val="00031E1E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unhideWhenUsed/>
    <w:rsid w:val="00031E1E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unhideWhenUsed/>
    <w:rsid w:val="00031E1E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unhideWhenUsed/>
    <w:rsid w:val="00031E1E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unhideWhenUsed/>
    <w:rsid w:val="00031E1E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unhideWhenUsed/>
    <w:rsid w:val="00031E1E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031E1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031E1E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1E1E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1E1E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031E1E"/>
    <w:rPr>
      <w:b/>
      <w:bCs/>
      <w:smallCaps/>
      <w:color w:val="4472C4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31E1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031E1E"/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31E1E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031E1E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031E1E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031E1E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031E1E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031E1E"/>
    <w:pPr>
      <w:ind w:left="1800" w:hanging="360"/>
      <w:contextualSpacing/>
    </w:pPr>
  </w:style>
  <w:style w:type="paragraph" w:styleId="ListBullet">
    <w:name w:val="List Bullet"/>
    <w:basedOn w:val="Normal"/>
    <w:uiPriority w:val="99"/>
    <w:semiHidden/>
    <w:unhideWhenUsed/>
    <w:rsid w:val="00031E1E"/>
    <w:pPr>
      <w:numPr>
        <w:numId w:val="13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31E1E"/>
    <w:pPr>
      <w:numPr>
        <w:numId w:val="1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31E1E"/>
    <w:pPr>
      <w:numPr>
        <w:numId w:val="1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31E1E"/>
    <w:pPr>
      <w:numPr>
        <w:numId w:val="16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31E1E"/>
    <w:pPr>
      <w:numPr>
        <w:numId w:val="17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031E1E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31E1E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31E1E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31E1E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31E1E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semiHidden/>
    <w:unhideWhenUsed/>
    <w:rsid w:val="00031E1E"/>
    <w:pPr>
      <w:numPr>
        <w:numId w:val="18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31E1E"/>
    <w:pPr>
      <w:numPr>
        <w:numId w:val="19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31E1E"/>
    <w:pPr>
      <w:numPr>
        <w:numId w:val="20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31E1E"/>
    <w:pPr>
      <w:numPr>
        <w:numId w:val="21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31E1E"/>
    <w:pPr>
      <w:numPr>
        <w:numId w:val="22"/>
      </w:numPr>
      <w:contextualSpacing/>
    </w:pPr>
  </w:style>
  <w:style w:type="table" w:customStyle="1" w:styleId="ListTable1Light">
    <w:name w:val="List Table 1 Light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bottom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bottom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5"/>
          <w:right w:val="single" w:sz="4" w:space="0" w:color="5B9BD5" w:themeColor="accent5"/>
        </w:tcBorders>
      </w:tcPr>
    </w:tblStylePr>
    <w:tblStylePr w:type="band1Horz">
      <w:tblPr/>
      <w:tcPr>
        <w:tcBorders>
          <w:top w:val="single" w:sz="4" w:space="0" w:color="5B9BD5" w:themeColor="accent5"/>
          <w:bottom w:val="single" w:sz="4" w:space="0" w:color="5B9BD5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5"/>
          <w:left w:val="nil"/>
        </w:tcBorders>
      </w:tcPr>
    </w:tblStylePr>
    <w:tblStylePr w:type="swCell">
      <w:tblPr/>
      <w:tcPr>
        <w:tcBorders>
          <w:top w:val="double" w:sz="4" w:space="0" w:color="5B9BD5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031E1E"/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031E1E"/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5B9BD5" w:themeColor="accent5"/>
        <w:left w:val="single" w:sz="24" w:space="0" w:color="5B9BD5" w:themeColor="accent5"/>
        <w:bottom w:val="single" w:sz="24" w:space="0" w:color="5B9BD5" w:themeColor="accent5"/>
        <w:right w:val="single" w:sz="2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031E1E"/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4" w:space="0" w:color="4472C4" w:themeColor="accent1"/>
        <w:bottom w:val="single" w:sz="4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Borders>
        <w:top w:val="single" w:sz="4" w:space="0" w:color="5B9BD5" w:themeColor="accent5"/>
        <w:bottom w:val="single" w:sz="4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031E1E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031E1E"/>
    <w:rPr>
      <w:color w:val="2F549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031E1E"/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031E1E"/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031E1E"/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031E1E"/>
    <w:rPr>
      <w:color w:val="2E74B5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031E1E"/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031E1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31E1E"/>
    <w:rPr>
      <w:rFonts w:ascii="Consolas" w:hAnsi="Consolas"/>
      <w:sz w:val="20"/>
      <w:szCs w:val="20"/>
    </w:rPr>
  </w:style>
  <w:style w:type="table" w:styleId="MediumGrid1">
    <w:name w:val="Medium Grid 1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031E1E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bottom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31E1E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31E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31E1E"/>
    <w:tblPr>
      <w:tblStyleRowBandSize w:val="1"/>
      <w:tblStyleColBandSize w:val="1"/>
      <w:tblInd w:w="0" w:type="dxa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31E1E"/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31E1E"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DefaultParagraphFont"/>
    <w:uiPriority w:val="99"/>
    <w:semiHidden/>
    <w:unhideWhenUsed/>
    <w:rsid w:val="00031E1E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31E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31E1E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031E1E"/>
    <w:pPr>
      <w:widowControl w:val="0"/>
      <w:jc w:val="both"/>
    </w:pPr>
  </w:style>
  <w:style w:type="paragraph" w:styleId="NormalIndent">
    <w:name w:val="Normal Indent"/>
    <w:basedOn w:val="Normal"/>
    <w:uiPriority w:val="99"/>
    <w:semiHidden/>
    <w:unhideWhenUsed/>
    <w:rsid w:val="00031E1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31E1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31E1E"/>
  </w:style>
  <w:style w:type="character" w:styleId="PageNumber">
    <w:name w:val="page number"/>
    <w:basedOn w:val="DefaultParagraphFont"/>
    <w:uiPriority w:val="99"/>
    <w:semiHidden/>
    <w:unhideWhenUsed/>
    <w:rsid w:val="00031E1E"/>
  </w:style>
  <w:style w:type="character" w:styleId="PlaceholderText">
    <w:name w:val="Placeholder Text"/>
    <w:basedOn w:val="DefaultParagraphFont"/>
    <w:uiPriority w:val="99"/>
    <w:semiHidden/>
    <w:rsid w:val="00031E1E"/>
    <w:rPr>
      <w:color w:val="808080"/>
    </w:rPr>
  </w:style>
  <w:style w:type="table" w:customStyle="1" w:styleId="PlainTable1">
    <w:name w:val="Plain Table 1"/>
    <w:basedOn w:val="TableNormal"/>
    <w:uiPriority w:val="41"/>
    <w:rsid w:val="00031E1E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031E1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031E1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31E1E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31E1E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031E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1E1E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31E1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31E1E"/>
  </w:style>
  <w:style w:type="paragraph" w:styleId="Signature">
    <w:name w:val="Signature"/>
    <w:basedOn w:val="Normal"/>
    <w:link w:val="SignatureChar"/>
    <w:uiPriority w:val="99"/>
    <w:semiHidden/>
    <w:unhideWhenUsed/>
    <w:rsid w:val="00031E1E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31E1E"/>
  </w:style>
  <w:style w:type="character" w:customStyle="1" w:styleId="SmartHyperlink">
    <w:name w:val="Smart Hyperlink"/>
    <w:basedOn w:val="DefaultParagraphFont"/>
    <w:uiPriority w:val="99"/>
    <w:semiHidden/>
    <w:unhideWhenUsed/>
    <w:rsid w:val="00031E1E"/>
    <w:rPr>
      <w:u w:val="dotted"/>
    </w:rPr>
  </w:style>
  <w:style w:type="character" w:customStyle="1" w:styleId="SmartLink">
    <w:name w:val="Smart Link"/>
    <w:basedOn w:val="DefaultParagraphFont"/>
    <w:uiPriority w:val="99"/>
    <w:semiHidden/>
    <w:unhideWhenUsed/>
    <w:rsid w:val="00031E1E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22"/>
    <w:qFormat/>
    <w:rsid w:val="00031E1E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031E1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031E1E"/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031E1E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031E1E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31E1E"/>
    <w:pPr>
      <w:widowControl w:val="0"/>
      <w:jc w:val="both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31E1E"/>
    <w:pPr>
      <w:widowControl w:val="0"/>
      <w:jc w:val="both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31E1E"/>
    <w:pPr>
      <w:widowControl w:val="0"/>
      <w:jc w:val="both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31E1E"/>
    <w:pPr>
      <w:widowControl w:val="0"/>
      <w:jc w:val="both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31E1E"/>
    <w:pPr>
      <w:widowControl w:val="0"/>
      <w:jc w:val="both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TableNormal"/>
    <w:uiPriority w:val="40"/>
    <w:rsid w:val="00031E1E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List1">
    <w:name w:val="Table List 1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31E1E"/>
    <w:pPr>
      <w:widowControl w:val="0"/>
      <w:jc w:val="both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31E1E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031E1E"/>
  </w:style>
  <w:style w:type="table" w:styleId="TableProfessional">
    <w:name w:val="Table Professional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rsid w:val="00031E1E"/>
    <w:pPr>
      <w:widowControl w:val="0"/>
      <w:jc w:val="both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31E1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uiPriority w:val="99"/>
    <w:semiHidden/>
    <w:unhideWhenUsed/>
    <w:rsid w:val="00031E1E"/>
    <w:pPr>
      <w:widowControl w:val="0"/>
      <w:jc w:val="both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rsid w:val="00031E1E"/>
    <w:pPr>
      <w:widowControl w:val="0"/>
      <w:jc w:val="both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31E1E"/>
    <w:pPr>
      <w:widowControl w:val="0"/>
      <w:jc w:val="both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031E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1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99"/>
    <w:semiHidden/>
    <w:unhideWhenUsed/>
    <w:rsid w:val="00031E1E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uiPriority w:val="39"/>
    <w:semiHidden/>
    <w:unhideWhenUsed/>
    <w:rsid w:val="00031E1E"/>
    <w:pPr>
      <w:spacing w:after="100"/>
    </w:pPr>
  </w:style>
  <w:style w:type="paragraph" w:styleId="TOC2">
    <w:name w:val="toc 2"/>
    <w:basedOn w:val="Normal"/>
    <w:next w:val="Normal"/>
    <w:uiPriority w:val="39"/>
    <w:semiHidden/>
    <w:unhideWhenUsed/>
    <w:rsid w:val="00031E1E"/>
    <w:pPr>
      <w:spacing w:after="100"/>
      <w:ind w:left="220"/>
    </w:pPr>
  </w:style>
  <w:style w:type="paragraph" w:styleId="TOC3">
    <w:name w:val="toc 3"/>
    <w:basedOn w:val="Normal"/>
    <w:next w:val="Normal"/>
    <w:uiPriority w:val="39"/>
    <w:semiHidden/>
    <w:unhideWhenUsed/>
    <w:rsid w:val="00031E1E"/>
    <w:pPr>
      <w:spacing w:after="100"/>
      <w:ind w:left="440"/>
    </w:pPr>
  </w:style>
  <w:style w:type="paragraph" w:styleId="TOC4">
    <w:name w:val="toc 4"/>
    <w:basedOn w:val="Normal"/>
    <w:next w:val="Normal"/>
    <w:uiPriority w:val="39"/>
    <w:semiHidden/>
    <w:unhideWhenUsed/>
    <w:rsid w:val="00031E1E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unhideWhenUsed/>
    <w:rsid w:val="00031E1E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unhideWhenUsed/>
    <w:rsid w:val="00031E1E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unhideWhenUsed/>
    <w:rsid w:val="00031E1E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unhideWhenUsed/>
    <w:rsid w:val="00031E1E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unhideWhenUsed/>
    <w:rsid w:val="00031E1E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31E1E"/>
    <w:pPr>
      <w:outlineLvl w:val="9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31E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7A5A4-F69E-48C0-833A-06CA0E29D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1648</Words>
  <Characters>9397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 骜元</dc:creator>
  <cp:lastModifiedBy>rdcuser2</cp:lastModifiedBy>
  <cp:revision>6</cp:revision>
  <dcterms:created xsi:type="dcterms:W3CDTF">2022-11-21T20:53:00Z</dcterms:created>
  <dcterms:modified xsi:type="dcterms:W3CDTF">2022-11-29T10:06:00Z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E1">
    <vt:filetime>2022-11-21T02:22:22Z</vt:filetime>
  </property>
  <property fmtid="{D5CDD505-2E9C-101B-9397-08002B2CF9AE}" pid="3" name="ReminderText">
    <vt:lpwstr>_MGNX8WQH</vt:lpwstr>
  </property>
</Properties>
</file>