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F311" w14:textId="77777777" w:rsidR="00E166BF" w:rsidRDefault="00000000">
      <w:pPr>
        <w:spacing w:line="360" w:lineRule="auto"/>
        <w:jc w:val="left"/>
        <w:rPr>
          <w:rFonts w:ascii="Times New Roman" w:hAnsi="Times New Roman"/>
          <w:b/>
          <w:bCs/>
          <w:sz w:val="32"/>
          <w:szCs w:val="32"/>
          <w:lang w:val="de-DE"/>
        </w:rPr>
      </w:pPr>
      <w:bookmarkStart w:id="0" w:name="OLE_LINK10"/>
      <w:bookmarkStart w:id="1" w:name="OLE_LINK64"/>
      <w:bookmarkStart w:id="2" w:name="OLE_LINK65"/>
      <w:bookmarkStart w:id="3" w:name="_Hlk116385985"/>
      <w:bookmarkStart w:id="4" w:name="_Hlk124146344"/>
      <w:r>
        <w:rPr>
          <w:rFonts w:ascii="Times New Roman" w:hAnsi="Times New Roman"/>
          <w:b/>
          <w:bCs/>
          <w:sz w:val="32"/>
          <w:szCs w:val="32"/>
          <w:lang w:val="de-DE"/>
        </w:rPr>
        <w:t>S</w:t>
      </w:r>
      <w:r>
        <w:rPr>
          <w:rFonts w:ascii="Times New Roman" w:hAnsi="Times New Roman" w:hint="eastAsia"/>
          <w:b/>
          <w:bCs/>
          <w:sz w:val="32"/>
          <w:szCs w:val="32"/>
          <w:lang w:val="de-DE"/>
        </w:rPr>
        <w:t>u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pplementary Information</w:t>
      </w:r>
    </w:p>
    <w:p w14:paraId="60F3B987" w14:textId="77777777" w:rsidR="00E166BF" w:rsidRDefault="00E166BF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de-DE"/>
        </w:rPr>
      </w:pPr>
    </w:p>
    <w:p w14:paraId="01214E88" w14:textId="77777777" w:rsidR="00E166BF" w:rsidRDefault="00000000">
      <w:pPr>
        <w:spacing w:line="288" w:lineRule="auto"/>
        <w:jc w:val="lef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Trim21 depletion alleviates bone loss in osteoporosis via activation of the YAP1/β-catenin signaling</w:t>
      </w:r>
      <w:bookmarkEnd w:id="0"/>
      <w:bookmarkEnd w:id="1"/>
      <w:bookmarkEnd w:id="2"/>
    </w:p>
    <w:p w14:paraId="75CE6CC1" w14:textId="77777777" w:rsidR="00E166BF" w:rsidRDefault="00E166BF">
      <w:pPr>
        <w:spacing w:line="288" w:lineRule="auto"/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</w:pPr>
    </w:p>
    <w:p w14:paraId="0B2F0E8C" w14:textId="77777777" w:rsidR="00E166BF" w:rsidRDefault="00000000">
      <w:pPr>
        <w:spacing w:line="300" w:lineRule="auto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5" w:name="OLE_LINK14"/>
      <w:bookmarkStart w:id="6" w:name="_Hlk141947639"/>
      <w:bookmarkStart w:id="7" w:name="_Hlk142550620"/>
      <w:r>
        <w:rPr>
          <w:rFonts w:ascii="Times New Roman" w:hAnsi="Times New Roman"/>
          <w:color w:val="000000"/>
          <w:sz w:val="24"/>
          <w:szCs w:val="24"/>
        </w:rPr>
        <w:t>Ri-Xu Liu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1,7</w:t>
      </w:r>
      <w:r>
        <w:rPr>
          <w:rFonts w:ascii="Times New Roman" w:hAnsi="Times New Roman"/>
          <w:color w:val="000000"/>
          <w:sz w:val="24"/>
          <w:szCs w:val="24"/>
        </w:rPr>
        <w:t>, R</w:t>
      </w:r>
      <w:r>
        <w:rPr>
          <w:rFonts w:ascii="Times New Roman" w:hAnsi="Times New Roman" w:hint="eastAsia"/>
          <w:color w:val="000000"/>
          <w:sz w:val="24"/>
          <w:szCs w:val="24"/>
        </w:rPr>
        <w:t>ong</w:t>
      </w:r>
      <w:r>
        <w:rPr>
          <w:rFonts w:ascii="Times New Roman" w:hAnsi="Times New Roman"/>
          <w:color w:val="000000"/>
          <w:sz w:val="24"/>
          <w:szCs w:val="24"/>
        </w:rPr>
        <w:t>-He Gu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, Zhi-Peng Li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Zhi-Quan Hao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Qin-Xiao Hu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Z</w:t>
      </w:r>
      <w:r>
        <w:rPr>
          <w:rFonts w:ascii="Times New Roman" w:hAnsi="Times New Roman" w:hint="eastAsia"/>
          <w:color w:val="000000"/>
          <w:sz w:val="24"/>
          <w:szCs w:val="24"/>
        </w:rPr>
        <w:t>hen</w:t>
      </w:r>
      <w:r>
        <w:rPr>
          <w:rFonts w:ascii="Times New Roman" w:hAnsi="Times New Roman"/>
          <w:color w:val="000000"/>
          <w:sz w:val="24"/>
          <w:szCs w:val="24"/>
        </w:rPr>
        <w:t>-Yan Li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Xiao-Gang Wang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, Wang Tang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X</w:t>
      </w:r>
      <w:r>
        <w:rPr>
          <w:rFonts w:ascii="Times New Roman" w:hAnsi="Times New Roman" w:hint="eastAsia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z w:val="24"/>
          <w:szCs w:val="24"/>
        </w:rPr>
        <w:t>o-He Wang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Yu-Kai Zeng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Zhen-Wei Li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 Qiu Dong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8" w:name="OLE_LINK42"/>
      <w:bookmarkStart w:id="9" w:name="OLE_LINK44"/>
      <w:r>
        <w:rPr>
          <w:rFonts w:ascii="Times New Roman" w:hAnsi="Times New Roman"/>
          <w:color w:val="000000"/>
          <w:kern w:val="0"/>
          <w:sz w:val="24"/>
          <w:szCs w:val="24"/>
        </w:rPr>
        <w:t>Xiao-Feng Zhu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</w:rPr>
        <w:t>,</w:t>
      </w:r>
      <w:bookmarkEnd w:id="8"/>
      <w:bookmarkEnd w:id="9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D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i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Chen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/>
          <w:color w:val="000000"/>
          <w:kern w:val="0"/>
          <w:sz w:val="24"/>
          <w:szCs w:val="24"/>
        </w:rPr>
        <w:t>, Ke-Wei Zhao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6</w:t>
      </w:r>
      <w:r>
        <w:rPr>
          <w:rFonts w:ascii="Times New Roman" w:hAnsi="Times New Roman"/>
          <w:color w:val="000000"/>
          <w:kern w:val="0"/>
          <w:sz w:val="24"/>
          <w:szCs w:val="24"/>
        </w:rPr>
        <w:t>, Rong-Hua Zhang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sym w:font="Wingdings" w:char="F02A"/>
      </w:r>
      <w:r>
        <w:rPr>
          <w:rFonts w:ascii="Times New Roman" w:hAnsi="Times New Roman"/>
          <w:color w:val="000000"/>
          <w:kern w:val="0"/>
          <w:sz w:val="24"/>
          <w:szCs w:val="24"/>
        </w:rPr>
        <w:t>, Zhen-Gang Zha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sym w:font="Wingdings" w:char="F02A"/>
      </w:r>
      <w:r>
        <w:rPr>
          <w:rFonts w:ascii="Times New Roman" w:hAnsi="Times New Roman"/>
          <w:color w:val="000000"/>
          <w:kern w:val="0"/>
          <w:sz w:val="24"/>
          <w:szCs w:val="24"/>
        </w:rPr>
        <w:t>, Huan-Tian Zhang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sym w:font="Wingdings" w:char="F02A"/>
      </w:r>
    </w:p>
    <w:p w14:paraId="274DB534" w14:textId="77777777" w:rsidR="00E166BF" w:rsidRDefault="00E166BF">
      <w:pPr>
        <w:spacing w:line="300" w:lineRule="auto"/>
        <w:rPr>
          <w:rFonts w:ascii="Times New Roman" w:hAnsi="Times New Roman"/>
          <w:i/>
          <w:iCs/>
          <w:color w:val="000000"/>
          <w:kern w:val="0"/>
          <w:sz w:val="24"/>
          <w:szCs w:val="24"/>
          <w:vertAlign w:val="superscript"/>
        </w:rPr>
      </w:pPr>
    </w:p>
    <w:p w14:paraId="6B2D4309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bookmarkStart w:id="10" w:name="OLE_LINK137"/>
      <w:bookmarkStart w:id="11" w:name="OLE_LINK138"/>
      <w:bookmarkStart w:id="12" w:name="OLE_LINK122"/>
      <w:bookmarkStart w:id="13" w:name="OLE_LINK121"/>
      <w:bookmarkStart w:id="14" w:name="OLE_LINK139"/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Department of Bone and Joint Surgery, the First Affiliated Hospital</w:t>
      </w:r>
      <w:bookmarkEnd w:id="10"/>
      <w:bookmarkEnd w:id="11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Jinan University; Key Laboratory of Regenerative Medicine of Ministry of Education, Jinan University, Guangzhou, Guangdong 510630, China;</w:t>
      </w:r>
    </w:p>
    <w:p w14:paraId="4271A47C" w14:textId="77777777" w:rsidR="00E166BF" w:rsidRDefault="00000000">
      <w:pPr>
        <w:spacing w:line="360" w:lineRule="exact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School of Basic Medical Sciences of Guangxi Medical University, the Fifth Affiliated Hospital of Guangxi Medical University, Nanning, Guangxi 530022, China;</w:t>
      </w:r>
    </w:p>
    <w:p w14:paraId="1CBFF866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Key Laboratory of Big Data-Based Precision Medicine, School of Engineering Medicine,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Beihang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University, Beijing 100191, China;</w:t>
      </w:r>
    </w:p>
    <w:p w14:paraId="0BA9223F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Guangdong Provincial Key Laboratory of Traditional Chinese Medicine Informatization, College of Pharmacy, Jinan University, Guangzhou, Guangdong 510630, China;</w:t>
      </w:r>
    </w:p>
    <w:p w14:paraId="72937F69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Research Center for Computer-aided Drug Discovery, Shenzhen Institute of Advanced Technology, Chinese Academy of Sciences, Shenzhen 518005, China;</w:t>
      </w:r>
    </w:p>
    <w:bookmarkEnd w:id="12"/>
    <w:bookmarkEnd w:id="13"/>
    <w:bookmarkEnd w:id="14"/>
    <w:p w14:paraId="1F8BC5A6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Guangzhou Key Laboratory of Chinese Medicine Research on Prevention and Treatment of Osteoporosis, the Third Affiliated Hospital of Guangzhou University of Chinese Medicine, Guangzhou 510375, China;</w:t>
      </w:r>
    </w:p>
    <w:p w14:paraId="502A375D" w14:textId="77777777" w:rsidR="00E166BF" w:rsidRDefault="00000000">
      <w:pPr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Department of Orthopedic and Spine Surgery, The First Affiliated Hospital of Guangzhou Medical University, Guangzhou, Guangdong 510120, China</w:t>
      </w:r>
    </w:p>
    <w:bookmarkEnd w:id="5"/>
    <w:bookmarkEnd w:id="6"/>
    <w:p w14:paraId="7E9ABE40" w14:textId="77777777" w:rsidR="00E166BF" w:rsidRDefault="00E166BF">
      <w:pPr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  <w:sz w:val="24"/>
          <w:szCs w:val="24"/>
        </w:rPr>
      </w:pPr>
    </w:p>
    <w:p w14:paraId="1181AACB" w14:textId="77777777" w:rsidR="00E166BF" w:rsidRDefault="00000000">
      <w:pPr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Correspond</w:t>
      </w:r>
      <w:r>
        <w:rPr>
          <w:rFonts w:ascii="Times New Roman" w:hAnsi="Times New Roman" w:hint="eastAsia"/>
          <w:color w:val="000000"/>
          <w:sz w:val="24"/>
          <w:szCs w:val="24"/>
        </w:rPr>
        <w:t>ence</w:t>
      </w:r>
      <w:r>
        <w:rPr>
          <w:rFonts w:ascii="Times New Roman" w:hAnsi="Times New Roman"/>
          <w:color w:val="000000"/>
          <w:sz w:val="24"/>
          <w:szCs w:val="24"/>
        </w:rPr>
        <w:t>: Rong-Hua Zhang (</w:t>
      </w:r>
      <w:hyperlink r:id="rId6" w:history="1">
        <w:r>
          <w:rPr>
            <w:rFonts w:ascii="Times New Roman" w:hAnsi="Times New Roman"/>
            <w:color w:val="000000"/>
            <w:sz w:val="24"/>
            <w:szCs w:val="24"/>
          </w:rPr>
          <w:t>tzrh@jnu.edu.cn</w:t>
        </w:r>
      </w:hyperlink>
      <w:r>
        <w:rPr>
          <w:rFonts w:ascii="Times New Roman" w:hAnsi="Times New Roman"/>
          <w:color w:val="000000"/>
          <w:sz w:val="24"/>
          <w:szCs w:val="24"/>
        </w:rPr>
        <w:t>) or Zhen-Gang Zha (</w:t>
      </w:r>
      <w:hyperlink r:id="rId7" w:history="1">
        <w:r>
          <w:rPr>
            <w:rFonts w:ascii="Times New Roman" w:hAnsi="Times New Roman"/>
            <w:color w:val="000000"/>
            <w:sz w:val="24"/>
            <w:szCs w:val="24"/>
          </w:rPr>
          <w:t>tbri@jnu.edu.cn</w:t>
        </w:r>
      </w:hyperlink>
      <w:r>
        <w:rPr>
          <w:rFonts w:ascii="Times New Roman" w:hAnsi="Times New Roman"/>
          <w:color w:val="000000"/>
          <w:sz w:val="24"/>
          <w:szCs w:val="24"/>
        </w:rPr>
        <w:t>) or Huan-Tian Zhang (</w:t>
      </w:r>
      <w:hyperlink r:id="rId8" w:history="1">
        <w:r>
          <w:rPr>
            <w:rFonts w:ascii="Times New Roman" w:hAnsi="Times New Roman"/>
            <w:color w:val="000000"/>
            <w:sz w:val="24"/>
            <w:szCs w:val="24"/>
          </w:rPr>
          <w:t>zhanghuantian@jnu.edu.cn</w:t>
        </w:r>
      </w:hyperlink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7"/>
    <w:p w14:paraId="3681E5DE" w14:textId="77777777" w:rsidR="00E166BF" w:rsidRDefault="00E166BF">
      <w:pPr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  <w:sz w:val="24"/>
          <w:szCs w:val="24"/>
        </w:rPr>
      </w:pPr>
    </w:p>
    <w:p w14:paraId="305C515D" w14:textId="77777777" w:rsidR="00E166BF" w:rsidRDefault="00000000">
      <w:pPr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These authors contributed equally: Ri-Xu Liu, R</w:t>
      </w:r>
      <w:r>
        <w:rPr>
          <w:rFonts w:ascii="Times New Roman" w:hAnsi="Times New Roman" w:hint="eastAsia"/>
          <w:color w:val="000000"/>
          <w:sz w:val="24"/>
          <w:szCs w:val="24"/>
        </w:rPr>
        <w:t>ong</w:t>
      </w:r>
      <w:r>
        <w:rPr>
          <w:rFonts w:ascii="Times New Roman" w:hAnsi="Times New Roman"/>
          <w:color w:val="000000"/>
          <w:sz w:val="24"/>
          <w:szCs w:val="24"/>
        </w:rPr>
        <w:t xml:space="preserve">-He Gu, Zhi-Peng Li,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Zhi-Quan Hao</w:t>
      </w:r>
    </w:p>
    <w:p w14:paraId="60AA1CD9" w14:textId="77777777" w:rsidR="00E166BF" w:rsidRDefault="0000000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9219648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bookmarkStart w:id="15" w:name="_Hlk67400401"/>
      <w:bookmarkEnd w:id="3"/>
      <w:bookmarkEnd w:id="4"/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lastRenderedPageBreak/>
        <w:t>Fig. S1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 xml:space="preserve"> T</w:t>
      </w:r>
      <w:r>
        <w:rPr>
          <w:rFonts w:ascii="Times New Roman" w:hAnsi="Times New Roman"/>
          <w:color w:val="FF0000"/>
          <w:sz w:val="24"/>
          <w:szCs w:val="24"/>
        </w:rPr>
        <w:t xml:space="preserve">he correlation between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color w:val="FF0000"/>
          <w:sz w:val="24"/>
          <w:szCs w:val="24"/>
        </w:rPr>
        <w:t xml:space="preserve"> expression and osteoporotic status</w:t>
      </w:r>
    </w:p>
    <w:p w14:paraId="188F461D" w14:textId="77777777" w:rsidR="00E166BF" w:rsidRDefault="00000000" w:rsidP="0006525E">
      <w:pPr>
        <w:spacing w:line="360" w:lineRule="auto"/>
        <w:rPr>
          <w:szCs w:val="21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Fig. S2</w:t>
      </w:r>
      <w:r>
        <w:rPr>
          <w:color w:val="FF0000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Establishment of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FF0000"/>
          <w:sz w:val="24"/>
          <w:szCs w:val="24"/>
        </w:rPr>
        <w:t xml:space="preserve"> knockout and </w:t>
      </w:r>
      <w:proofErr w:type="spellStart"/>
      <w:r>
        <w:rPr>
          <w:rFonts w:ascii="Times New Roman" w:hAnsi="Times New Roman"/>
          <w:i/>
          <w:iCs/>
          <w:color w:val="FF0000"/>
          <w:sz w:val="24"/>
          <w:szCs w:val="24"/>
        </w:rPr>
        <w:t>Ctsk-cre</w:t>
      </w:r>
      <w:proofErr w:type="spellEnd"/>
      <w:r>
        <w:rPr>
          <w:rFonts w:ascii="Times New Roman" w:hAnsi="Times New Roman"/>
          <w:i/>
          <w:iCs/>
          <w:color w:val="FF0000"/>
          <w:sz w:val="24"/>
          <w:szCs w:val="24"/>
        </w:rPr>
        <w:t>; T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r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conditional knockout mice.</w:t>
      </w:r>
    </w:p>
    <w:p w14:paraId="4B81870C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Fig. S3</w:t>
      </w:r>
      <w:r>
        <w:rPr>
          <w:rFonts w:ascii="Times New Roman" w:hAnsi="Times New Roman"/>
          <w:color w:val="FF0000"/>
          <w:sz w:val="24"/>
          <w:szCs w:val="24"/>
        </w:rPr>
        <w:t xml:space="preserve"> T</w:t>
      </w:r>
      <w:r>
        <w:rPr>
          <w:rFonts w:ascii="Times New Roman" w:hAnsi="Times New Roman" w:hint="eastAsia"/>
          <w:color w:val="FF0000"/>
          <w:sz w:val="24"/>
          <w:szCs w:val="24"/>
        </w:rPr>
        <w:t>he</w:t>
      </w:r>
      <w:r>
        <w:rPr>
          <w:rFonts w:ascii="Times New Roman" w:hAnsi="Times New Roman"/>
          <w:color w:val="FF0000"/>
          <w:sz w:val="24"/>
          <w:szCs w:val="24"/>
        </w:rPr>
        <w:t xml:space="preserve"> effect of Trim21 on the length of long bones and cortical bone parameters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</w:p>
    <w:p w14:paraId="4326C042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hint="eastAsia"/>
          <w:b/>
          <w:bCs/>
          <w:color w:val="FF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ig. S4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 xml:space="preserve"> mBMSCs verification and osteogenic differentiation upon loss of Trim21</w:t>
      </w:r>
    </w:p>
    <w:p w14:paraId="40AA8934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FF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 xml:space="preserve">ig. S5 </w:t>
      </w:r>
      <w:r>
        <w:rPr>
          <w:rFonts w:ascii="Times New Roman" w:hAnsi="Times New Roman"/>
          <w:color w:val="FF0000"/>
          <w:sz w:val="24"/>
          <w:szCs w:val="24"/>
        </w:rPr>
        <w:t xml:space="preserve">The role of Trim21 in osteogenic </w:t>
      </w:r>
      <w:r>
        <w:rPr>
          <w:rFonts w:ascii="Times New Roman" w:hAnsi="Times New Roman" w:hint="eastAsia"/>
          <w:color w:val="FF0000"/>
          <w:sz w:val="24"/>
          <w:szCs w:val="24"/>
        </w:rPr>
        <w:t>differentiation</w:t>
      </w:r>
      <w:r>
        <w:rPr>
          <w:rFonts w:ascii="Times New Roman" w:hAnsi="Times New Roman"/>
          <w:color w:val="FF0000"/>
          <w:sz w:val="24"/>
          <w:szCs w:val="24"/>
        </w:rPr>
        <w:t xml:space="preserve"> and bone repair</w:t>
      </w:r>
    </w:p>
    <w:p w14:paraId="695E78F0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 xml:space="preserve">Fig. S6 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>The role of Trim21 in regulating OCs formation</w:t>
      </w:r>
    </w:p>
    <w:p w14:paraId="6852825A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Fig. S7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Involvement of the YAP1/BCL9/β-catenin complex in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color w:val="FF0000"/>
          <w:sz w:val="24"/>
          <w:szCs w:val="24"/>
        </w:rPr>
        <w:t>-regulated osteoblast differentiation</w:t>
      </w:r>
    </w:p>
    <w:bookmarkEnd w:id="15"/>
    <w:p w14:paraId="405F9781" w14:textId="77777777" w:rsidR="00E166BF" w:rsidRDefault="00000000" w:rsidP="0006525E">
      <w:pPr>
        <w:spacing w:line="360" w:lineRule="auto"/>
        <w:rPr>
          <w:color w:val="FF0000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Fig. S8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Trim21 </w:t>
      </w:r>
      <w:r>
        <w:rPr>
          <w:rFonts w:ascii="Times New Roman" w:hAnsi="Times New Roman"/>
          <w:color w:val="FF0000"/>
          <w:sz w:val="24"/>
          <w:szCs w:val="24"/>
        </w:rPr>
        <w:t>depletion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alleviates LPS-induced bone loss.</w:t>
      </w:r>
    </w:p>
    <w:p w14:paraId="2E43FD6A" w14:textId="77777777" w:rsidR="00E166BF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Fig. S9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Trim21 </w:t>
      </w:r>
      <w:r>
        <w:rPr>
          <w:rFonts w:ascii="Times New Roman" w:hAnsi="Times New Roman"/>
          <w:color w:val="FF0000"/>
          <w:sz w:val="24"/>
          <w:szCs w:val="24"/>
        </w:rPr>
        <w:t>depletion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alleviates OVX-induced bone loss through β-catenin signaling.</w:t>
      </w:r>
    </w:p>
    <w:p w14:paraId="015DA547" w14:textId="77777777" w:rsidR="00E166BF" w:rsidRPr="003F5C84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Table S1</w:t>
      </w:r>
      <w:r w:rsidRPr="003F5C84">
        <w:rPr>
          <w:rFonts w:ascii="Times New Roman" w:hAnsi="Times New Roman"/>
          <w:color w:val="FF0000"/>
          <w:sz w:val="24"/>
          <w:szCs w:val="24"/>
          <w:lang w:val="de-DE"/>
        </w:rPr>
        <w:t xml:space="preserve"> A detailed information of each patient enrolled for analysis</w:t>
      </w:r>
    </w:p>
    <w:p w14:paraId="009A3923" w14:textId="7829C368" w:rsidR="00E166BF" w:rsidRPr="003F5C84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Table S2</w:t>
      </w:r>
      <w:r w:rsidRPr="003F5C84">
        <w:rPr>
          <w:rFonts w:ascii="Times New Roman" w:hAnsi="Times New Roman"/>
          <w:color w:val="FF0000"/>
          <w:sz w:val="24"/>
          <w:szCs w:val="24"/>
          <w:lang w:val="de-DE"/>
        </w:rPr>
        <w:t xml:space="preserve"> The primers used for Trim21 global and conditional knockout mice genotyping </w:t>
      </w:r>
    </w:p>
    <w:p w14:paraId="378EAADD" w14:textId="77777777" w:rsidR="00E166BF" w:rsidRPr="003F5C84" w:rsidRDefault="00000000" w:rsidP="0006525E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Table S3</w:t>
      </w:r>
      <w:r w:rsidRPr="003F5C84">
        <w:rPr>
          <w:rFonts w:ascii="Times New Roman" w:hAnsi="Times New Roman"/>
          <w:color w:val="FF0000"/>
          <w:sz w:val="24"/>
          <w:szCs w:val="24"/>
          <w:lang w:val="de-DE"/>
        </w:rPr>
        <w:t xml:space="preserve"> List of the siRNAs sequences</w:t>
      </w:r>
    </w:p>
    <w:p w14:paraId="773DB9A2" w14:textId="77777777" w:rsidR="00E166BF" w:rsidRDefault="00000000" w:rsidP="0006525E">
      <w:pPr>
        <w:spacing w:line="360" w:lineRule="auto"/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Table S4</w:t>
      </w:r>
      <w:r w:rsidRPr="003F5C84">
        <w:rPr>
          <w:rFonts w:ascii="Times New Roman" w:hAnsi="Times New Roman"/>
          <w:color w:val="FF0000"/>
          <w:sz w:val="24"/>
          <w:szCs w:val="24"/>
          <w:lang w:val="de-DE"/>
        </w:rPr>
        <w:t xml:space="preserve"> The primers used for quantitative RT-PCR</w:t>
      </w:r>
    </w:p>
    <w:p w14:paraId="3B79DCE1" w14:textId="77777777" w:rsidR="00095CE0" w:rsidRDefault="00000000" w:rsidP="00095CE0">
      <w:pPr>
        <w:spacing w:line="360" w:lineRule="auto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Table S5</w:t>
      </w:r>
      <w:r w:rsidRPr="003F5C84">
        <w:rPr>
          <w:rFonts w:ascii="Times New Roman" w:hAnsi="Times New Roman"/>
          <w:color w:val="FF0000"/>
          <w:sz w:val="24"/>
          <w:szCs w:val="24"/>
          <w:lang w:val="de-DE"/>
        </w:rPr>
        <w:t xml:space="preserve"> Methods used for the determination of indicated phenotypes.</w:t>
      </w:r>
    </w:p>
    <w:p w14:paraId="32E6E5DA" w14:textId="77777777" w:rsidR="00095CE0" w:rsidRDefault="00095CE0">
      <w:pPr>
        <w:widowControl/>
        <w:jc w:val="left"/>
        <w:rPr>
          <w:rFonts w:ascii="Times New Roman" w:hAnsi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/>
          <w:color w:val="FF0000"/>
          <w:sz w:val="24"/>
          <w:szCs w:val="24"/>
          <w:lang w:val="de-DE"/>
        </w:rPr>
        <w:br w:type="page"/>
      </w:r>
    </w:p>
    <w:p w14:paraId="7512876A" w14:textId="4D1B7F13" w:rsidR="00E166BF" w:rsidRDefault="008059B9" w:rsidP="00095CE0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F9DFB48" wp14:editId="1A6E75EA">
            <wp:extent cx="4191000" cy="36018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967" cy="3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F0C8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ig. S1 </w:t>
      </w:r>
      <w:r>
        <w:rPr>
          <w:rFonts w:ascii="Times New Roman" w:hAnsi="Times New Roman"/>
          <w:color w:val="000000"/>
          <w:sz w:val="24"/>
          <w:szCs w:val="24"/>
        </w:rPr>
        <w:t xml:space="preserve">The correlation between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 xml:space="preserve"> expression and osteoporotic status.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-d</w:t>
      </w:r>
      <w:r>
        <w:rPr>
          <w:rFonts w:ascii="Times New Roman" w:hAnsi="Times New Roman"/>
          <w:color w:val="000000"/>
          <w:sz w:val="24"/>
          <w:szCs w:val="24"/>
        </w:rPr>
        <w:t xml:space="preserve"> Correlation analysis between the mRNA expression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 xml:space="preserve"> with bone alkaline phosphatase (BALP), amino-terminal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propeptide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type I collagen (PINP), osteocalcin (OST), and C-terminal telopeptide of type I collagen (β-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CTx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in patients with different bone mineral densities (BMD).</w:t>
      </w:r>
    </w:p>
    <w:p w14:paraId="10DF0B7D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7C8844A" w14:textId="1F548326" w:rsidR="00E166BF" w:rsidRDefault="008059B9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2ABDD0C0" wp14:editId="70D10FB5">
            <wp:extent cx="5272405" cy="456247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7E878" w14:textId="22CA3471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ig. S2 </w:t>
      </w:r>
      <w:r>
        <w:rPr>
          <w:rFonts w:ascii="Times New Roman" w:hAnsi="Times New Roman"/>
          <w:color w:val="000000"/>
          <w:sz w:val="24"/>
          <w:szCs w:val="24"/>
        </w:rPr>
        <w:t xml:space="preserve">Establishment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knockout and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Ctsk-cre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; T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f/f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conditional knockout mice.</w:t>
      </w:r>
      <w:r w:rsidR="006E07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 xml:space="preserve"> global knockout 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) mice were designed and generated.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b, 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+/+ </w:t>
      </w:r>
      <w:r>
        <w:rPr>
          <w:rFonts w:ascii="Times New Roman" w:hAnsi="Times New Roman"/>
          <w:color w:val="000000"/>
          <w:sz w:val="24"/>
          <w:szCs w:val="24"/>
        </w:rPr>
        <w:t xml:space="preserve">(Wild-type)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 w:rsidR="000B20BE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(Knockout) mice were validated via genotyping by</w:t>
      </w:r>
      <w:r>
        <w:rPr>
          <w:rFonts w:ascii="Times New Roman" w:hAnsi="Times New Roman"/>
          <w:color w:val="FF0000"/>
          <w:sz w:val="24"/>
          <w:szCs w:val="24"/>
        </w:rPr>
        <w:t xml:space="preserve"> Reverse Transcription Polymerase Chain Reaction (RT-PCR). d, e </w:t>
      </w:r>
      <w:r>
        <w:rPr>
          <w:rFonts w:ascii="Times New Roman" w:hAnsi="Times New Roman"/>
          <w:color w:val="000000"/>
          <w:sz w:val="24"/>
          <w:szCs w:val="24"/>
        </w:rPr>
        <w:t xml:space="preserve">Genotyping verification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mice by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qRT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-PCR with multiple primer pairs. The primers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 xml:space="preserve"> used for</w:t>
      </w:r>
      <w:r>
        <w:rPr>
          <w:rFonts w:ascii="Times New Roman" w:hAnsi="Times New Roman"/>
          <w:color w:val="000000"/>
          <w:sz w:val="24"/>
          <w:szCs w:val="24"/>
        </w:rPr>
        <w:t xml:space="preserve"> RT-PCR were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>: forward</w:t>
      </w:r>
      <w:r>
        <w:rPr>
          <w:rStyle w:val="15"/>
        </w:rPr>
        <w:t xml:space="preserve"> (F3): 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CCTGGTTAGATTCCACGGCA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 xml:space="preserve">, reverse (R3): 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GGACATGAACTGCCCCCATT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>; forward (F4):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GCTGGAGAGGAGGATTCGTG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 xml:space="preserve">, reverse (R4): 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CCCATCCTCACTTGTCTCCG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>; forward (F5):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GGGAGACACCCATCAGAACG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 xml:space="preserve">, reverse (R5): 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Symbol" w:hAnsi="Symbol"/>
          <w:color w:val="000000"/>
          <w:sz w:val="22"/>
        </w:rPr>
        <w:t>¢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AGGAGAATCTCTGGGCACCT</w:t>
      </w:r>
      <w:r>
        <w:rPr>
          <w:rFonts w:eastAsia="Arial Unicode MS" w:hint="eastAsia"/>
          <w:color w:val="000000"/>
          <w:sz w:val="22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Symbol" w:hAnsi="Symbol"/>
          <w:color w:val="000000"/>
          <w:sz w:val="22"/>
        </w:rPr>
        <w:t>¢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宋体" w:hAnsi="Times New Roman" w:hint="eastAsia"/>
          <w:color w:val="000000"/>
          <w:sz w:val="24"/>
          <w:szCs w:val="24"/>
          <w:shd w:val="clear" w:color="auto" w:fill="FFFFFF"/>
        </w:rPr>
        <w:t>M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>ouse ID-1 in the blot indicated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mice, while </w:t>
      </w:r>
      <w:r>
        <w:rPr>
          <w:rFonts w:ascii="Times New Roman" w:eastAsia="宋体" w:hAnsi="Times New Roman" w:hint="eastAsia"/>
          <w:color w:val="000000"/>
          <w:sz w:val="24"/>
          <w:szCs w:val="24"/>
          <w:shd w:val="clear" w:color="auto" w:fill="FFFFFF"/>
        </w:rPr>
        <w:t>M</w:t>
      </w:r>
      <w:r>
        <w:rPr>
          <w:rFonts w:ascii="Times New Roman" w:eastAsia="宋体" w:hAnsi="Times New Roman"/>
          <w:color w:val="000000"/>
          <w:sz w:val="24"/>
          <w:szCs w:val="24"/>
          <w:shd w:val="clear" w:color="auto" w:fill="FFFFFF"/>
        </w:rPr>
        <w:t>ouse ID-7</w:t>
      </w:r>
      <w:r>
        <w:rPr>
          <w:rFonts w:ascii="Times New Roman" w:hAnsi="Times New Roman"/>
          <w:color w:val="000000"/>
          <w:sz w:val="24"/>
          <w:szCs w:val="24"/>
        </w:rPr>
        <w:t xml:space="preserve"> in the blot indicated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>mice.</w:t>
      </w:r>
      <w:r w:rsidRPr="003F5C84">
        <w:rPr>
          <w:rFonts w:ascii="Times New Roman" w:hAnsi="Times New Roman"/>
          <w:b/>
          <w:bCs/>
          <w:color w:val="FF0000"/>
          <w:sz w:val="24"/>
          <w:szCs w:val="24"/>
        </w:rPr>
        <w:t xml:space="preserve"> f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 conditional knockout (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) mice were designed and generated. </w:t>
      </w:r>
      <w:r w:rsidRPr="003F5C84">
        <w:rPr>
          <w:rFonts w:ascii="Times New Roman" w:hAnsi="Times New Roman"/>
          <w:b/>
          <w:bCs/>
          <w:color w:val="FF0000"/>
          <w:sz w:val="24"/>
          <w:szCs w:val="24"/>
        </w:rPr>
        <w:t xml:space="preserve">g 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Genotyping verification of 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 w:rsidRPr="003F5C84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</w:t>
      </w:r>
      <w:r w:rsidRPr="003F5C84">
        <w:rPr>
          <w:rFonts w:ascii="Times New Roman" w:hAnsi="Times New Roman"/>
          <w:color w:val="FF0000"/>
          <w:sz w:val="24"/>
          <w:szCs w:val="24"/>
        </w:rPr>
        <w:lastRenderedPageBreak/>
        <w:t>and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>Ctsk-cre</w:t>
      </w:r>
      <w:proofErr w:type="spellEnd"/>
      <w:r w:rsidRPr="003F5C84">
        <w:rPr>
          <w:rFonts w:ascii="Times New Roman" w:hAnsi="Times New Roman"/>
          <w:i/>
          <w:iCs/>
          <w:color w:val="FF0000"/>
          <w:sz w:val="24"/>
          <w:szCs w:val="24"/>
        </w:rPr>
        <w:t>; Trim21</w:t>
      </w:r>
      <w:r w:rsidRPr="003F5C84"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 w:rsidRPr="003F5C84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</w:t>
      </w:r>
      <w:r w:rsidRPr="003F5C84">
        <w:rPr>
          <w:rFonts w:ascii="Times New Roman" w:hAnsi="Times New Roman"/>
          <w:color w:val="FF0000"/>
          <w:sz w:val="24"/>
          <w:szCs w:val="24"/>
        </w:rPr>
        <w:t>mice by RT-PCR.</w:t>
      </w:r>
    </w:p>
    <w:p w14:paraId="72EE1869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32B65A9" w14:textId="7EC4C883" w:rsidR="00E166BF" w:rsidRDefault="008059B9" w:rsidP="00095CE0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4EFE1630" wp14:editId="101420D4">
            <wp:extent cx="4615547" cy="3363685"/>
            <wp:effectExtent l="0" t="0" r="0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457" cy="336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E56E" w14:textId="77777777" w:rsidR="00E166BF" w:rsidRDefault="00000000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lang w:val="de-DE"/>
        </w:rPr>
        <w:t>Fig. S3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The effect of Trim21 on the length of long bones and cortical bone parameters.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a, b</w:t>
      </w:r>
      <w:r>
        <w:rPr>
          <w:rFonts w:ascii="Times New Roman" w:hAnsi="Times New Roman"/>
          <w:color w:val="FF0000"/>
          <w:sz w:val="24"/>
          <w:szCs w:val="24"/>
        </w:rPr>
        <w:t xml:space="preserve"> Quantitative analysis of the femur and humerus length of mice at 1-month-old (1 M) and 6-month-old (6 M). </w:t>
      </w:r>
      <w:r>
        <w:rPr>
          <w:rFonts w:ascii="Times New Roman" w:hAnsi="Times New Roman" w:hint="eastAsia"/>
          <w:b/>
          <w:bCs/>
          <w:color w:val="FF0000"/>
          <w:sz w:val="24"/>
          <w:szCs w:val="24"/>
        </w:rPr>
        <w:t>c</w:t>
      </w:r>
      <w:r>
        <w:rPr>
          <w:rFonts w:ascii="Times New Roman" w:hAnsi="Times New Roman"/>
          <w:color w:val="FF0000"/>
          <w:sz w:val="24"/>
          <w:szCs w:val="24"/>
        </w:rPr>
        <w:t xml:space="preserve"> Cortical bone volume per tissue volume (Ct. BV/TV) and cortical thickness (Ct. Th) of the proximal tibia in the 14-week-old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FF0000"/>
          <w:sz w:val="24"/>
          <w:szCs w:val="24"/>
        </w:rPr>
        <w:t xml:space="preserve"> mice. All bar graphs are presented as mean ± SD. 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0.05; **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0.01; ***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 xml:space="preserve">&lt; 0.001;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n.s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., not significant</w:t>
      </w:r>
      <w:r>
        <w:rPr>
          <w:rFonts w:ascii="Times New Roman" w:hAnsi="Times New Roman" w:hint="eastAsia"/>
          <w:color w:val="FF0000"/>
          <w:sz w:val="24"/>
          <w:szCs w:val="24"/>
        </w:rPr>
        <w:t>;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FF0000"/>
          <w:sz w:val="24"/>
          <w:szCs w:val="24"/>
        </w:rPr>
        <w:t>unpaired</w:t>
      </w:r>
      <w:r>
        <w:rPr>
          <w:rFonts w:ascii="Times New Roman" w:hAnsi="Times New Roman"/>
          <w:color w:val="FF0000"/>
          <w:sz w:val="24"/>
          <w:szCs w:val="24"/>
        </w:rPr>
        <w:t xml:space="preserve"> Student’s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t</w:t>
      </w:r>
      <w:r>
        <w:rPr>
          <w:rFonts w:ascii="Times New Roman" w:hAnsi="Times New Roman"/>
          <w:color w:val="FF0000"/>
          <w:sz w:val="24"/>
          <w:szCs w:val="24"/>
        </w:rPr>
        <w:t>-test.</w:t>
      </w:r>
    </w:p>
    <w:p w14:paraId="3559690E" w14:textId="77777777" w:rsidR="00E166BF" w:rsidRDefault="00000000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42200B7D" w14:textId="77777777" w:rsidR="00E166BF" w:rsidRDefault="00E166B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265863C" w14:textId="3E400A64" w:rsidR="00E166BF" w:rsidRDefault="008059B9">
      <w:pPr>
        <w:spacing w:line="360" w:lineRule="auto"/>
        <w:rPr>
          <w:szCs w:val="21"/>
        </w:rPr>
      </w:pPr>
      <w:r>
        <w:rPr>
          <w:rFonts w:ascii="Times New Roman" w:hAnsi="Times New Roman" w:hint="eastAsia"/>
          <w:b/>
          <w:bCs/>
          <w:noProof/>
          <w:color w:val="000000"/>
          <w:sz w:val="24"/>
          <w:szCs w:val="24"/>
          <w:lang w:val="de-DE"/>
        </w:rPr>
        <w:drawing>
          <wp:inline distT="0" distB="0" distL="0" distR="0" wp14:anchorId="04A6115F" wp14:editId="2ADA2D62">
            <wp:extent cx="5272405" cy="6497955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b/>
          <w:bCs/>
          <w:color w:val="00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ig. S4 </w:t>
      </w:r>
      <w:r>
        <w:rPr>
          <w:rFonts w:ascii="Times New Roman" w:hAnsi="Times New Roman"/>
          <w:color w:val="000000"/>
          <w:sz w:val="24"/>
          <w:szCs w:val="24"/>
        </w:rPr>
        <w:t>BMSCs verification and osteogenic differentiation upon loss of Trim21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Flow cytometry detection of mouse BMSCs positive markers (CD29, CD44, CD90, and CD105) and negative markers (CD34 and CD45).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b, 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6" w:name="_Hlk116293616"/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>I</w:t>
      </w:r>
      <w:r>
        <w:rPr>
          <w:rFonts w:ascii="Times New Roman" w:eastAsia="宋体" w:hAnsi="Times New Roman" w:hint="eastAsia"/>
          <w:color w:val="FF0000"/>
          <w:kern w:val="0"/>
          <w:sz w:val="24"/>
          <w:szCs w:val="24"/>
          <w:lang w:bidi="ar"/>
        </w:rPr>
        <w:t>mmunoblottin</w:t>
      </w:r>
      <w:bookmarkEnd w:id="16"/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 xml:space="preserve">g analysis </w:t>
      </w:r>
      <w:r>
        <w:rPr>
          <w:rFonts w:ascii="Times New Roman" w:hAnsi="Times New Roman"/>
          <w:color w:val="FF0000"/>
          <w:sz w:val="24"/>
          <w:szCs w:val="24"/>
        </w:rPr>
        <w:t xml:space="preserve">and quantification of Runx2,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Osterix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, and Trim21 expression in the mouse BMSCs with or without osteogenic induction.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d, 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>I</w:t>
      </w:r>
      <w:r>
        <w:rPr>
          <w:rFonts w:ascii="Times New Roman" w:eastAsia="宋体" w:hAnsi="Times New Roman" w:hint="eastAsia"/>
          <w:color w:val="FF0000"/>
          <w:kern w:val="0"/>
          <w:sz w:val="24"/>
          <w:szCs w:val="24"/>
          <w:lang w:bidi="ar"/>
        </w:rPr>
        <w:t>mmunoblottin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 xml:space="preserve">g analysis </w:t>
      </w:r>
      <w:r>
        <w:rPr>
          <w:rFonts w:ascii="Times New Roman" w:hAnsi="Times New Roman"/>
          <w:color w:val="FF0000"/>
          <w:sz w:val="24"/>
          <w:szCs w:val="24"/>
        </w:rPr>
        <w:t xml:space="preserve">and quantification of Runx2 and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Osterix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expression in the BMSCs isolated from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-/- </w:t>
      </w:r>
      <w:r>
        <w:rPr>
          <w:rFonts w:ascii="Times New Roman" w:hAnsi="Times New Roman"/>
          <w:color w:val="000000"/>
          <w:sz w:val="24"/>
          <w:szCs w:val="24"/>
        </w:rPr>
        <w:t>mice with or without osteogenic induction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 Quantitative RT-PCR analysis of osteogenic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biomarker genes 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Runx2,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Osterix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, and ALP</w:t>
      </w:r>
      <w:r>
        <w:rPr>
          <w:rFonts w:ascii="Times New Roman" w:hAnsi="Times New Roman"/>
          <w:color w:val="000000"/>
          <w:sz w:val="24"/>
          <w:szCs w:val="24"/>
        </w:rPr>
        <w:t xml:space="preserve">) in the BMSCs isolated from the </w:t>
      </w:r>
      <w:r>
        <w:rPr>
          <w:rFonts w:ascii="Times New Roman" w:hAnsi="Times New Roman" w:hint="eastAsia"/>
          <w:color w:val="000000"/>
          <w:sz w:val="24"/>
          <w:szCs w:val="24"/>
        </w:rPr>
        <w:t>indicated</w:t>
      </w:r>
      <w:r>
        <w:rPr>
          <w:rFonts w:ascii="Times New Roman" w:hAnsi="Times New Roman"/>
          <w:color w:val="000000"/>
          <w:sz w:val="24"/>
          <w:szCs w:val="24"/>
        </w:rPr>
        <w:t xml:space="preserve"> mice with or without osteogenic induction. </w:t>
      </w:r>
      <w:r>
        <w:rPr>
          <w:rFonts w:ascii="Times New Roman" w:hAnsi="Times New Roman"/>
          <w:b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 Alizarin Red S and ALP staining of BMSCs derived from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-/- </w:t>
      </w:r>
      <w:r>
        <w:rPr>
          <w:rFonts w:ascii="Times New Roman" w:hAnsi="Times New Roman"/>
          <w:color w:val="000000"/>
          <w:sz w:val="24"/>
          <w:szCs w:val="24"/>
        </w:rPr>
        <w:t>mice after induction with osteogenic medium for different times.</w:t>
      </w:r>
      <w:r w:rsidR="00B018C1" w:rsidRPr="00B018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018C1">
        <w:rPr>
          <w:rFonts w:ascii="Times New Roman" w:hAnsi="Times New Roman"/>
          <w:color w:val="FF0000"/>
          <w:sz w:val="24"/>
          <w:szCs w:val="24"/>
        </w:rPr>
        <w:t xml:space="preserve">Scale bar: 50 </w:t>
      </w:r>
      <w:proofErr w:type="spellStart"/>
      <w:r w:rsidR="00B018C1"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 w:rsidR="00B018C1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5C84">
        <w:rPr>
          <w:rFonts w:ascii="Times New Roman" w:hAnsi="Times New Roman"/>
          <w:b/>
          <w:color w:val="000000"/>
          <w:sz w:val="24"/>
          <w:szCs w:val="24"/>
        </w:rPr>
        <w:t xml:space="preserve">h </w:t>
      </w:r>
      <w:r w:rsidRPr="003F5C84">
        <w:rPr>
          <w:rFonts w:ascii="Times New Roman" w:hAnsi="Times New Roman"/>
          <w:color w:val="000000"/>
          <w:sz w:val="24"/>
          <w:szCs w:val="24"/>
        </w:rPr>
        <w:t xml:space="preserve">Histogram showing </w:t>
      </w:r>
      <w:r w:rsidRPr="003F5C84">
        <w:rPr>
          <w:rFonts w:ascii="Times New Roman" w:hAnsi="Times New Roman"/>
          <w:color w:val="FF0000"/>
          <w:sz w:val="24"/>
          <w:szCs w:val="24"/>
        </w:rPr>
        <w:t>Alizarin Red S</w:t>
      </w:r>
      <w:r>
        <w:rPr>
          <w:rFonts w:ascii="Times New Roman" w:hAnsi="Times New Roman"/>
          <w:color w:val="FF0000"/>
          <w:sz w:val="24"/>
          <w:szCs w:val="24"/>
        </w:rPr>
        <w:t>-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F5C84">
        <w:rPr>
          <w:rFonts w:ascii="Times New Roman" w:eastAsia="Book Antiqua" w:hAnsi="Times New Roman"/>
          <w:color w:val="FF0000"/>
          <w:kern w:val="0"/>
          <w:sz w:val="24"/>
          <w:szCs w:val="24"/>
          <w:lang w:bidi="ar"/>
        </w:rPr>
        <w:t xml:space="preserve">(n </w:t>
      </w:r>
      <w:r w:rsidR="001E1238"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≥ </w:t>
      </w:r>
      <w:r w:rsidRPr="003F5C84">
        <w:rPr>
          <w:rFonts w:ascii="Times New Roman" w:eastAsia="Book Antiqua" w:hAnsi="Times New Roman"/>
          <w:color w:val="FF0000"/>
          <w:kern w:val="0"/>
          <w:sz w:val="24"/>
          <w:szCs w:val="24"/>
          <w:lang w:bidi="ar"/>
        </w:rPr>
        <w:t xml:space="preserve">3) </w:t>
      </w:r>
      <w:r w:rsidRPr="003F5C84">
        <w:rPr>
          <w:rFonts w:ascii="Times New Roman" w:hAnsi="Times New Roman"/>
          <w:color w:val="FF0000"/>
          <w:kern w:val="0"/>
          <w:sz w:val="24"/>
          <w:szCs w:val="24"/>
          <w:lang w:bidi="ar"/>
        </w:rPr>
        <w:t>an</w:t>
      </w:r>
      <w:r w:rsidRPr="003F5C84">
        <w:rPr>
          <w:rFonts w:ascii="Times New Roman" w:eastAsia="Book Antiqua" w:hAnsi="Times New Roman"/>
          <w:color w:val="FF0000"/>
          <w:kern w:val="0"/>
          <w:sz w:val="24"/>
          <w:szCs w:val="24"/>
          <w:lang w:bidi="ar"/>
        </w:rPr>
        <w:t xml:space="preserve">d </w:t>
      </w:r>
      <w:r w:rsidRPr="003F5C84">
        <w:rPr>
          <w:rFonts w:ascii="Times New Roman" w:hAnsi="Times New Roman"/>
          <w:color w:val="FF0000"/>
          <w:sz w:val="24"/>
          <w:szCs w:val="24"/>
        </w:rPr>
        <w:t>ALP</w:t>
      </w:r>
      <w:r>
        <w:rPr>
          <w:rFonts w:ascii="Times New Roman" w:hAnsi="Times New Roman"/>
          <w:color w:val="FF0000"/>
          <w:sz w:val="24"/>
          <w:szCs w:val="24"/>
        </w:rPr>
        <w:t>-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F5C84">
        <w:rPr>
          <w:rFonts w:ascii="Times New Roman" w:eastAsia="Book Antiqua" w:hAnsi="Times New Roman"/>
          <w:color w:val="FF0000"/>
          <w:kern w:val="0"/>
          <w:sz w:val="24"/>
          <w:szCs w:val="24"/>
          <w:lang w:bidi="ar"/>
        </w:rPr>
        <w:t xml:space="preserve">(n </w:t>
      </w:r>
      <w:r w:rsidR="001E1238"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≥ </w:t>
      </w:r>
      <w:r w:rsidRPr="003F5C84">
        <w:rPr>
          <w:rFonts w:ascii="Times New Roman" w:eastAsia="Book Antiqua" w:hAnsi="Times New Roman"/>
          <w:color w:val="FF0000"/>
          <w:kern w:val="0"/>
          <w:sz w:val="24"/>
          <w:szCs w:val="24"/>
          <w:lang w:bidi="ar"/>
        </w:rPr>
        <w:t>3)</w:t>
      </w:r>
      <w:r w:rsidRPr="003F5C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F5C84">
        <w:rPr>
          <w:rFonts w:ascii="Times New Roman" w:hAnsi="Times New Roman"/>
          <w:color w:val="000000"/>
          <w:sz w:val="24"/>
          <w:szCs w:val="24"/>
        </w:rPr>
        <w:t>staining quantification.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Oil Red O staining of mouse BMSCs after 7 days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adipogenic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induction (left panel, scale bar =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Quantitative RT-PCR detection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adipogenic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biomarker genes (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Adipsin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Cebpa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, Fabp4, and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Pparg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in mouse BMSCs with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adipogenic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induction (right panel). </w:t>
      </w:r>
      <w:r>
        <w:rPr>
          <w:rFonts w:ascii="Times New Roman" w:hAnsi="Times New Roman"/>
          <w:b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>I</w:t>
      </w:r>
      <w:r>
        <w:rPr>
          <w:rFonts w:ascii="Times New Roman" w:eastAsia="宋体" w:hAnsi="Times New Roman" w:hint="eastAsia"/>
          <w:color w:val="000000"/>
          <w:kern w:val="0"/>
          <w:sz w:val="24"/>
          <w:szCs w:val="24"/>
          <w:lang w:bidi="ar"/>
        </w:rPr>
        <w:t>mmunoblotting</w:t>
      </w:r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 xml:space="preserve"> analysis of</w:t>
      </w:r>
      <w:r>
        <w:rPr>
          <w:rFonts w:ascii="Times New Roman" w:hAnsi="Times New Roman"/>
          <w:color w:val="000000"/>
          <w:sz w:val="24"/>
          <w:szCs w:val="24"/>
        </w:rPr>
        <w:t xml:space="preserve"> FLAG-Vector and FLAG-Trim21 expression in the m</w:t>
      </w:r>
      <w:r w:rsidR="006E0740">
        <w:rPr>
          <w:rFonts w:ascii="Times New Roman" w:hAnsi="Times New Roman" w:hint="eastAsia"/>
          <w:color w:val="000000"/>
          <w:sz w:val="24"/>
          <w:szCs w:val="24"/>
        </w:rPr>
        <w:t>ouse</w:t>
      </w:r>
      <w:r w:rsidR="006E074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BMSCs during osteogenic induction (upper panel). Representative images of Alizarin Red S staining of the mouse BMSCs i</w:t>
      </w:r>
      <w:r w:rsidRPr="006E0740">
        <w:rPr>
          <w:rFonts w:ascii="Times New Roman" w:hAnsi="Times New Roman"/>
          <w:color w:val="000000" w:themeColor="text1"/>
          <w:sz w:val="24"/>
          <w:szCs w:val="24"/>
        </w:rPr>
        <w:t>n different groups (lower panel). Quantitative analysis of the percentage of Alizarin red S-stained (</w:t>
      </w:r>
      <w:r w:rsidRPr="006E0740">
        <w:rPr>
          <w:rFonts w:ascii="Times New Roman" w:eastAsia="Book Antiqua" w:hAnsi="Times New Roman"/>
          <w:color w:val="000000" w:themeColor="text1"/>
          <w:kern w:val="0"/>
          <w:sz w:val="24"/>
          <w:szCs w:val="24"/>
        </w:rPr>
        <w:t>n ≥ 3)</w:t>
      </w:r>
      <w:r w:rsidRPr="006E0740">
        <w:rPr>
          <w:rFonts w:hint="eastAsia"/>
          <w:color w:val="000000" w:themeColor="text1"/>
          <w:szCs w:val="21"/>
        </w:rPr>
        <w:t xml:space="preserve"> </w:t>
      </w:r>
      <w:r w:rsidRPr="006E0740">
        <w:rPr>
          <w:rFonts w:ascii="Times New Roman" w:hAnsi="Times New Roman"/>
          <w:color w:val="000000" w:themeColor="text1"/>
          <w:sz w:val="24"/>
          <w:szCs w:val="24"/>
        </w:rPr>
        <w:t>area (right pan</w:t>
      </w:r>
      <w:r>
        <w:rPr>
          <w:rFonts w:ascii="Times New Roman" w:hAnsi="Times New Roman"/>
          <w:color w:val="000000"/>
          <w:sz w:val="24"/>
          <w:szCs w:val="24"/>
        </w:rPr>
        <w:t>el). All bar graphs are presented as mean ± SD. 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&lt; 0.05; **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&lt; 0.01; ***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&lt; 0.001; ****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&lt; 0.0001;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n.s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., not significant by Student’s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 xml:space="preserve">-test. </w:t>
      </w:r>
    </w:p>
    <w:p w14:paraId="6BDBA51A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459D991" w14:textId="5D35D4D6" w:rsidR="00E166BF" w:rsidRDefault="008059B9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1F52C7F" wp14:editId="406E295E">
            <wp:extent cx="5272405" cy="328803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C8B15" w14:textId="16E72F40" w:rsidR="00E166BF" w:rsidRDefault="00000000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>ig. S5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The role of Trim21 in osteogenic </w:t>
      </w:r>
      <w:r>
        <w:rPr>
          <w:rFonts w:ascii="Times New Roman" w:hAnsi="Times New Roman" w:hint="eastAsia"/>
          <w:color w:val="FF0000"/>
          <w:sz w:val="24"/>
          <w:szCs w:val="24"/>
        </w:rPr>
        <w:t>differentiation</w:t>
      </w:r>
      <w:r>
        <w:rPr>
          <w:rFonts w:ascii="Times New Roman" w:hAnsi="Times New Roman"/>
          <w:color w:val="FF0000"/>
          <w:sz w:val="24"/>
          <w:szCs w:val="24"/>
        </w:rPr>
        <w:t xml:space="preserve"> and bone repair.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a, b</w:t>
      </w:r>
      <w:r>
        <w:rPr>
          <w:rFonts w:ascii="Times New Roman" w:hAnsi="Times New Roman"/>
          <w:color w:val="000000"/>
          <w:sz w:val="24"/>
          <w:szCs w:val="24"/>
        </w:rPr>
        <w:t xml:space="preserve"> Alizarin red S (ARS</w:t>
      </w:r>
      <w:r>
        <w:rPr>
          <w:rFonts w:ascii="Times New Roman" w:hAnsi="Times New Roman" w:hint="eastAsia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>left panel</w:t>
      </w:r>
      <w:r>
        <w:rPr>
          <w:rFonts w:ascii="Times New Roman" w:hAnsi="Times New Roman"/>
          <w:color w:val="000000"/>
          <w:sz w:val="24"/>
          <w:szCs w:val="24"/>
        </w:rPr>
        <w:t>) or ALP (</w:t>
      </w:r>
      <w:r>
        <w:rPr>
          <w:rFonts w:ascii="TimesNewRomanPSMT" w:hAnsi="TimesNewRomanPSMT"/>
          <w:color w:val="000000"/>
          <w:sz w:val="24"/>
          <w:szCs w:val="24"/>
        </w:rPr>
        <w:t>right panel</w:t>
      </w:r>
      <w:r>
        <w:rPr>
          <w:rFonts w:ascii="Times New Roman" w:hAnsi="Times New Roman"/>
          <w:color w:val="000000"/>
          <w:sz w:val="24"/>
          <w:szCs w:val="24"/>
        </w:rPr>
        <w:t>) staining of MC3T3-E1 after induction with osteogenic medium for different times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). Scale bar =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The percentage of ARS- </w:t>
      </w:r>
      <w:r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n ≥ 3) </w:t>
      </w:r>
      <w:r>
        <w:rPr>
          <w:rFonts w:ascii="Times New Roman" w:hAnsi="Times New Roman"/>
          <w:color w:val="000000"/>
          <w:sz w:val="24"/>
          <w:szCs w:val="24"/>
        </w:rPr>
        <w:t xml:space="preserve">and ALP-stained </w:t>
      </w:r>
      <w:r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n ≥ 3) </w:t>
      </w:r>
      <w:r>
        <w:rPr>
          <w:rFonts w:ascii="Times New Roman" w:hAnsi="Times New Roman"/>
          <w:color w:val="000000"/>
          <w:sz w:val="24"/>
          <w:szCs w:val="24"/>
        </w:rPr>
        <w:t>area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c, d</w:t>
      </w:r>
      <w:r>
        <w:rPr>
          <w:rFonts w:ascii="Times New Roman" w:hAnsi="Times New Roman"/>
          <w:color w:val="000000"/>
          <w:sz w:val="24"/>
          <w:szCs w:val="24"/>
        </w:rPr>
        <w:t xml:space="preserve"> ARS (</w:t>
      </w:r>
      <w:r>
        <w:rPr>
          <w:rFonts w:ascii="TimesNewRomanPSMT" w:hAnsi="TimesNewRomanPSMT"/>
          <w:color w:val="000000"/>
          <w:sz w:val="24"/>
          <w:szCs w:val="24"/>
        </w:rPr>
        <w:t>left panel</w:t>
      </w:r>
      <w:r>
        <w:rPr>
          <w:rFonts w:ascii="Times New Roman" w:hAnsi="Times New Roman"/>
          <w:color w:val="000000"/>
          <w:sz w:val="24"/>
          <w:szCs w:val="24"/>
        </w:rPr>
        <w:t>) and ALP (</w:t>
      </w:r>
      <w:r>
        <w:rPr>
          <w:rFonts w:ascii="TimesNewRomanPSMT" w:hAnsi="TimesNewRomanPSMT"/>
          <w:color w:val="000000"/>
          <w:sz w:val="24"/>
          <w:szCs w:val="24"/>
        </w:rPr>
        <w:t>right panel</w:t>
      </w:r>
      <w:r>
        <w:rPr>
          <w:rFonts w:ascii="Times New Roman" w:hAnsi="Times New Roman"/>
          <w:color w:val="000000"/>
          <w:sz w:val="24"/>
          <w:szCs w:val="24"/>
        </w:rPr>
        <w:t>) staining of primary OBs after induction with osteogenic medium for different times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). Scale bar: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The percentage of ARS- </w:t>
      </w:r>
      <w:r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n ≥ 3) </w:t>
      </w:r>
      <w:r>
        <w:rPr>
          <w:rFonts w:ascii="Times New Roman" w:hAnsi="Times New Roman"/>
          <w:color w:val="000000"/>
          <w:sz w:val="24"/>
          <w:szCs w:val="24"/>
        </w:rPr>
        <w:t>and ALP-stained</w:t>
      </w:r>
      <w:r>
        <w:rPr>
          <w:rFonts w:ascii="Times New Roman" w:hAnsi="Times New Roman"/>
          <w:color w:val="FF0000"/>
          <w:sz w:val="24"/>
          <w:szCs w:val="24"/>
        </w:rPr>
        <w:t xml:space="preserve"> (</w:t>
      </w:r>
      <w:r>
        <w:rPr>
          <w:rFonts w:ascii="Times New Roman" w:eastAsia="Book Antiqua" w:hAnsi="Times New Roman"/>
          <w:color w:val="FF0000"/>
          <w:kern w:val="0"/>
          <w:sz w:val="24"/>
          <w:szCs w:val="24"/>
        </w:rPr>
        <w:t xml:space="preserve">n ≥ 3) </w:t>
      </w:r>
      <w:r>
        <w:rPr>
          <w:rFonts w:ascii="Times New Roman" w:hAnsi="Times New Roman"/>
          <w:color w:val="000000"/>
          <w:sz w:val="24"/>
          <w:szCs w:val="24"/>
        </w:rPr>
        <w:t>area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/>
          <w:b/>
          <w:color w:val="FF0000"/>
          <w:sz w:val="24"/>
          <w:szCs w:val="24"/>
        </w:rPr>
        <w:t>e</w:t>
      </w:r>
      <w:r>
        <w:rPr>
          <w:color w:val="FF0000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Representative images of H&amp;E staining, von Kossa staining, and Masson staining of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calvarial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bone defect of 2-month-old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 xml:space="preserve">-/- </w:t>
      </w:r>
      <w:r>
        <w:rPr>
          <w:rFonts w:ascii="Times New Roman" w:hAnsi="Times New Roman"/>
          <w:color w:val="FF0000"/>
          <w:sz w:val="24"/>
          <w:szCs w:val="24"/>
        </w:rPr>
        <w:t>mice after surgical induction for 1 month</w:t>
      </w:r>
      <w:r w:rsidR="00756DC4">
        <w:rPr>
          <w:rFonts w:ascii="Times New Roman" w:hAnsi="Times New Roman"/>
          <w:color w:val="FF0000"/>
          <w:sz w:val="24"/>
          <w:szCs w:val="24"/>
        </w:rPr>
        <w:t>.</w:t>
      </w:r>
      <w:r w:rsidR="00756DC4" w:rsidRPr="00756DC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56DC4">
        <w:rPr>
          <w:rFonts w:ascii="Times New Roman" w:hAnsi="Times New Roman"/>
          <w:color w:val="FF0000"/>
          <w:sz w:val="24"/>
          <w:szCs w:val="24"/>
        </w:rPr>
        <w:t>Scale bar: 5</w:t>
      </w:r>
      <w:r w:rsidR="008E6884">
        <w:rPr>
          <w:rFonts w:ascii="Times New Roman" w:hAnsi="Times New Roman"/>
          <w:color w:val="FF0000"/>
          <w:sz w:val="24"/>
          <w:szCs w:val="24"/>
        </w:rPr>
        <w:t>0</w:t>
      </w:r>
      <w:r w:rsidR="00756DC4">
        <w:rPr>
          <w:rFonts w:ascii="Times New Roman" w:hAnsi="Times New Roman"/>
          <w:color w:val="FF0000"/>
          <w:sz w:val="24"/>
          <w:szCs w:val="24"/>
        </w:rPr>
        <w:t xml:space="preserve">0 </w:t>
      </w:r>
      <w:proofErr w:type="spellStart"/>
      <w:r w:rsidR="00756DC4"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All bar graphs are presented as mean ± SD. **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&lt; 0.01; ****</w:t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&lt; 0.0001 </w:t>
      </w:r>
      <w:r>
        <w:rPr>
          <w:rFonts w:ascii="Times New Roman" w:hAnsi="Times New Roman" w:hint="eastAsia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one-way ANOVA followed by Tukey post hoc test.</w:t>
      </w:r>
    </w:p>
    <w:p w14:paraId="247084B0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0B9F2889" w14:textId="599C2BB2" w:rsidR="00E166BF" w:rsidRDefault="008059B9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5B8ECCF" wp14:editId="6F2FF616">
            <wp:extent cx="5272405" cy="685800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b/>
          <w:bCs/>
          <w:color w:val="000000"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ig. S6 </w:t>
      </w:r>
      <w:r>
        <w:rPr>
          <w:rFonts w:ascii="Times New Roman" w:hAnsi="Times New Roman"/>
          <w:color w:val="000000"/>
          <w:sz w:val="24"/>
          <w:szCs w:val="24"/>
        </w:rPr>
        <w:t>The role of Trim21 in regulating OCs formation.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a, b</w:t>
      </w:r>
      <w:r>
        <w:rPr>
          <w:rFonts w:ascii="Times New Roman" w:hAnsi="Times New Roman"/>
          <w:color w:val="FF0000"/>
          <w:sz w:val="24"/>
          <w:szCs w:val="24"/>
        </w:rPr>
        <w:t xml:space="preserve"> I</w:t>
      </w:r>
      <w:r>
        <w:rPr>
          <w:rFonts w:ascii="Times New Roman" w:hAnsi="Times New Roman" w:hint="eastAsia"/>
          <w:color w:val="FF0000"/>
          <w:sz w:val="24"/>
          <w:szCs w:val="24"/>
        </w:rPr>
        <w:t>mmunoblotting</w:t>
      </w:r>
      <w:r>
        <w:rPr>
          <w:rFonts w:ascii="Times New Roman" w:hAnsi="Times New Roman"/>
          <w:color w:val="FF0000"/>
          <w:sz w:val="24"/>
          <w:szCs w:val="24"/>
        </w:rPr>
        <w:t xml:space="preserve"> analysis of NFATC1, CTSK, and Trim21 expression in 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bone marrow macrophages (BMMs) </w:t>
      </w:r>
      <w:r>
        <w:rPr>
          <w:rFonts w:ascii="Times New Roman" w:hAnsi="Times New Roman"/>
          <w:color w:val="FF0000"/>
          <w:sz w:val="24"/>
          <w:szCs w:val="24"/>
        </w:rPr>
        <w:t>upon induction with 30 ng/ml M-CSF and 100 ng/ml RANKL for 0, 1, 3, and 5 days 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 xml:space="preserve">). Quantification of relative protein expression levels of Trim21, NFATC1, and CTSK of 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>I</w:t>
      </w:r>
      <w:r>
        <w:rPr>
          <w:rFonts w:ascii="Times New Roman" w:eastAsia="宋体" w:hAnsi="Times New Roman" w:hint="eastAsia"/>
          <w:color w:val="FF0000"/>
          <w:kern w:val="0"/>
          <w:sz w:val="24"/>
          <w:szCs w:val="24"/>
          <w:lang w:bidi="ar"/>
        </w:rPr>
        <w:t>mmunoblotting</w:t>
      </w:r>
      <w:r>
        <w:rPr>
          <w:rFonts w:ascii="Times New Roman" w:hAnsi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b</w:t>
      </w:r>
      <w:r>
        <w:rPr>
          <w:rFonts w:ascii="Times New Roman" w:hAnsi="Times New Roman"/>
          <w:color w:val="FF0000"/>
          <w:sz w:val="24"/>
          <w:szCs w:val="24"/>
        </w:rPr>
        <w:t xml:space="preserve">).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c </w:t>
      </w:r>
      <w:r>
        <w:rPr>
          <w:rFonts w:ascii="Times New Roman" w:hAnsi="Times New Roman"/>
          <w:color w:val="FF0000"/>
          <w:sz w:val="24"/>
          <w:szCs w:val="24"/>
        </w:rPr>
        <w:t xml:space="preserve">Immunoblotting analysis of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osteoclastogenesis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makers (NFATC1 and CTSK) and relative quantification of expression levels. BMMs derived </w:t>
      </w:r>
      <w:r>
        <w:rPr>
          <w:rFonts w:ascii="Times New Roman" w:hAnsi="Times New Roman"/>
          <w:color w:val="FF0000"/>
          <w:sz w:val="24"/>
          <w:szCs w:val="24"/>
        </w:rPr>
        <w:lastRenderedPageBreak/>
        <w:t>from 6-week-old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FF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FF0000"/>
          <w:sz w:val="24"/>
          <w:szCs w:val="24"/>
        </w:rPr>
        <w:t xml:space="preserve"> mice were induced </w:t>
      </w:r>
      <w:r>
        <w:rPr>
          <w:rFonts w:ascii="Times New Roman" w:hAnsi="Times New Roman" w:hint="eastAsia"/>
          <w:color w:val="FF0000"/>
          <w:sz w:val="24"/>
          <w:szCs w:val="24"/>
        </w:rPr>
        <w:t>by</w:t>
      </w:r>
      <w:r>
        <w:rPr>
          <w:rFonts w:ascii="Times New Roman" w:hAnsi="Times New Roman"/>
          <w:color w:val="FF0000"/>
          <w:sz w:val="24"/>
          <w:szCs w:val="24"/>
        </w:rPr>
        <w:t xml:space="preserve"> 30 ng/ml M-CSF and 100 ng/ml RANKL for 3 days </w:t>
      </w:r>
      <w:r>
        <w:rPr>
          <w:rFonts w:ascii="Times New Roman" w:hAnsi="Times New Roman" w:hint="eastAsia"/>
          <w:color w:val="FF0000"/>
          <w:sz w:val="24"/>
          <w:szCs w:val="24"/>
        </w:rPr>
        <w:t>or</w:t>
      </w:r>
      <w:r>
        <w:rPr>
          <w:rFonts w:ascii="Times New Roman" w:hAnsi="Times New Roman"/>
          <w:color w:val="FF0000"/>
          <w:sz w:val="24"/>
          <w:szCs w:val="24"/>
        </w:rPr>
        <w:t xml:space="preserve"> 5 days.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hint="eastAsia"/>
          <w:color w:val="FF0000"/>
          <w:sz w:val="24"/>
          <w:szCs w:val="24"/>
        </w:rPr>
        <w:t>Representative images (</w:t>
      </w:r>
      <w:r>
        <w:rPr>
          <w:rFonts w:ascii="Times New Roman" w:hAnsi="Times New Roman"/>
          <w:color w:val="FF0000"/>
          <w:sz w:val="24"/>
          <w:szCs w:val="24"/>
        </w:rPr>
        <w:t>left panel</w:t>
      </w:r>
      <w:r>
        <w:rPr>
          <w:rFonts w:ascii="Times New Roman" w:hAnsi="Times New Roman" w:hint="eastAsia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 xml:space="preserve"> in BMMs derived from 6-week-old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and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FF0000"/>
          <w:sz w:val="24"/>
          <w:szCs w:val="24"/>
        </w:rPr>
        <w:t xml:space="preserve"> mice were induced for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osteoclastogenesis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for 5 days. Scale bar: 50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. Quantification of TRAP stained-positive OCs and 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 xml:space="preserve">nucleus number per </w:t>
      </w:r>
      <w:r>
        <w:rPr>
          <w:rFonts w:ascii="Times New Roman" w:hAnsi="Times New Roman"/>
          <w:color w:val="FF0000"/>
          <w:kern w:val="0"/>
          <w:sz w:val="24"/>
          <w:szCs w:val="24"/>
        </w:rPr>
        <w:t>TRAP</w:t>
      </w:r>
      <w:r>
        <w:rPr>
          <w:rFonts w:ascii="Times New Roman" w:hAnsi="Times New Roman"/>
          <w:color w:val="FF0000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cell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right panel</w:t>
      </w:r>
      <w:r>
        <w:rPr>
          <w:rFonts w:ascii="Times New Roman" w:hAnsi="Times New Roman" w:hint="eastAsia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e</w:t>
      </w:r>
      <w:r>
        <w:rPr>
          <w:rFonts w:ascii="Times New Roman" w:hAnsi="Times New Roman"/>
          <w:color w:val="FF0000"/>
          <w:sz w:val="24"/>
          <w:szCs w:val="24"/>
        </w:rPr>
        <w:t xml:space="preserve"> Schematic diagram illustrating the F-actin ring formation in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BMMs-derived OCs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(left panel). </w:t>
      </w:r>
      <w:r>
        <w:rPr>
          <w:rFonts w:ascii="Times New Roman" w:hAnsi="Times New Roman"/>
          <w:color w:val="FF0000"/>
          <w:sz w:val="24"/>
          <w:szCs w:val="24"/>
        </w:rPr>
        <w:t>Immunofluorescence staining of F-actin (red) and DAPI (blue) in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BMMs-derived OCs. Scale bar: 20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f, g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Representative images 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f</w:t>
      </w:r>
      <w:r>
        <w:rPr>
          <w:rFonts w:ascii="Times New Roman" w:hAnsi="Times New Roman" w:hint="eastAsia"/>
          <w:color w:val="FF0000"/>
          <w:sz w:val="24"/>
          <w:szCs w:val="24"/>
        </w:rPr>
        <w:t>), quantification</w:t>
      </w:r>
      <w:r>
        <w:rPr>
          <w:rFonts w:ascii="Times New Roman" w:hAnsi="Times New Roman"/>
          <w:color w:val="FF0000"/>
          <w:sz w:val="24"/>
          <w:szCs w:val="24"/>
        </w:rPr>
        <w:t xml:space="preserve"> data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of TRAP stained-positive OCs 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g</w:t>
      </w:r>
      <w:r>
        <w:rPr>
          <w:rFonts w:ascii="Times New Roman" w:hAnsi="Times New Roman" w:hint="eastAsia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and </w:t>
      </w:r>
      <w:r>
        <w:rPr>
          <w:rFonts w:ascii="Times New Roman" w:hAnsi="Times New Roman"/>
          <w:color w:val="FF0000"/>
          <w:sz w:val="24"/>
          <w:szCs w:val="24"/>
        </w:rPr>
        <w:t xml:space="preserve">quantitative 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RT-PCR detection of </w:t>
      </w:r>
      <w:r>
        <w:rPr>
          <w:rFonts w:ascii="Times New Roman" w:hAnsi="Times New Roman"/>
          <w:color w:val="FF0000"/>
          <w:sz w:val="24"/>
          <w:szCs w:val="24"/>
        </w:rPr>
        <w:t xml:space="preserve">OCs markers </w:t>
      </w:r>
      <w:r>
        <w:rPr>
          <w:rFonts w:ascii="Times New Roman" w:hAnsi="Times New Roman" w:hint="eastAsia"/>
          <w:color w:val="FF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g</w:t>
      </w:r>
      <w:r>
        <w:rPr>
          <w:rFonts w:ascii="Times New Roman" w:hAnsi="Times New Roman" w:hint="eastAsia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 xml:space="preserve">, in the induction of osteoclast differentiation of </w:t>
      </w:r>
      <w:r>
        <w:rPr>
          <w:rFonts w:ascii="Times New Roman" w:hAnsi="Times New Roman" w:hint="eastAsia"/>
          <w:color w:val="FF0000"/>
          <w:sz w:val="24"/>
          <w:szCs w:val="24"/>
        </w:rPr>
        <w:t>RAW264.7 cells</w:t>
      </w:r>
      <w:r>
        <w:rPr>
          <w:rFonts w:ascii="Times New Roman" w:hAnsi="Times New Roman"/>
          <w:color w:val="FF0000"/>
          <w:sz w:val="24"/>
          <w:szCs w:val="24"/>
        </w:rPr>
        <w:t xml:space="preserve"> with 30 ng/ml M-CSF and 100 ng/ml RANKL for 5 days. For the knockdown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of </w:t>
      </w:r>
      <w:r>
        <w:rPr>
          <w:rFonts w:ascii="Times New Roman" w:hAnsi="Times New Roman"/>
          <w:color w:val="FF0000"/>
          <w:sz w:val="24"/>
          <w:szCs w:val="24"/>
        </w:rPr>
        <w:t xml:space="preserve">the 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Trim21 </w:t>
      </w:r>
      <w:r>
        <w:rPr>
          <w:rFonts w:ascii="Times New Roman" w:hAnsi="Times New Roman"/>
          <w:color w:val="FF0000"/>
          <w:sz w:val="24"/>
          <w:szCs w:val="24"/>
        </w:rPr>
        <w:t>expression,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the siT</w:t>
      </w:r>
      <w:r>
        <w:rPr>
          <w:rFonts w:ascii="Times New Roman" w:hAnsi="Times New Roman"/>
          <w:color w:val="FF0000"/>
          <w:sz w:val="24"/>
          <w:szCs w:val="24"/>
        </w:rPr>
        <w:t>rim</w:t>
      </w:r>
      <w:r>
        <w:rPr>
          <w:rFonts w:ascii="Times New Roman" w:hAnsi="Times New Roman" w:hint="eastAsia"/>
          <w:color w:val="FF0000"/>
          <w:sz w:val="24"/>
          <w:szCs w:val="24"/>
        </w:rPr>
        <w:t>21#2 and siT</w:t>
      </w:r>
      <w:r>
        <w:rPr>
          <w:rFonts w:ascii="Times New Roman" w:hAnsi="Times New Roman"/>
          <w:color w:val="FF0000"/>
          <w:sz w:val="24"/>
          <w:szCs w:val="24"/>
        </w:rPr>
        <w:t>rim</w:t>
      </w:r>
      <w:r>
        <w:rPr>
          <w:rFonts w:ascii="Times New Roman" w:hAnsi="Times New Roman" w:hint="eastAsia"/>
          <w:color w:val="FF0000"/>
          <w:sz w:val="24"/>
          <w:szCs w:val="24"/>
        </w:rPr>
        <w:t>21#3</w:t>
      </w:r>
      <w:r>
        <w:rPr>
          <w:rFonts w:ascii="Times New Roman" w:hAnsi="Times New Roman"/>
          <w:color w:val="FF0000"/>
          <w:sz w:val="24"/>
          <w:szCs w:val="24"/>
        </w:rPr>
        <w:t xml:space="preserve"> siRNAs were applied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. Scale bar: </w:t>
      </w:r>
      <w:r>
        <w:rPr>
          <w:rFonts w:ascii="Times New Roman" w:hAnsi="Times New Roman"/>
          <w:color w:val="FF0000"/>
          <w:sz w:val="24"/>
          <w:szCs w:val="24"/>
        </w:rPr>
        <w:t xml:space="preserve">50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h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S</w:t>
      </w:r>
      <w:r>
        <w:rPr>
          <w:rFonts w:ascii="Times New Roman" w:hAnsi="Times New Roman" w:hint="eastAsia"/>
          <w:color w:val="FF0000"/>
          <w:sz w:val="24"/>
          <w:szCs w:val="24"/>
        </w:rPr>
        <w:t>chematic diagram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FF0000"/>
          <w:sz w:val="24"/>
          <w:szCs w:val="24"/>
        </w:rPr>
        <w:t>illustrat</w:t>
      </w:r>
      <w:r>
        <w:rPr>
          <w:rFonts w:ascii="Times New Roman" w:hAnsi="Times New Roman"/>
          <w:color w:val="FF0000"/>
          <w:sz w:val="24"/>
          <w:szCs w:val="24"/>
        </w:rPr>
        <w:t>es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osteoclastogenesis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induction of BMMs derived from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  <w:vertAlign w:val="superscript"/>
        </w:rPr>
        <w:t>f/f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FF0000"/>
          <w:sz w:val="24"/>
          <w:szCs w:val="24"/>
        </w:rPr>
        <w:t>mice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infected with </w:t>
      </w:r>
      <w:r>
        <w:rPr>
          <w:rFonts w:ascii="Times New Roman" w:hAnsi="Times New Roman"/>
          <w:color w:val="FF0000"/>
          <w:sz w:val="24"/>
          <w:szCs w:val="24"/>
        </w:rPr>
        <w:t xml:space="preserve">control </w:t>
      </w:r>
      <w:r>
        <w:rPr>
          <w:rFonts w:ascii="Times New Roman" w:hAnsi="Times New Roman" w:hint="eastAsia"/>
          <w:color w:val="FF0000"/>
          <w:sz w:val="24"/>
          <w:szCs w:val="24"/>
        </w:rPr>
        <w:t>lentivirus</w:t>
      </w:r>
      <w:r>
        <w:rPr>
          <w:rFonts w:ascii="Times New Roman" w:hAnsi="Times New Roman"/>
          <w:color w:val="FF0000"/>
          <w:sz w:val="24"/>
          <w:szCs w:val="24"/>
        </w:rPr>
        <w:t xml:space="preserve"> (LV-Con) or lentivirus expressing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C</w:t>
      </w:r>
      <w:r>
        <w:rPr>
          <w:rFonts w:ascii="Times New Roman" w:hAnsi="Times New Roman"/>
          <w:color w:val="FF0000"/>
          <w:sz w:val="24"/>
          <w:szCs w:val="24"/>
        </w:rPr>
        <w:t>re (LV-Cre)</w:t>
      </w:r>
      <w:r>
        <w:rPr>
          <w:rFonts w:ascii="Times New Roman" w:hAnsi="Times New Roman" w:hint="eastAsia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All bar graphs are presented as mean ± SD. *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 xml:space="preserve">&lt; 0.05; **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0.01;</w:t>
      </w:r>
      <w:r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***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 xml:space="preserve">&lt; 0.001; ****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 xml:space="preserve">&lt; 0.0001;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n.s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., not significant by Student’s </w:t>
      </w:r>
      <w:r w:rsidRPr="006E0740">
        <w:rPr>
          <w:rFonts w:ascii="Times New Roman" w:hAnsi="Times New Roman"/>
          <w:i/>
          <w:iCs/>
          <w:color w:val="FF0000"/>
          <w:sz w:val="24"/>
          <w:szCs w:val="24"/>
        </w:rPr>
        <w:t>t</w:t>
      </w:r>
      <w:r>
        <w:rPr>
          <w:rFonts w:ascii="Times New Roman" w:hAnsi="Times New Roman"/>
          <w:color w:val="FF0000"/>
          <w:sz w:val="24"/>
          <w:szCs w:val="24"/>
        </w:rPr>
        <w:t>-test.</w:t>
      </w:r>
    </w:p>
    <w:p w14:paraId="73E2C604" w14:textId="77777777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DD374C6" w14:textId="37FC458D" w:rsidR="00E166BF" w:rsidRDefault="00BF2D14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CB67888" wp14:editId="3126C910">
            <wp:extent cx="5272405" cy="4776470"/>
            <wp:effectExtent l="0" t="0" r="4445" b="5080"/>
            <wp:docPr id="1936416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BB35" w14:textId="3BF1CA3C" w:rsidR="00E166BF" w:rsidRDefault="0000000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  <w:lang w:val="de-DE"/>
        </w:rPr>
        <w:t>F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ig. S7</w:t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Involvement of the YAP1/BCL9/β-catenin complex in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>-regulated osteoblast differentiation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Identification number of spectra, peptides, and proteins in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mouse BMSCs analyzed by TMT-based quantitative proteomics. </w:t>
      </w:r>
      <w:r>
        <w:rPr>
          <w:rFonts w:ascii="Times New Roman" w:hAnsi="Times New Roman"/>
          <w:b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 Schematic diagram illustrating the downregulated 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&lt; 0.8, p &lt; 0.05) and upregulated 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&gt; 1.2, p &lt; 0.05) differentially expressed proteins (DEPs) identified in the BMSCs of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mice. </w:t>
      </w:r>
      <w:r>
        <w:rPr>
          <w:rFonts w:ascii="Times New Roman" w:hAnsi="Times New Roman"/>
          <w:b/>
          <w:color w:val="FF0000"/>
          <w:sz w:val="24"/>
          <w:szCs w:val="24"/>
        </w:rPr>
        <w:t>c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>I</w:t>
      </w:r>
      <w:r>
        <w:rPr>
          <w:rFonts w:ascii="Times New Roman" w:eastAsia="宋体" w:hAnsi="Times New Roman" w:hint="eastAsia"/>
          <w:color w:val="FF0000"/>
          <w:kern w:val="0"/>
          <w:sz w:val="24"/>
          <w:szCs w:val="24"/>
          <w:lang w:bidi="ar"/>
        </w:rPr>
        <w:t>mmunoblotting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 xml:space="preserve"> analysis of</w:t>
      </w:r>
      <w:r>
        <w:rPr>
          <w:rFonts w:ascii="Times New Roman" w:hAnsi="Times New Roman"/>
          <w:color w:val="FF0000"/>
          <w:sz w:val="24"/>
          <w:szCs w:val="24"/>
        </w:rPr>
        <w:t xml:space="preserve"> BCL9, AXIN1, and YAP1 protein expression in the mouse BMSCs. New sample: the newly prepared mouse BMSCs protein samples of the two groups.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>Immunoblotting analysis of</w:t>
      </w:r>
      <w:r>
        <w:rPr>
          <w:rFonts w:ascii="Times New Roman" w:hAnsi="Times New Roman"/>
          <w:color w:val="000000"/>
          <w:sz w:val="24"/>
          <w:szCs w:val="24"/>
        </w:rPr>
        <w:t xml:space="preserve"> BCL9 and β-catenin expression in the OBs derived from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mice with or without osteogenic induction for 0, 4, and 7 days.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e</w:t>
      </w:r>
      <w:r>
        <w:rPr>
          <w:rFonts w:ascii="Times New Roman" w:hAnsi="Times New Roman"/>
          <w:color w:val="FF0000"/>
          <w:sz w:val="24"/>
          <w:szCs w:val="24"/>
        </w:rPr>
        <w:t xml:space="preserve"> Representative immunofluorescence images and quantitative analysis of β-catenin/DAPI staining of the tibia sections in 1-month-old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FF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FF0000"/>
          <w:sz w:val="24"/>
          <w:szCs w:val="24"/>
        </w:rPr>
        <w:t xml:space="preserve"> mice.</w:t>
      </w:r>
      <w:r w:rsidR="002B3DEA" w:rsidRPr="002B3D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B3DEA">
        <w:rPr>
          <w:rFonts w:ascii="Times New Roman" w:hAnsi="Times New Roman"/>
          <w:color w:val="FF0000"/>
          <w:sz w:val="24"/>
          <w:szCs w:val="24"/>
        </w:rPr>
        <w:t xml:space="preserve">Scale bar: 50 </w:t>
      </w:r>
      <w:proofErr w:type="spellStart"/>
      <w:r w:rsidR="002B3DEA">
        <w:rPr>
          <w:rFonts w:ascii="Times New Roman" w:hAnsi="Times New Roman"/>
          <w:color w:val="FF0000"/>
          <w:sz w:val="24"/>
          <w:szCs w:val="24"/>
        </w:rPr>
        <w:t>μm</w:t>
      </w:r>
      <w:proofErr w:type="spellEnd"/>
      <w:r w:rsidR="002B3DEA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FF0000"/>
          <w:sz w:val="24"/>
          <w:szCs w:val="24"/>
        </w:rPr>
        <w:t>f</w:t>
      </w:r>
      <w:r>
        <w:rPr>
          <w:rFonts w:ascii="Times New Roman" w:hAnsi="Times New Roman"/>
          <w:color w:val="FF0000"/>
          <w:sz w:val="24"/>
          <w:szCs w:val="24"/>
        </w:rPr>
        <w:t xml:space="preserve"> Immunoblotting quantification of BCL9, β-catenin, and YAP1 </w:t>
      </w:r>
      <w:r>
        <w:rPr>
          <w:rFonts w:ascii="Times New Roman" w:hAnsi="Times New Roman"/>
          <w:color w:val="FF0000"/>
          <w:sz w:val="24"/>
          <w:szCs w:val="24"/>
        </w:rPr>
        <w:lastRenderedPageBreak/>
        <w:t>protein expression in the HEK293T treated with or without MG132</w:t>
      </w:r>
      <w:r>
        <w:rPr>
          <w:rFonts w:ascii="Times New Roman" w:eastAsia="宋体" w:hAnsi="Times New Roman"/>
          <w:color w:val="FF0000"/>
          <w:kern w:val="0"/>
          <w:sz w:val="24"/>
          <w:szCs w:val="24"/>
          <w:lang w:bidi="ar"/>
        </w:rPr>
        <w:t xml:space="preserve">. </w:t>
      </w:r>
      <w:r>
        <w:rPr>
          <w:rFonts w:ascii="Times New Roman" w:hAnsi="Times New Roman"/>
          <w:b/>
          <w:color w:val="FF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 Immunofluorescence staining for subcellular localization of YAP1 in OBs during osteogenic induction at different times (left panel). Scale bar: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Quantitative analysis of median fluorescence intensity of the nuclear and cytoplasmic YAP1 in OBs (right panel).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h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Immunoblotting analysis and quantification of BCL9, β-catenin, YAP1, and TCF-1 protein expression in the BMSCs isolated from different mice with or without treatment of Verteporfin (VP), followed by the osteogenic induction. All bar graphs are presented as mean ± SD. *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&lt; 0.05; **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&lt; 0.01; ***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&lt; 0.001;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n.s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., not significant by </w:t>
      </w:r>
      <w:bookmarkStart w:id="17" w:name="OLE_LINK2"/>
      <w:r>
        <w:rPr>
          <w:rFonts w:ascii="Times New Roman" w:hAnsi="Times New Roman"/>
          <w:color w:val="000000"/>
          <w:sz w:val="24"/>
          <w:szCs w:val="24"/>
        </w:rPr>
        <w:t xml:space="preserve">Student’s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-test.</w:t>
      </w:r>
      <w:bookmarkEnd w:id="17"/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BE998AD" w14:textId="77777777" w:rsidR="00E166BF" w:rsidRDefault="0000000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B92F612" w14:textId="035FEA6D" w:rsidR="00E166BF" w:rsidRDefault="008059B9">
      <w:pPr>
        <w:widowControl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88F5386" wp14:editId="7B6C4354">
            <wp:extent cx="5272405" cy="4864100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6E67C" w14:textId="77777777" w:rsidR="00E166BF" w:rsidRDefault="00000000">
      <w:pPr>
        <w:widowControl/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S8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Trim21 </w:t>
      </w:r>
      <w:r>
        <w:rPr>
          <w:rFonts w:ascii="Times New Roman" w:hAnsi="Times New Roman"/>
          <w:color w:val="000000"/>
          <w:sz w:val="24"/>
          <w:szCs w:val="24"/>
        </w:rPr>
        <w:t>depletion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alleviates LPS-induced bone loss. 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Quantitative RT-PCR 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IL-6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Runx2</w:t>
      </w:r>
      <w:r>
        <w:rPr>
          <w:rFonts w:ascii="Times New Roman" w:hAnsi="Times New Roman"/>
          <w:color w:val="000000"/>
          <w:sz w:val="24"/>
          <w:szCs w:val="24"/>
        </w:rPr>
        <w:t>, and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Osterix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mRNA expression in the MC3T3-E1 cells treated with different concentrations of TNF-α for 24 h. </w:t>
      </w:r>
      <w:r>
        <w:rPr>
          <w:rFonts w:ascii="Times New Roman" w:hAnsi="Times New Roman"/>
          <w:b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 Immunoblotting analysis of Runx2,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Osterix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and Trim21 expression in the MC3T3-E1 cells treated with different concentrations of TNF-α for 24 h. </w:t>
      </w:r>
      <w:r>
        <w:rPr>
          <w:rFonts w:ascii="Times New Roman" w:hAnsi="Times New Roman"/>
          <w:b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Quantitative RT-PCR 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Runx2</w:t>
      </w:r>
      <w:r>
        <w:rPr>
          <w:rFonts w:ascii="Times New Roman" w:hAnsi="Times New Roman"/>
          <w:color w:val="000000"/>
          <w:sz w:val="24"/>
          <w:szCs w:val="24"/>
        </w:rPr>
        <w:t>, and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Osterix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mRNA expression in the MC3T3-E1 cells treated with different concentrations of LPS for 24 h.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Micro-CT analysis </w:t>
      </w:r>
      <w:r>
        <w:rPr>
          <w:rFonts w:ascii="Times New Roman" w:hAnsi="Times New Roman"/>
          <w:color w:val="000000"/>
          <w:sz w:val="24"/>
          <w:szCs w:val="24"/>
        </w:rPr>
        <w:t xml:space="preserve">(Tb. Th, Tb. N, and Tb.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of proximal tibia bone of the 12-week-old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mice induced by either LPS or control PBS for 8 days.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hAnsi="Times New Roman"/>
          <w:color w:val="FF0000"/>
          <w:sz w:val="24"/>
          <w:szCs w:val="24"/>
        </w:rPr>
        <w:t xml:space="preserve"> Micro-CT analysis (Tb. Th, Tb. N, and Tb.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) of proximal tibia bone of the 12-week-old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>
        <w:rPr>
          <w:rFonts w:ascii="Times New Roman" w:hAnsi="Times New Roman"/>
          <w:color w:val="FF000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i/>
          <w:iCs/>
          <w:color w:val="FF0000"/>
          <w:sz w:val="24"/>
          <w:szCs w:val="24"/>
        </w:rPr>
        <w:t>Ctsk</w:t>
      </w:r>
      <w:proofErr w:type="spellEnd"/>
      <w:r>
        <w:rPr>
          <w:rFonts w:ascii="Times New Roman" w:hAnsi="Times New Roman"/>
          <w:i/>
          <w:iCs/>
          <w:color w:val="FF0000"/>
          <w:sz w:val="24"/>
          <w:szCs w:val="24"/>
        </w:rPr>
        <w:t>-Cre; Trim21</w:t>
      </w:r>
      <w:r>
        <w:rPr>
          <w:rFonts w:ascii="Times New Roman" w:hAnsi="Times New Roman"/>
          <w:i/>
          <w:iCs/>
          <w:color w:val="FF0000"/>
          <w:sz w:val="24"/>
          <w:szCs w:val="24"/>
          <w:vertAlign w:val="superscript"/>
        </w:rPr>
        <w:t>f/f</w:t>
      </w:r>
      <w:r>
        <w:rPr>
          <w:rFonts w:ascii="Times New Roman" w:hAnsi="Times New Roman"/>
          <w:color w:val="FF0000"/>
          <w:sz w:val="24"/>
          <w:szCs w:val="24"/>
        </w:rPr>
        <w:t xml:space="preserve"> mice induced by LPS or control PBS for 8 days. All bar graphs are presented as mean ± SD. 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0.05; **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0.01; ***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>&lt; 0.001; ****</w:t>
      </w:r>
      <w:r>
        <w:rPr>
          <w:rFonts w:ascii="Times New Roman" w:hAnsi="Times New Roman" w:hint="eastAsia"/>
          <w:i/>
          <w:iCs/>
          <w:color w:val="FF0000"/>
          <w:sz w:val="24"/>
          <w:szCs w:val="24"/>
        </w:rPr>
        <w:t>P</w:t>
      </w:r>
      <w:r>
        <w:rPr>
          <w:rFonts w:ascii="Times New Roman" w:hAnsi="Times New Roman"/>
          <w:color w:val="FF0000"/>
          <w:sz w:val="24"/>
          <w:szCs w:val="24"/>
        </w:rPr>
        <w:t xml:space="preserve">&lt; 0.0001;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n.s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., not significant by paired Student’s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t</w:t>
      </w:r>
      <w:r>
        <w:rPr>
          <w:rFonts w:ascii="Times New Roman" w:hAnsi="Times New Roman"/>
          <w:color w:val="FF0000"/>
          <w:sz w:val="24"/>
          <w:szCs w:val="24"/>
        </w:rPr>
        <w:t xml:space="preserve">-test. </w:t>
      </w:r>
    </w:p>
    <w:p w14:paraId="2DF4E3A3" w14:textId="77777777" w:rsidR="00E166BF" w:rsidRDefault="0000000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6CDADB9" w14:textId="5DAFF549" w:rsidR="00E166BF" w:rsidRDefault="00BF2D14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6A862E9" wp14:editId="33271C80">
            <wp:extent cx="5272405" cy="4348480"/>
            <wp:effectExtent l="0" t="0" r="4445" b="0"/>
            <wp:docPr id="20670402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4CF4" w14:textId="7D2F7AE6" w:rsidR="00E166BF" w:rsidRDefault="00000000">
      <w:pPr>
        <w:widowControl/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S9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Trim21 </w:t>
      </w:r>
      <w:r>
        <w:rPr>
          <w:rFonts w:ascii="Times New Roman" w:hAnsi="Times New Roman"/>
          <w:color w:val="000000"/>
          <w:sz w:val="24"/>
          <w:szCs w:val="24"/>
        </w:rPr>
        <w:t>depletion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alleviates OVX-induced bone loss through β-catenin signaling. 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Schematic diagram showing the H&amp;E staining and micro-CT analysis of the proximal tibia in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mice induced by sham-operated or OVX.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 Representative H&amp;E staining images of tibia sections showing the marrow adipose tissue. The regions in the red square inset were enlarged in the corresponding right panel. Scale bar: 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 xml:space="preserve"> Micro-CT analysis (Tb. Th, Tb. N, and Tb.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of the proximal tibia bone of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mice induced by sham-operated or OVX.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</w:rPr>
        <w:t xml:space="preserve"> Schematic diagram showing the histological analysis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labeling, von Kossa, IF/IHC, and TRAP staining) of the proximal tibia in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+/+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Trim21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-/-</w:t>
      </w:r>
      <w:r>
        <w:rPr>
          <w:rFonts w:ascii="Times New Roman" w:hAnsi="Times New Roman"/>
          <w:color w:val="000000"/>
          <w:sz w:val="24"/>
          <w:szCs w:val="24"/>
        </w:rPr>
        <w:t xml:space="preserve"> mice induced by sham-operated or OVX.</w:t>
      </w:r>
      <w:r w:rsidRPr="003F5C84">
        <w:rPr>
          <w:rFonts w:ascii="Times New Roman" w:hAnsi="Times New Roman"/>
          <w:color w:val="000000"/>
          <w:sz w:val="24"/>
          <w:szCs w:val="24"/>
        </w:rPr>
        <w:t xml:space="preserve"> All bar graphs are presented as mean ± SD. *</w:t>
      </w:r>
      <w:r w:rsidRPr="003F5C84"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 w:rsidRPr="003F5C84">
        <w:rPr>
          <w:rFonts w:ascii="Times New Roman" w:hAnsi="Times New Roman"/>
          <w:color w:val="000000"/>
          <w:sz w:val="24"/>
          <w:szCs w:val="24"/>
        </w:rPr>
        <w:t>&lt; 0.05; **</w:t>
      </w:r>
      <w:r w:rsidRPr="003F5C84"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 w:rsidRPr="003F5C84">
        <w:rPr>
          <w:rFonts w:ascii="Times New Roman" w:hAnsi="Times New Roman"/>
          <w:color w:val="000000"/>
          <w:sz w:val="24"/>
          <w:szCs w:val="24"/>
        </w:rPr>
        <w:t xml:space="preserve">&lt; 0.01; </w:t>
      </w:r>
      <w:proofErr w:type="spellStart"/>
      <w:r w:rsidRPr="003F5C84">
        <w:rPr>
          <w:rFonts w:ascii="Times New Roman" w:hAnsi="Times New Roman"/>
          <w:color w:val="000000"/>
          <w:sz w:val="24"/>
          <w:szCs w:val="24"/>
        </w:rPr>
        <w:t>n.s</w:t>
      </w:r>
      <w:proofErr w:type="spellEnd"/>
      <w:r w:rsidRPr="003F5C84">
        <w:rPr>
          <w:rFonts w:ascii="Times New Roman" w:hAnsi="Times New Roman"/>
          <w:color w:val="000000"/>
          <w:sz w:val="24"/>
          <w:szCs w:val="24"/>
        </w:rPr>
        <w:t xml:space="preserve">., not significant; Student’s </w:t>
      </w:r>
      <w:r w:rsidRPr="003F5C84"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 w:rsidRPr="003F5C84">
        <w:rPr>
          <w:rFonts w:ascii="Times New Roman" w:hAnsi="Times New Roman"/>
          <w:color w:val="000000"/>
          <w:sz w:val="24"/>
          <w:szCs w:val="24"/>
        </w:rPr>
        <w:t>-test.</w:t>
      </w:r>
    </w:p>
    <w:p w14:paraId="5D2AEFB3" w14:textId="77777777" w:rsidR="00E166BF" w:rsidRDefault="00000000">
      <w:pPr>
        <w:widowControl/>
        <w:spacing w:line="36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33A95AB" w14:textId="6A065CD5" w:rsidR="00E166BF" w:rsidRDefault="00DE75C7" w:rsidP="00B67A96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75C7">
        <w:rPr>
          <w:noProof/>
        </w:rPr>
        <w:lastRenderedPageBreak/>
        <w:drawing>
          <wp:inline distT="0" distB="0" distL="0" distR="0" wp14:anchorId="725F0E1B" wp14:editId="35E672E2">
            <wp:extent cx="8753380" cy="5316735"/>
            <wp:effectExtent l="3810" t="0" r="0" b="0"/>
            <wp:docPr id="660521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95156" cy="534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9B9"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098CB3B1" w14:textId="59D1998B" w:rsidR="00E166BF" w:rsidRPr="006E0740" w:rsidRDefault="00000000" w:rsidP="006E0740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E0740">
        <w:rPr>
          <w:rFonts w:ascii="Times New Roman" w:hAnsi="Times New Roman" w:hint="eastAsia"/>
          <w:b/>
          <w:bCs/>
          <w:color w:val="FF0000"/>
          <w:sz w:val="28"/>
          <w:szCs w:val="28"/>
        </w:rPr>
        <w:lastRenderedPageBreak/>
        <w:t>T</w:t>
      </w:r>
      <w:r w:rsidRPr="006E0740">
        <w:rPr>
          <w:rFonts w:ascii="Times New Roman" w:hAnsi="Times New Roman"/>
          <w:b/>
          <w:bCs/>
          <w:color w:val="FF0000"/>
          <w:sz w:val="28"/>
          <w:szCs w:val="28"/>
        </w:rPr>
        <w:t xml:space="preserve">able S2. The primers used for Trim21 global and conditional knockout mice genotyping </w:t>
      </w:r>
    </w:p>
    <w:tbl>
      <w:tblPr>
        <w:tblStyle w:val="TableNormal"/>
        <w:tblW w:w="9141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3969"/>
        <w:gridCol w:w="3827"/>
      </w:tblGrid>
      <w:tr w:rsidR="00B67A96" w:rsidRPr="00B67A96" w14:paraId="73904B2C" w14:textId="77777777" w:rsidTr="000B20BE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D6365C" w14:textId="77777777" w:rsidR="00E166BF" w:rsidRPr="00B67A96" w:rsidRDefault="00000000">
            <w:pPr>
              <w:spacing w:line="360" w:lineRule="auto"/>
              <w:jc w:val="center"/>
              <w:rPr>
                <w:rStyle w:val="15"/>
                <w:color w:val="FF0000"/>
                <w:kern w:val="0"/>
              </w:rPr>
            </w:pPr>
            <w:r w:rsidRPr="00B67A96">
              <w:rPr>
                <w:rStyle w:val="15"/>
                <w:b/>
                <w:color w:val="FF0000"/>
                <w:kern w:val="0"/>
                <w:sz w:val="24"/>
                <w:szCs w:val="24"/>
              </w:rPr>
              <w:t>siRNA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055F1" w14:textId="77777777" w:rsidR="00E166BF" w:rsidRPr="00B67A96" w:rsidRDefault="00000000">
            <w:pPr>
              <w:spacing w:line="360" w:lineRule="auto"/>
              <w:jc w:val="center"/>
              <w:rPr>
                <w:rStyle w:val="15"/>
                <w:b/>
                <w:color w:val="FF0000"/>
                <w:kern w:val="0"/>
                <w:sz w:val="24"/>
                <w:szCs w:val="24"/>
              </w:rPr>
            </w:pPr>
            <w:r w:rsidRPr="00B67A96">
              <w:rPr>
                <w:rStyle w:val="15"/>
                <w:b/>
                <w:color w:val="FF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1DD564" w14:textId="77777777" w:rsidR="00E166BF" w:rsidRPr="00B67A96" w:rsidRDefault="00000000">
            <w:pPr>
              <w:spacing w:line="360" w:lineRule="auto"/>
              <w:jc w:val="center"/>
              <w:rPr>
                <w:rStyle w:val="15"/>
                <w:b/>
                <w:color w:val="FF0000"/>
                <w:kern w:val="0"/>
                <w:sz w:val="24"/>
                <w:szCs w:val="24"/>
              </w:rPr>
            </w:pPr>
            <w:r w:rsidRPr="00B67A96">
              <w:rPr>
                <w:rStyle w:val="15"/>
                <w:b/>
                <w:color w:val="FF0000"/>
                <w:kern w:val="0"/>
                <w:sz w:val="24"/>
                <w:szCs w:val="24"/>
              </w:rPr>
              <w:t>Reverse</w:t>
            </w:r>
          </w:p>
        </w:tc>
      </w:tr>
      <w:tr w:rsidR="00B67A96" w:rsidRPr="00B67A96" w14:paraId="3449F02F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0BBC4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-/- </w:t>
            </w:r>
          </w:p>
          <w:p w14:paraId="0E500D85" w14:textId="77777777" w:rsidR="00E166BF" w:rsidRPr="00B67A96" w:rsidRDefault="00000000">
            <w:pPr>
              <w:spacing w:line="360" w:lineRule="auto"/>
              <w:jc w:val="center"/>
              <w:rPr>
                <w:rFonts w:eastAsia="Arial Unicode MS"/>
                <w:bCs/>
                <w:color w:val="FF000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(F1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R1)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36D74" w14:textId="77777777" w:rsidR="00E166BF" w:rsidRPr="00B67A96" w:rsidRDefault="00000000">
            <w:pPr>
              <w:spacing w:line="360" w:lineRule="auto"/>
              <w:jc w:val="center"/>
              <w:rPr>
                <w:rFonts w:eastAsia="Arial Unicode MS"/>
                <w:b/>
                <w:b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TCCCTATTGAAGAGGCTGCTAAG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ABAB7" w14:textId="77777777" w:rsidR="00E166BF" w:rsidRPr="00B67A96" w:rsidRDefault="00000000">
            <w:pPr>
              <w:spacing w:line="360" w:lineRule="auto"/>
              <w:jc w:val="center"/>
              <w:rPr>
                <w:rFonts w:eastAsia="Arial Unicode MS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TTGAGATGATGAGCCATGAGTTG</w:t>
            </w:r>
          </w:p>
        </w:tc>
      </w:tr>
      <w:tr w:rsidR="00B67A96" w:rsidRPr="00B67A96" w14:paraId="6A3B42EF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01A3C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-/- </w:t>
            </w:r>
          </w:p>
          <w:p w14:paraId="1A4B3D80" w14:textId="77777777" w:rsidR="00E166BF" w:rsidRPr="00B67A96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(F1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R2)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318D6" w14:textId="77777777" w:rsidR="00E166BF" w:rsidRPr="00B67A96" w:rsidRDefault="00000000">
            <w:pPr>
              <w:spacing w:line="360" w:lineRule="auto"/>
              <w:jc w:val="center"/>
              <w:rPr>
                <w:rFonts w:eastAsia="Arial Unicode MS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TCCCTATTGAAGAGGCTGCTAAG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B291" w14:textId="77777777" w:rsidR="00E166BF" w:rsidRPr="00B67A96" w:rsidRDefault="00000000">
            <w:pPr>
              <w:spacing w:line="360" w:lineRule="auto"/>
              <w:jc w:val="center"/>
              <w:rPr>
                <w:rFonts w:eastAsia="Arial Unicode MS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CCTACAGCTCTTGCCTTCCAGTC</w:t>
            </w:r>
          </w:p>
        </w:tc>
      </w:tr>
      <w:tr w:rsidR="00B67A96" w:rsidRPr="00B67A96" w14:paraId="696730B0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3B7FE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f/f </w:t>
            </w:r>
          </w:p>
          <w:p w14:paraId="1E367E11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(F1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R1)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F1025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ATATGGGCACGCCTACATTGATG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B173C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 w:val="20"/>
                <w:szCs w:val="20"/>
              </w:rPr>
              <w:t>GCATTAGGAGTCAAGGTTTATGCAGC</w:t>
            </w:r>
          </w:p>
        </w:tc>
      </w:tr>
      <w:tr w:rsidR="00B67A96" w:rsidRPr="00B67A96" w14:paraId="2E7CBE57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3AC40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f/f </w:t>
            </w:r>
          </w:p>
          <w:p w14:paraId="0BB3E4B3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(F2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R2)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96B84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TCATACCTGTGTCACTGTCTCAGTCAG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E5B2D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AAGCTTTGTCCTGTGCTGTGGCTAAT</w:t>
            </w:r>
          </w:p>
        </w:tc>
      </w:tr>
      <w:tr w:rsidR="00B67A96" w:rsidRPr="00B67A96" w14:paraId="2B0B36D5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EE627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>f/f</w:t>
            </w:r>
          </w:p>
          <w:p w14:paraId="24F011C7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 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(F3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R3)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6CE32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GGGCAGTCTGGTACTTCCAAGCT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128E9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GAGCCCAGATCCACATCTGAACTG</w:t>
            </w:r>
          </w:p>
        </w:tc>
      </w:tr>
      <w:tr w:rsidR="00B67A96" w:rsidRPr="00B67A96" w14:paraId="3FD62BB6" w14:textId="77777777" w:rsidTr="003F5C84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34817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Trim21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  <w:vertAlign w:val="superscript"/>
              </w:rPr>
              <w:t xml:space="preserve">f/f </w:t>
            </w:r>
          </w:p>
          <w:p w14:paraId="78319BD4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i/>
                <w:iCs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>(F4</w:t>
            </w:r>
            <w:r w:rsidRPr="00B67A96">
              <w:rPr>
                <w:rFonts w:eastAsia="宋体" w:hint="eastAsia"/>
                <w:i/>
                <w:iCs/>
                <w:color w:val="FF0000"/>
                <w:kern w:val="0"/>
                <w:szCs w:val="21"/>
              </w:rPr>
              <w:t>,</w:t>
            </w:r>
            <w:r w:rsidRPr="00B67A96">
              <w:rPr>
                <w:rFonts w:eastAsia="宋体"/>
                <w:i/>
                <w:iCs/>
                <w:color w:val="FF0000"/>
                <w:kern w:val="0"/>
                <w:szCs w:val="21"/>
              </w:rPr>
              <w:t xml:space="preserve"> R4)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40F6D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CAGCAAAACCTGGCTGTGGATC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825E" w14:textId="77777777" w:rsidR="00E166BF" w:rsidRPr="00B67A96" w:rsidRDefault="00000000">
            <w:pPr>
              <w:spacing w:line="360" w:lineRule="auto"/>
              <w:jc w:val="center"/>
              <w:rPr>
                <w:rFonts w:eastAsia="宋体"/>
                <w:color w:val="FF0000"/>
                <w:kern w:val="0"/>
                <w:szCs w:val="21"/>
              </w:rPr>
            </w:pPr>
            <w:r w:rsidRPr="00B67A96">
              <w:rPr>
                <w:rFonts w:eastAsia="宋体"/>
                <w:color w:val="FF0000"/>
                <w:kern w:val="0"/>
                <w:szCs w:val="21"/>
              </w:rPr>
              <w:t>ATGAGCCACCATGTGGGTGTC</w:t>
            </w:r>
          </w:p>
        </w:tc>
      </w:tr>
    </w:tbl>
    <w:p w14:paraId="1657BD9C" w14:textId="77777777" w:rsidR="00E166BF" w:rsidRDefault="00000000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3F11D101" w14:textId="77777777" w:rsidR="00E166BF" w:rsidRPr="006E0740" w:rsidRDefault="00000000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E0740">
        <w:rPr>
          <w:rFonts w:ascii="Times New Roman" w:hAnsi="Times New Roman" w:hint="eastAsia"/>
          <w:b/>
          <w:bCs/>
          <w:color w:val="000000"/>
          <w:sz w:val="28"/>
          <w:szCs w:val="28"/>
        </w:rPr>
        <w:t>T</w:t>
      </w:r>
      <w:r w:rsidRPr="006E0740">
        <w:rPr>
          <w:rFonts w:ascii="Times New Roman" w:hAnsi="Times New Roman"/>
          <w:b/>
          <w:bCs/>
          <w:color w:val="000000"/>
          <w:sz w:val="28"/>
          <w:szCs w:val="28"/>
        </w:rPr>
        <w:t xml:space="preserve">able S3. List of the </w:t>
      </w:r>
      <w:proofErr w:type="gramStart"/>
      <w:r w:rsidRPr="006E0740">
        <w:rPr>
          <w:rFonts w:ascii="Times New Roman" w:hAnsi="Times New Roman"/>
          <w:b/>
          <w:bCs/>
          <w:color w:val="000000"/>
          <w:sz w:val="28"/>
          <w:szCs w:val="28"/>
        </w:rPr>
        <w:t>siRNAs</w:t>
      </w:r>
      <w:proofErr w:type="gramEnd"/>
      <w:r w:rsidRPr="006E0740">
        <w:rPr>
          <w:rFonts w:ascii="Times New Roman" w:hAnsi="Times New Roman"/>
          <w:b/>
          <w:bCs/>
          <w:color w:val="000000"/>
          <w:sz w:val="28"/>
          <w:szCs w:val="28"/>
        </w:rPr>
        <w:t xml:space="preserve"> sequences</w:t>
      </w:r>
    </w:p>
    <w:tbl>
      <w:tblPr>
        <w:tblStyle w:val="TableNormal"/>
        <w:tblW w:w="9141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3969"/>
        <w:gridCol w:w="3827"/>
      </w:tblGrid>
      <w:tr w:rsidR="00E166BF" w14:paraId="6528F594" w14:textId="77777777" w:rsidTr="000B20BE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8BEA35" w14:textId="77777777" w:rsidR="00E166BF" w:rsidRDefault="00000000">
            <w:pPr>
              <w:spacing w:line="360" w:lineRule="auto"/>
              <w:jc w:val="center"/>
              <w:rPr>
                <w:rStyle w:val="15"/>
                <w:kern w:val="0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siRNA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A4BABC" w14:textId="77777777" w:rsidR="00E166BF" w:rsidRDefault="00000000">
            <w:pPr>
              <w:spacing w:line="360" w:lineRule="auto"/>
              <w:jc w:val="center"/>
              <w:rPr>
                <w:rStyle w:val="15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9CA314" w14:textId="77777777" w:rsidR="00E166BF" w:rsidRDefault="00000000">
            <w:pPr>
              <w:spacing w:line="360" w:lineRule="auto"/>
              <w:jc w:val="center"/>
              <w:rPr>
                <w:rStyle w:val="15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Reverse</w:t>
            </w:r>
          </w:p>
        </w:tc>
      </w:tr>
      <w:tr w:rsidR="00E166BF" w14:paraId="2ACE60FD" w14:textId="77777777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621B42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bCs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 w:val="24"/>
                <w:szCs w:val="24"/>
              </w:rPr>
              <w:t>siTrim21#2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BCB3C8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GGAACAUUGACACCCAGAATT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49BC6C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UUCUGGGUGUCAAUGUUCCTT</w:t>
            </w:r>
          </w:p>
        </w:tc>
      </w:tr>
      <w:tr w:rsidR="00E166BF" w14:paraId="28C82BE2" w14:textId="77777777">
        <w:trPr>
          <w:trHeight w:val="90"/>
          <w:jc w:val="center"/>
        </w:trPr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6B9703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 w:val="24"/>
                <w:szCs w:val="24"/>
              </w:rPr>
              <w:t>siTrim21#3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8D2469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GCGUUGUCUCCUUCUACAATT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BA8D35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UUGUAGAAGGAGACAACGCTT</w:t>
            </w:r>
          </w:p>
        </w:tc>
      </w:tr>
    </w:tbl>
    <w:p w14:paraId="47E0DF67" w14:textId="20D70972" w:rsidR="00E166BF" w:rsidRDefault="00E166BF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E73F86" w14:textId="77777777" w:rsidR="00E166BF" w:rsidRPr="006E0740" w:rsidRDefault="00000000" w:rsidP="006E0740">
      <w:pPr>
        <w:spacing w:line="360" w:lineRule="auto"/>
        <w:ind w:firstLineChars="300" w:firstLine="840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 w:rsidRPr="006E0740">
        <w:rPr>
          <w:rFonts w:ascii="Times New Roman" w:hAnsi="Times New Roman" w:hint="eastAsia"/>
          <w:b/>
          <w:bCs/>
          <w:color w:val="000000"/>
          <w:sz w:val="28"/>
          <w:szCs w:val="28"/>
        </w:rPr>
        <w:t>T</w:t>
      </w:r>
      <w:r w:rsidRPr="006E0740">
        <w:rPr>
          <w:rFonts w:ascii="Times New Roman" w:hAnsi="Times New Roman"/>
          <w:b/>
          <w:bCs/>
          <w:color w:val="000000"/>
          <w:sz w:val="28"/>
          <w:szCs w:val="28"/>
        </w:rPr>
        <w:t xml:space="preserve">able S4. The primers used for </w:t>
      </w:r>
      <w:r w:rsidRPr="006E0740">
        <w:rPr>
          <w:rFonts w:ascii="Times New Roman" w:eastAsia="Book Antiqua" w:hAnsi="Times New Roman"/>
          <w:b/>
          <w:bCs/>
          <w:color w:val="000000"/>
          <w:kern w:val="0"/>
          <w:sz w:val="28"/>
          <w:szCs w:val="28"/>
        </w:rPr>
        <w:t>quantitative RT-PCR</w:t>
      </w:r>
    </w:p>
    <w:tbl>
      <w:tblPr>
        <w:tblStyle w:val="TableNormal"/>
        <w:tblW w:w="8999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3969"/>
        <w:gridCol w:w="3827"/>
      </w:tblGrid>
      <w:tr w:rsidR="00E166BF" w14:paraId="774BF9B8" w14:textId="77777777" w:rsidTr="000B20BE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7CA7A1" w14:textId="77777777" w:rsidR="00E166BF" w:rsidRDefault="00000000">
            <w:pPr>
              <w:spacing w:line="360" w:lineRule="auto"/>
              <w:jc w:val="center"/>
              <w:rPr>
                <w:rStyle w:val="15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37D549" w14:textId="77777777" w:rsidR="00E166BF" w:rsidRDefault="00000000">
            <w:pPr>
              <w:spacing w:line="360" w:lineRule="auto"/>
              <w:jc w:val="center"/>
              <w:rPr>
                <w:rStyle w:val="15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FE067E" w14:textId="77777777" w:rsidR="00E166BF" w:rsidRDefault="00000000">
            <w:pPr>
              <w:spacing w:line="360" w:lineRule="auto"/>
              <w:jc w:val="center"/>
              <w:rPr>
                <w:rStyle w:val="15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Style w:val="15"/>
                <w:b/>
                <w:color w:val="000000"/>
                <w:kern w:val="0"/>
                <w:sz w:val="24"/>
                <w:szCs w:val="24"/>
              </w:rPr>
              <w:t>Reverse</w:t>
            </w:r>
          </w:p>
        </w:tc>
      </w:tr>
      <w:tr w:rsidR="00E166BF" w14:paraId="49C77D19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B801E7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bCs/>
              </w:rPr>
            </w:pPr>
            <w:r>
              <w:rPr>
                <w:rFonts w:eastAsia="Book Antiqua"/>
                <w:b/>
                <w:bCs/>
                <w:color w:val="000000"/>
                <w:kern w:val="0"/>
                <w:sz w:val="24"/>
                <w:szCs w:val="24"/>
              </w:rPr>
              <w:t>Human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2DD0B7" w14:textId="77777777" w:rsidR="00E166BF" w:rsidRDefault="00E166BF">
            <w:pPr>
              <w:spacing w:line="360" w:lineRule="auto"/>
              <w:jc w:val="center"/>
              <w:rPr>
                <w:rFonts w:eastAsia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ACAF22" w14:textId="77777777" w:rsidR="00E166BF" w:rsidRDefault="00E166BF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E166BF" w14:paraId="2D93E6DA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17087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h-TRIM21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ABA127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CCAATCCGTGGCTGATACTT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5247A8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GCACCCAGGACCATAGGATA</w:t>
            </w:r>
          </w:p>
        </w:tc>
      </w:tr>
      <w:tr w:rsidR="00E166BF" w14:paraId="22BEEE14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0C057A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h-GAPDH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3AC959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CTGACTTCAACAGCGACACC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4B45BB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CCCTGTTGCTGTAGCCAAAT</w:t>
            </w:r>
          </w:p>
        </w:tc>
      </w:tr>
      <w:tr w:rsidR="00E166BF" w14:paraId="6E38410F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C03243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Mice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4E246" w14:textId="77777777" w:rsidR="00E166BF" w:rsidRDefault="00E166BF">
            <w:pPr>
              <w:spacing w:line="360" w:lineRule="auto"/>
              <w:jc w:val="center"/>
              <w:rPr>
                <w:rFonts w:eastAsia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79582A" w14:textId="77777777" w:rsidR="00E166BF" w:rsidRDefault="00E166BF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E166BF" w14:paraId="16A28A31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24DBC0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0F45F7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TGTGTCCGTCGTGGATCTGA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FC0041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TTGCTGTTGAAGTCGCAGGAG</w:t>
            </w:r>
          </w:p>
        </w:tc>
      </w:tr>
      <w:tr w:rsidR="00E166BF" w14:paraId="794CB816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9C45B3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Trim21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2AE44E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TGGAGAGGAGGATTCGTGGT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855CFA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AGGGCATGTGCTTGTTAGGT</w:t>
            </w:r>
          </w:p>
        </w:tc>
      </w:tr>
      <w:tr w:rsidR="00E166BF" w14:paraId="23756C0F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3F18F5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Runx2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AD3750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CACTACCCAGCCACCTTTAC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2FB667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AGGATGCTGACGAAGTACCA</w:t>
            </w:r>
          </w:p>
        </w:tc>
      </w:tr>
      <w:tr w:rsidR="00E166BF" w14:paraId="25B32F73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F2F5F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Osterix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894AFE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CCAGGCAACACACCTACTCC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0ED94E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GGGAGCAAAGTCAGATGGGT</w:t>
            </w:r>
          </w:p>
        </w:tc>
      </w:tr>
      <w:tr w:rsidR="00E166BF" w14:paraId="48F83763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300566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4C03DA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TGGACGGTGAACGGGAAAAT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3CAE5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CATACGCCATCACATGGGGA</w:t>
            </w:r>
          </w:p>
        </w:tc>
      </w:tr>
      <w:tr w:rsidR="00E166BF" w14:paraId="66A4CA82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71A24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Adipsin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6AC141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GACGGATGACGACTCTGTGC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849714" w14:textId="77777777" w:rsidR="00E166BF" w:rsidRDefault="00000000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GGTGAGGCACTACACTCTGC</w:t>
            </w:r>
          </w:p>
        </w:tc>
      </w:tr>
      <w:tr w:rsidR="00E166BF" w14:paraId="07FDC113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F9BAD0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Cebpa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80926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TTCGGGTCGCTGGATCTCTA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7C84C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TCAAGGAGAAACCACCACGG</w:t>
            </w:r>
          </w:p>
        </w:tc>
      </w:tr>
      <w:tr w:rsidR="00E166BF" w14:paraId="4A7A36F5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E4AB07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Fabp4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81FD10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CGACAGGAAGGTGAAGAGCAT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D640A1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AACACATTCCACCACCAGCTT</w:t>
            </w:r>
          </w:p>
        </w:tc>
      </w:tr>
      <w:tr w:rsidR="00E166BF" w14:paraId="45CFDDAC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9B200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Pparg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27BFBF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GCCAAGGTGCTCCAGAAGAT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F3E61E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GGGTGAAGGCTCATGTCTGT</w:t>
            </w:r>
          </w:p>
        </w:tc>
      </w:tr>
      <w:tr w:rsidR="00E166BF" w14:paraId="10FFEE5A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77E1FB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NFATC1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25337F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TTCCGAGTTCACATCCCACA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357CC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AGTCTTTGCTTCCATCTCCCA</w:t>
            </w:r>
          </w:p>
        </w:tc>
      </w:tr>
      <w:tr w:rsidR="00E166BF" w14:paraId="5746BBC0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67BE4C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Ctsk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FC4E04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CAGTAGCCACGCTTCCTATCC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49B236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ACGCCGAGAGATTTCATCCA</w:t>
            </w:r>
          </w:p>
        </w:tc>
      </w:tr>
      <w:tr w:rsidR="00E166BF" w14:paraId="136FE455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9D9170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ACP5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E1439C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CAAAGAGATCGCCAGAACCG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EBB447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ACGTCCTCAAAGGTCTCCTG</w:t>
            </w:r>
          </w:p>
        </w:tc>
      </w:tr>
      <w:tr w:rsidR="00E166BF" w14:paraId="2651FB3E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9750DE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Atp6v0d2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063322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CCTGGTTCGAGGATGCAAAG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E47B11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GGTCTCACACTGCACTAGGT</w:t>
            </w:r>
          </w:p>
        </w:tc>
      </w:tr>
      <w:tr w:rsidR="00E166BF" w14:paraId="0A2AAC08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20389D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i/>
                <w:iCs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28B6A1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CCAGCCGACTTTTGTGGTCTT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F2FEED" w14:textId="77777777" w:rsidR="00E166BF" w:rsidRDefault="00000000">
            <w:pPr>
              <w:spacing w:line="360" w:lineRule="auto"/>
              <w:jc w:val="center"/>
              <w:rPr>
                <w:rFonts w:eastAsia="Arial Unicode MS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CGGGTGTAACCATAGCGGT</w:t>
            </w:r>
          </w:p>
        </w:tc>
      </w:tr>
      <w:tr w:rsidR="00E166BF" w14:paraId="56F4917C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1671E5" w14:textId="77777777" w:rsidR="00E166BF" w:rsidRDefault="00000000">
            <w:pPr>
              <w:spacing w:line="360" w:lineRule="auto"/>
              <w:jc w:val="center"/>
              <w:rPr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/>
                <w:iCs/>
                <w:color w:val="000000"/>
                <w:kern w:val="0"/>
                <w:sz w:val="24"/>
                <w:szCs w:val="24"/>
              </w:rPr>
              <w:t>IL-6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1C2081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GGCTAAGGACCAAGACCATCC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17C530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00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000000"/>
                <w:kern w:val="0"/>
                <w:sz w:val="24"/>
                <w:szCs w:val="24"/>
              </w:rPr>
              <w:t>GCACTAGGTTTGCCGAGTAGA</w:t>
            </w:r>
          </w:p>
        </w:tc>
      </w:tr>
      <w:tr w:rsidR="00E166BF" w14:paraId="22D23066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7E3416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color w:val="FF0000"/>
                <w:kern w:val="0"/>
                <w:sz w:val="24"/>
                <w:szCs w:val="24"/>
              </w:rPr>
              <w:t>O</w:t>
            </w: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CN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A11B5E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GAACAGACAAGTCCCACACAGC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A3A3DC" w14:textId="77777777" w:rsidR="00E166BF" w:rsidRDefault="00000000">
            <w:pPr>
              <w:widowControl/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2"/>
              </w:rPr>
            </w:pPr>
            <w:r>
              <w:rPr>
                <w:rFonts w:eastAsia="Book Antiqua"/>
                <w:color w:val="FF0000"/>
                <w:kern w:val="0"/>
                <w:sz w:val="22"/>
              </w:rPr>
              <w:t>TCAGCAGAGTGAGCAGAAAGAT</w:t>
            </w:r>
          </w:p>
        </w:tc>
      </w:tr>
      <w:tr w:rsidR="00E166BF" w14:paraId="0396B4EB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978E18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color w:val="FF0000"/>
                <w:kern w:val="0"/>
                <w:sz w:val="24"/>
                <w:szCs w:val="24"/>
              </w:rPr>
              <w:t>O</w:t>
            </w: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PG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33523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GCCACGCAAAAGTGTGGAAT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8A7AD2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TTTGGTCCCAGGCAAACTGT</w:t>
            </w:r>
          </w:p>
        </w:tc>
      </w:tr>
      <w:tr w:rsidR="00E166BF" w14:paraId="23B6074C" w14:textId="77777777">
        <w:trPr>
          <w:trHeight w:val="90"/>
          <w:jc w:val="center"/>
        </w:trPr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A73AB1" w14:textId="77777777" w:rsidR="00E166BF" w:rsidRDefault="00000000">
            <w:pPr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color w:val="FF0000"/>
                <w:kern w:val="0"/>
                <w:sz w:val="24"/>
                <w:szCs w:val="24"/>
              </w:rPr>
              <w:t>R</w:t>
            </w: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ANKL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836F4A" w14:textId="77777777" w:rsidR="00E166BF" w:rsidRDefault="00000000">
            <w:pPr>
              <w:widowControl/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GAGCACGAAAAACTGGTCGG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5165AA" w14:textId="77777777" w:rsidR="00E166BF" w:rsidRDefault="00000000">
            <w:pPr>
              <w:widowControl/>
              <w:spacing w:line="360" w:lineRule="auto"/>
              <w:jc w:val="center"/>
              <w:rPr>
                <w:rFonts w:eastAsia="Book Antiqua"/>
                <w:color w:val="FF0000"/>
                <w:kern w:val="0"/>
                <w:sz w:val="24"/>
                <w:szCs w:val="24"/>
              </w:rPr>
            </w:pPr>
            <w:r>
              <w:rPr>
                <w:rFonts w:eastAsia="Book Antiqua"/>
                <w:color w:val="FF0000"/>
                <w:kern w:val="0"/>
                <w:sz w:val="24"/>
                <w:szCs w:val="24"/>
              </w:rPr>
              <w:t>AGGGTTGGACACCTGAATGC</w:t>
            </w:r>
          </w:p>
        </w:tc>
      </w:tr>
    </w:tbl>
    <w:p w14:paraId="1942AE9A" w14:textId="77777777" w:rsidR="00E166BF" w:rsidRDefault="00000000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2E310211" w14:textId="1E9E0016" w:rsidR="00E166BF" w:rsidRPr="006E0740" w:rsidRDefault="00000000">
      <w:pPr>
        <w:spacing w:line="36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E0740">
        <w:rPr>
          <w:rFonts w:ascii="Times New Roman" w:hAnsi="Times New Roman"/>
          <w:b/>
          <w:bCs/>
          <w:color w:val="FF0000"/>
          <w:sz w:val="24"/>
          <w:szCs w:val="24"/>
        </w:rPr>
        <w:lastRenderedPageBreak/>
        <w:t>Table S5. Methods used for the determination of indicated phenotypes</w:t>
      </w:r>
    </w:p>
    <w:p w14:paraId="292921E4" w14:textId="191ACC13" w:rsidR="00E166BF" w:rsidRDefault="008059B9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A4EFDD3" wp14:editId="13C574B4">
            <wp:extent cx="4639945" cy="1478915"/>
            <wp:effectExtent l="0" t="0" r="0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A05E7E5" w14:textId="77777777" w:rsidR="00F74627" w:rsidRDefault="00F74627">
      <w:pPr>
        <w:spacing w:line="360" w:lineRule="auto"/>
        <w:ind w:firstLineChars="800" w:firstLine="1920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74627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FA5" w14:textId="77777777" w:rsidR="00D22FAA" w:rsidRDefault="00D22FAA" w:rsidP="008059B9">
      <w:r>
        <w:separator/>
      </w:r>
    </w:p>
  </w:endnote>
  <w:endnote w:type="continuationSeparator" w:id="0">
    <w:p w14:paraId="4D86A534" w14:textId="77777777" w:rsidR="00D22FAA" w:rsidRDefault="00D22FAA" w:rsidP="0080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2420" w14:textId="77777777" w:rsidR="00D22FAA" w:rsidRDefault="00D22FAA" w:rsidP="008059B9">
      <w:r>
        <w:separator/>
      </w:r>
    </w:p>
  </w:footnote>
  <w:footnote w:type="continuationSeparator" w:id="0">
    <w:p w14:paraId="0DDA83DA" w14:textId="77777777" w:rsidR="00D22FAA" w:rsidRDefault="00D22FAA" w:rsidP="00805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EyYmY5ZjAwMTJhYjkzYmJlYWMzMmU2MDEwY2U1Yj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33CCB"/>
    <w:rsid w:val="00001232"/>
    <w:rsid w:val="000012EC"/>
    <w:rsid w:val="00012993"/>
    <w:rsid w:val="00012A47"/>
    <w:rsid w:val="0001637C"/>
    <w:rsid w:val="000207D6"/>
    <w:rsid w:val="00023162"/>
    <w:rsid w:val="000265BA"/>
    <w:rsid w:val="00027FC4"/>
    <w:rsid w:val="000360B5"/>
    <w:rsid w:val="00037F66"/>
    <w:rsid w:val="00043B6F"/>
    <w:rsid w:val="00045768"/>
    <w:rsid w:val="00050B34"/>
    <w:rsid w:val="00051EBD"/>
    <w:rsid w:val="000533A6"/>
    <w:rsid w:val="00053985"/>
    <w:rsid w:val="000558C8"/>
    <w:rsid w:val="0005708F"/>
    <w:rsid w:val="000619A3"/>
    <w:rsid w:val="00061A13"/>
    <w:rsid w:val="00061E9B"/>
    <w:rsid w:val="0006525E"/>
    <w:rsid w:val="00067AC4"/>
    <w:rsid w:val="000738FB"/>
    <w:rsid w:val="0007592D"/>
    <w:rsid w:val="00076319"/>
    <w:rsid w:val="00077A0F"/>
    <w:rsid w:val="00081D90"/>
    <w:rsid w:val="00086ADC"/>
    <w:rsid w:val="000913A7"/>
    <w:rsid w:val="00091A33"/>
    <w:rsid w:val="000935D1"/>
    <w:rsid w:val="000957AF"/>
    <w:rsid w:val="00095CE0"/>
    <w:rsid w:val="000B03ED"/>
    <w:rsid w:val="000B20BE"/>
    <w:rsid w:val="000B4A0A"/>
    <w:rsid w:val="000B4E2B"/>
    <w:rsid w:val="000B7C16"/>
    <w:rsid w:val="000C69D9"/>
    <w:rsid w:val="000C6F1B"/>
    <w:rsid w:val="000C7EE0"/>
    <w:rsid w:val="000D088A"/>
    <w:rsid w:val="000D1213"/>
    <w:rsid w:val="000D3997"/>
    <w:rsid w:val="000D40BD"/>
    <w:rsid w:val="000D4168"/>
    <w:rsid w:val="000D4FCF"/>
    <w:rsid w:val="000E0CB2"/>
    <w:rsid w:val="000E6C6E"/>
    <w:rsid w:val="000F030A"/>
    <w:rsid w:val="000F0BF5"/>
    <w:rsid w:val="000F11B0"/>
    <w:rsid w:val="001038C4"/>
    <w:rsid w:val="00105B78"/>
    <w:rsid w:val="001064AC"/>
    <w:rsid w:val="00107AE5"/>
    <w:rsid w:val="00110B4E"/>
    <w:rsid w:val="00113873"/>
    <w:rsid w:val="0011764A"/>
    <w:rsid w:val="0012129D"/>
    <w:rsid w:val="001279E8"/>
    <w:rsid w:val="00131609"/>
    <w:rsid w:val="00132E6B"/>
    <w:rsid w:val="00133E39"/>
    <w:rsid w:val="0014168A"/>
    <w:rsid w:val="001422F0"/>
    <w:rsid w:val="00150D37"/>
    <w:rsid w:val="00151792"/>
    <w:rsid w:val="00165582"/>
    <w:rsid w:val="001716D8"/>
    <w:rsid w:val="00180A22"/>
    <w:rsid w:val="0018109B"/>
    <w:rsid w:val="00186351"/>
    <w:rsid w:val="00187614"/>
    <w:rsid w:val="001910FF"/>
    <w:rsid w:val="00196AE4"/>
    <w:rsid w:val="001A3E0A"/>
    <w:rsid w:val="001A48E7"/>
    <w:rsid w:val="001A4E17"/>
    <w:rsid w:val="001B14E0"/>
    <w:rsid w:val="001B22AA"/>
    <w:rsid w:val="001B2BD3"/>
    <w:rsid w:val="001B2EA3"/>
    <w:rsid w:val="001B56F6"/>
    <w:rsid w:val="001B59CC"/>
    <w:rsid w:val="001B5C31"/>
    <w:rsid w:val="001C00BF"/>
    <w:rsid w:val="001C0EB1"/>
    <w:rsid w:val="001C2B0E"/>
    <w:rsid w:val="001C550B"/>
    <w:rsid w:val="001C556F"/>
    <w:rsid w:val="001C63A4"/>
    <w:rsid w:val="001C6878"/>
    <w:rsid w:val="001D0EA7"/>
    <w:rsid w:val="001D2F99"/>
    <w:rsid w:val="001D6BCF"/>
    <w:rsid w:val="001E1238"/>
    <w:rsid w:val="001E4C44"/>
    <w:rsid w:val="001F0C31"/>
    <w:rsid w:val="001F2768"/>
    <w:rsid w:val="00210176"/>
    <w:rsid w:val="00212719"/>
    <w:rsid w:val="002133BA"/>
    <w:rsid w:val="00213ADD"/>
    <w:rsid w:val="00213CEF"/>
    <w:rsid w:val="00216088"/>
    <w:rsid w:val="00220A0D"/>
    <w:rsid w:val="00223218"/>
    <w:rsid w:val="00240153"/>
    <w:rsid w:val="00240E76"/>
    <w:rsid w:val="00241F1E"/>
    <w:rsid w:val="00244904"/>
    <w:rsid w:val="00250CD3"/>
    <w:rsid w:val="00255BEE"/>
    <w:rsid w:val="00256B77"/>
    <w:rsid w:val="00262A41"/>
    <w:rsid w:val="00273C48"/>
    <w:rsid w:val="00275567"/>
    <w:rsid w:val="00281463"/>
    <w:rsid w:val="00283F17"/>
    <w:rsid w:val="00287212"/>
    <w:rsid w:val="00290FA3"/>
    <w:rsid w:val="00292692"/>
    <w:rsid w:val="00294253"/>
    <w:rsid w:val="00294293"/>
    <w:rsid w:val="00294FCD"/>
    <w:rsid w:val="0029627D"/>
    <w:rsid w:val="0029698D"/>
    <w:rsid w:val="002A1793"/>
    <w:rsid w:val="002A21A6"/>
    <w:rsid w:val="002A56A5"/>
    <w:rsid w:val="002B3DEA"/>
    <w:rsid w:val="002C1620"/>
    <w:rsid w:val="002C55F8"/>
    <w:rsid w:val="002C6EE3"/>
    <w:rsid w:val="002D2B0F"/>
    <w:rsid w:val="002D700F"/>
    <w:rsid w:val="002E0D40"/>
    <w:rsid w:val="002E2FC4"/>
    <w:rsid w:val="002E5648"/>
    <w:rsid w:val="002E74CA"/>
    <w:rsid w:val="002F3EDF"/>
    <w:rsid w:val="002F4413"/>
    <w:rsid w:val="0030070D"/>
    <w:rsid w:val="00301A34"/>
    <w:rsid w:val="00302F6A"/>
    <w:rsid w:val="003041EA"/>
    <w:rsid w:val="00305F0D"/>
    <w:rsid w:val="003064FF"/>
    <w:rsid w:val="00310F79"/>
    <w:rsid w:val="00312AC7"/>
    <w:rsid w:val="00312CB5"/>
    <w:rsid w:val="00320738"/>
    <w:rsid w:val="003232AC"/>
    <w:rsid w:val="003310BB"/>
    <w:rsid w:val="00334D17"/>
    <w:rsid w:val="0033540A"/>
    <w:rsid w:val="00337390"/>
    <w:rsid w:val="00340474"/>
    <w:rsid w:val="00343DE5"/>
    <w:rsid w:val="00344EA4"/>
    <w:rsid w:val="0034665D"/>
    <w:rsid w:val="00350A07"/>
    <w:rsid w:val="003525D5"/>
    <w:rsid w:val="00353484"/>
    <w:rsid w:val="00366A5D"/>
    <w:rsid w:val="00371BE3"/>
    <w:rsid w:val="00372EDA"/>
    <w:rsid w:val="00376E17"/>
    <w:rsid w:val="00382DC4"/>
    <w:rsid w:val="00387254"/>
    <w:rsid w:val="003876B2"/>
    <w:rsid w:val="0039129B"/>
    <w:rsid w:val="00396DC1"/>
    <w:rsid w:val="003A2E3C"/>
    <w:rsid w:val="003A43D5"/>
    <w:rsid w:val="003A47B8"/>
    <w:rsid w:val="003B3E55"/>
    <w:rsid w:val="003C2ED1"/>
    <w:rsid w:val="003C39FF"/>
    <w:rsid w:val="003D0077"/>
    <w:rsid w:val="003D3F97"/>
    <w:rsid w:val="003D6F5B"/>
    <w:rsid w:val="003D7A54"/>
    <w:rsid w:val="003E1917"/>
    <w:rsid w:val="003E2D5D"/>
    <w:rsid w:val="003E4489"/>
    <w:rsid w:val="003E7E9B"/>
    <w:rsid w:val="003F3792"/>
    <w:rsid w:val="003F4159"/>
    <w:rsid w:val="003F5C84"/>
    <w:rsid w:val="00402AE8"/>
    <w:rsid w:val="00404277"/>
    <w:rsid w:val="00407B5E"/>
    <w:rsid w:val="00412E0D"/>
    <w:rsid w:val="004135FC"/>
    <w:rsid w:val="00416D1C"/>
    <w:rsid w:val="00421F2B"/>
    <w:rsid w:val="00424B07"/>
    <w:rsid w:val="00424CB7"/>
    <w:rsid w:val="00427EC3"/>
    <w:rsid w:val="0043033A"/>
    <w:rsid w:val="0043216B"/>
    <w:rsid w:val="00442338"/>
    <w:rsid w:val="00442CC6"/>
    <w:rsid w:val="00445BE6"/>
    <w:rsid w:val="004527F4"/>
    <w:rsid w:val="00453948"/>
    <w:rsid w:val="00463A1E"/>
    <w:rsid w:val="00464AB3"/>
    <w:rsid w:val="004668F3"/>
    <w:rsid w:val="00470BF0"/>
    <w:rsid w:val="00474468"/>
    <w:rsid w:val="00481C4E"/>
    <w:rsid w:val="00490FCC"/>
    <w:rsid w:val="004929B5"/>
    <w:rsid w:val="00495F89"/>
    <w:rsid w:val="004B3E68"/>
    <w:rsid w:val="004B5619"/>
    <w:rsid w:val="004B7AFA"/>
    <w:rsid w:val="004C08AC"/>
    <w:rsid w:val="004C1F66"/>
    <w:rsid w:val="004C61E4"/>
    <w:rsid w:val="004D0922"/>
    <w:rsid w:val="004D0AA3"/>
    <w:rsid w:val="004E1773"/>
    <w:rsid w:val="004E4463"/>
    <w:rsid w:val="004E7104"/>
    <w:rsid w:val="004F42C5"/>
    <w:rsid w:val="004F4412"/>
    <w:rsid w:val="004F5D9A"/>
    <w:rsid w:val="004F6544"/>
    <w:rsid w:val="004F6E4F"/>
    <w:rsid w:val="0050345C"/>
    <w:rsid w:val="005058F4"/>
    <w:rsid w:val="005114A7"/>
    <w:rsid w:val="00511AD0"/>
    <w:rsid w:val="00512469"/>
    <w:rsid w:val="0051264C"/>
    <w:rsid w:val="0051591B"/>
    <w:rsid w:val="00520E8B"/>
    <w:rsid w:val="0052345B"/>
    <w:rsid w:val="00526BE2"/>
    <w:rsid w:val="00527481"/>
    <w:rsid w:val="005308C5"/>
    <w:rsid w:val="00535D67"/>
    <w:rsid w:val="00537652"/>
    <w:rsid w:val="005400B2"/>
    <w:rsid w:val="00540A08"/>
    <w:rsid w:val="005414B6"/>
    <w:rsid w:val="005431E4"/>
    <w:rsid w:val="00543351"/>
    <w:rsid w:val="00546AE4"/>
    <w:rsid w:val="00550637"/>
    <w:rsid w:val="00554889"/>
    <w:rsid w:val="00554DB1"/>
    <w:rsid w:val="00555DC5"/>
    <w:rsid w:val="005708C7"/>
    <w:rsid w:val="00571720"/>
    <w:rsid w:val="0058173C"/>
    <w:rsid w:val="005835EA"/>
    <w:rsid w:val="005911AD"/>
    <w:rsid w:val="00592092"/>
    <w:rsid w:val="005A2B78"/>
    <w:rsid w:val="005A5FD1"/>
    <w:rsid w:val="005B5FD4"/>
    <w:rsid w:val="005C13B9"/>
    <w:rsid w:val="005C3EB6"/>
    <w:rsid w:val="005C76BD"/>
    <w:rsid w:val="005D065D"/>
    <w:rsid w:val="005D08A3"/>
    <w:rsid w:val="005D24E4"/>
    <w:rsid w:val="005D3F0F"/>
    <w:rsid w:val="005E01AA"/>
    <w:rsid w:val="005E7E3C"/>
    <w:rsid w:val="005F2B0B"/>
    <w:rsid w:val="005F495B"/>
    <w:rsid w:val="00600D23"/>
    <w:rsid w:val="00604177"/>
    <w:rsid w:val="00611A46"/>
    <w:rsid w:val="00611E0C"/>
    <w:rsid w:val="00614065"/>
    <w:rsid w:val="00621447"/>
    <w:rsid w:val="00623616"/>
    <w:rsid w:val="00631144"/>
    <w:rsid w:val="006331A2"/>
    <w:rsid w:val="00637F25"/>
    <w:rsid w:val="00642345"/>
    <w:rsid w:val="00644FE8"/>
    <w:rsid w:val="00650963"/>
    <w:rsid w:val="00653AE4"/>
    <w:rsid w:val="006569B9"/>
    <w:rsid w:val="00663226"/>
    <w:rsid w:val="00667153"/>
    <w:rsid w:val="0067015C"/>
    <w:rsid w:val="006821B3"/>
    <w:rsid w:val="00682AB8"/>
    <w:rsid w:val="00682BE9"/>
    <w:rsid w:val="00690FA9"/>
    <w:rsid w:val="00694E97"/>
    <w:rsid w:val="006A01C6"/>
    <w:rsid w:val="006B0826"/>
    <w:rsid w:val="006B325D"/>
    <w:rsid w:val="006B4278"/>
    <w:rsid w:val="006B66CC"/>
    <w:rsid w:val="006B7BA5"/>
    <w:rsid w:val="006C4AB9"/>
    <w:rsid w:val="006D2156"/>
    <w:rsid w:val="006D57E2"/>
    <w:rsid w:val="006D6BAF"/>
    <w:rsid w:val="006D6D63"/>
    <w:rsid w:val="006D713E"/>
    <w:rsid w:val="006E0740"/>
    <w:rsid w:val="006E4724"/>
    <w:rsid w:val="006E52BF"/>
    <w:rsid w:val="00702659"/>
    <w:rsid w:val="00702A38"/>
    <w:rsid w:val="0070740A"/>
    <w:rsid w:val="00707EB9"/>
    <w:rsid w:val="00710594"/>
    <w:rsid w:val="007132B7"/>
    <w:rsid w:val="00715BED"/>
    <w:rsid w:val="00717A29"/>
    <w:rsid w:val="00723D6F"/>
    <w:rsid w:val="00723F56"/>
    <w:rsid w:val="0073111D"/>
    <w:rsid w:val="0073206E"/>
    <w:rsid w:val="0073374C"/>
    <w:rsid w:val="00736F97"/>
    <w:rsid w:val="007454C8"/>
    <w:rsid w:val="00750B6E"/>
    <w:rsid w:val="00753CEB"/>
    <w:rsid w:val="0075570E"/>
    <w:rsid w:val="007560C0"/>
    <w:rsid w:val="00756A48"/>
    <w:rsid w:val="00756DC4"/>
    <w:rsid w:val="00760EB0"/>
    <w:rsid w:val="00760F32"/>
    <w:rsid w:val="00772521"/>
    <w:rsid w:val="007754AC"/>
    <w:rsid w:val="00781019"/>
    <w:rsid w:val="00783938"/>
    <w:rsid w:val="0079482F"/>
    <w:rsid w:val="007A0C0F"/>
    <w:rsid w:val="007A2C90"/>
    <w:rsid w:val="007A623B"/>
    <w:rsid w:val="007A6551"/>
    <w:rsid w:val="007B1DC7"/>
    <w:rsid w:val="007B2976"/>
    <w:rsid w:val="007B540B"/>
    <w:rsid w:val="007C08B3"/>
    <w:rsid w:val="007C1724"/>
    <w:rsid w:val="007D42D4"/>
    <w:rsid w:val="007D4927"/>
    <w:rsid w:val="007D61FC"/>
    <w:rsid w:val="007E1AFE"/>
    <w:rsid w:val="007E50DA"/>
    <w:rsid w:val="008059B9"/>
    <w:rsid w:val="008137D1"/>
    <w:rsid w:val="00814F57"/>
    <w:rsid w:val="0082196D"/>
    <w:rsid w:val="008219EE"/>
    <w:rsid w:val="008256B4"/>
    <w:rsid w:val="00826849"/>
    <w:rsid w:val="0082798B"/>
    <w:rsid w:val="00833AF0"/>
    <w:rsid w:val="00833CCB"/>
    <w:rsid w:val="00840B04"/>
    <w:rsid w:val="0084396D"/>
    <w:rsid w:val="0084515F"/>
    <w:rsid w:val="00851ABC"/>
    <w:rsid w:val="00852736"/>
    <w:rsid w:val="00854B3E"/>
    <w:rsid w:val="00855041"/>
    <w:rsid w:val="00857B9D"/>
    <w:rsid w:val="008656D0"/>
    <w:rsid w:val="00880A7F"/>
    <w:rsid w:val="008829BF"/>
    <w:rsid w:val="00883E13"/>
    <w:rsid w:val="00891A55"/>
    <w:rsid w:val="00892E7F"/>
    <w:rsid w:val="0089790D"/>
    <w:rsid w:val="008A1222"/>
    <w:rsid w:val="008A5FE8"/>
    <w:rsid w:val="008C0A8A"/>
    <w:rsid w:val="008C64C3"/>
    <w:rsid w:val="008C7752"/>
    <w:rsid w:val="008D2D6A"/>
    <w:rsid w:val="008D38FE"/>
    <w:rsid w:val="008D4A2A"/>
    <w:rsid w:val="008D6F56"/>
    <w:rsid w:val="008D75DD"/>
    <w:rsid w:val="008E0158"/>
    <w:rsid w:val="008E6884"/>
    <w:rsid w:val="008F5E62"/>
    <w:rsid w:val="008F7442"/>
    <w:rsid w:val="009020AD"/>
    <w:rsid w:val="00902AB1"/>
    <w:rsid w:val="00906479"/>
    <w:rsid w:val="0091469E"/>
    <w:rsid w:val="00914BF5"/>
    <w:rsid w:val="00915615"/>
    <w:rsid w:val="00917EBF"/>
    <w:rsid w:val="0092158E"/>
    <w:rsid w:val="00923FE8"/>
    <w:rsid w:val="009308E4"/>
    <w:rsid w:val="0093127A"/>
    <w:rsid w:val="00931633"/>
    <w:rsid w:val="009335D5"/>
    <w:rsid w:val="00944C80"/>
    <w:rsid w:val="00950620"/>
    <w:rsid w:val="00950886"/>
    <w:rsid w:val="0095183A"/>
    <w:rsid w:val="009571EC"/>
    <w:rsid w:val="00964B25"/>
    <w:rsid w:val="00965631"/>
    <w:rsid w:val="00970371"/>
    <w:rsid w:val="0097074C"/>
    <w:rsid w:val="00971024"/>
    <w:rsid w:val="00973C44"/>
    <w:rsid w:val="0097513F"/>
    <w:rsid w:val="00984C21"/>
    <w:rsid w:val="00993EF5"/>
    <w:rsid w:val="009977B9"/>
    <w:rsid w:val="009A01EB"/>
    <w:rsid w:val="009A0F1C"/>
    <w:rsid w:val="009A4F9F"/>
    <w:rsid w:val="009A6098"/>
    <w:rsid w:val="009A6C4E"/>
    <w:rsid w:val="009B3139"/>
    <w:rsid w:val="009B3545"/>
    <w:rsid w:val="009C1CA4"/>
    <w:rsid w:val="009C31FC"/>
    <w:rsid w:val="009D1574"/>
    <w:rsid w:val="009D3904"/>
    <w:rsid w:val="009E2725"/>
    <w:rsid w:val="009E2A66"/>
    <w:rsid w:val="009F1B3C"/>
    <w:rsid w:val="00A004A2"/>
    <w:rsid w:val="00A05E18"/>
    <w:rsid w:val="00A1056F"/>
    <w:rsid w:val="00A11094"/>
    <w:rsid w:val="00A15102"/>
    <w:rsid w:val="00A1755D"/>
    <w:rsid w:val="00A320B0"/>
    <w:rsid w:val="00A4005F"/>
    <w:rsid w:val="00A45344"/>
    <w:rsid w:val="00A53B06"/>
    <w:rsid w:val="00A5480A"/>
    <w:rsid w:val="00A7435C"/>
    <w:rsid w:val="00A83FCC"/>
    <w:rsid w:val="00A92FEB"/>
    <w:rsid w:val="00A9436A"/>
    <w:rsid w:val="00A9690F"/>
    <w:rsid w:val="00AA12CB"/>
    <w:rsid w:val="00AA337D"/>
    <w:rsid w:val="00AA360C"/>
    <w:rsid w:val="00AA3D72"/>
    <w:rsid w:val="00AA717C"/>
    <w:rsid w:val="00AB176B"/>
    <w:rsid w:val="00AB65DF"/>
    <w:rsid w:val="00AC37B7"/>
    <w:rsid w:val="00AD6DF3"/>
    <w:rsid w:val="00AE0FA7"/>
    <w:rsid w:val="00AE5761"/>
    <w:rsid w:val="00AE6BF2"/>
    <w:rsid w:val="00B01079"/>
    <w:rsid w:val="00B018C1"/>
    <w:rsid w:val="00B03635"/>
    <w:rsid w:val="00B05EFA"/>
    <w:rsid w:val="00B072AA"/>
    <w:rsid w:val="00B10787"/>
    <w:rsid w:val="00B166DA"/>
    <w:rsid w:val="00B173FA"/>
    <w:rsid w:val="00B21A1E"/>
    <w:rsid w:val="00B229B4"/>
    <w:rsid w:val="00B31EF6"/>
    <w:rsid w:val="00B31FD4"/>
    <w:rsid w:val="00B32E7B"/>
    <w:rsid w:val="00B35114"/>
    <w:rsid w:val="00B3799C"/>
    <w:rsid w:val="00B40981"/>
    <w:rsid w:val="00B4775E"/>
    <w:rsid w:val="00B516BB"/>
    <w:rsid w:val="00B5300C"/>
    <w:rsid w:val="00B5446D"/>
    <w:rsid w:val="00B6251F"/>
    <w:rsid w:val="00B63809"/>
    <w:rsid w:val="00B66839"/>
    <w:rsid w:val="00B67A96"/>
    <w:rsid w:val="00B72BAE"/>
    <w:rsid w:val="00B74460"/>
    <w:rsid w:val="00B764E2"/>
    <w:rsid w:val="00B77FA7"/>
    <w:rsid w:val="00B8544B"/>
    <w:rsid w:val="00B86B5D"/>
    <w:rsid w:val="00B872AF"/>
    <w:rsid w:val="00B91105"/>
    <w:rsid w:val="00BA273B"/>
    <w:rsid w:val="00BA5FC9"/>
    <w:rsid w:val="00BB09B6"/>
    <w:rsid w:val="00BB124A"/>
    <w:rsid w:val="00BB6FCD"/>
    <w:rsid w:val="00BC1436"/>
    <w:rsid w:val="00BD2152"/>
    <w:rsid w:val="00BD30FE"/>
    <w:rsid w:val="00BD36CD"/>
    <w:rsid w:val="00BD66D1"/>
    <w:rsid w:val="00BD7C47"/>
    <w:rsid w:val="00BE00A2"/>
    <w:rsid w:val="00BE5748"/>
    <w:rsid w:val="00BE58EC"/>
    <w:rsid w:val="00BE65BD"/>
    <w:rsid w:val="00BF1277"/>
    <w:rsid w:val="00BF2D14"/>
    <w:rsid w:val="00C14399"/>
    <w:rsid w:val="00C24F3C"/>
    <w:rsid w:val="00C321D3"/>
    <w:rsid w:val="00C33C53"/>
    <w:rsid w:val="00C36E00"/>
    <w:rsid w:val="00C40EC6"/>
    <w:rsid w:val="00C521E4"/>
    <w:rsid w:val="00C5293C"/>
    <w:rsid w:val="00C5361D"/>
    <w:rsid w:val="00C6158B"/>
    <w:rsid w:val="00C61B8C"/>
    <w:rsid w:val="00C6232D"/>
    <w:rsid w:val="00C62399"/>
    <w:rsid w:val="00C65FCC"/>
    <w:rsid w:val="00C71D59"/>
    <w:rsid w:val="00C757E0"/>
    <w:rsid w:val="00C81715"/>
    <w:rsid w:val="00C8676B"/>
    <w:rsid w:val="00C907EE"/>
    <w:rsid w:val="00C928FF"/>
    <w:rsid w:val="00C92EB2"/>
    <w:rsid w:val="00CB6BC0"/>
    <w:rsid w:val="00CC0E57"/>
    <w:rsid w:val="00CC3FB7"/>
    <w:rsid w:val="00CC4928"/>
    <w:rsid w:val="00CC7247"/>
    <w:rsid w:val="00CD0752"/>
    <w:rsid w:val="00CD16AA"/>
    <w:rsid w:val="00CD40B6"/>
    <w:rsid w:val="00CD5A32"/>
    <w:rsid w:val="00CE1F94"/>
    <w:rsid w:val="00CE6ADB"/>
    <w:rsid w:val="00CE77EB"/>
    <w:rsid w:val="00CF7553"/>
    <w:rsid w:val="00CF7A15"/>
    <w:rsid w:val="00CF7D3A"/>
    <w:rsid w:val="00D05EEC"/>
    <w:rsid w:val="00D116CC"/>
    <w:rsid w:val="00D17EDB"/>
    <w:rsid w:val="00D20C08"/>
    <w:rsid w:val="00D21449"/>
    <w:rsid w:val="00D219B3"/>
    <w:rsid w:val="00D21D72"/>
    <w:rsid w:val="00D22FAA"/>
    <w:rsid w:val="00D251B4"/>
    <w:rsid w:val="00D35D5E"/>
    <w:rsid w:val="00D37DB7"/>
    <w:rsid w:val="00D4173F"/>
    <w:rsid w:val="00D4243F"/>
    <w:rsid w:val="00D42A72"/>
    <w:rsid w:val="00D42B73"/>
    <w:rsid w:val="00D4352D"/>
    <w:rsid w:val="00D50748"/>
    <w:rsid w:val="00D50F01"/>
    <w:rsid w:val="00D53DB8"/>
    <w:rsid w:val="00D62EA8"/>
    <w:rsid w:val="00D70DD4"/>
    <w:rsid w:val="00D73FB2"/>
    <w:rsid w:val="00D76688"/>
    <w:rsid w:val="00D76F49"/>
    <w:rsid w:val="00D775FD"/>
    <w:rsid w:val="00D8143B"/>
    <w:rsid w:val="00D8412B"/>
    <w:rsid w:val="00D845C9"/>
    <w:rsid w:val="00D87D30"/>
    <w:rsid w:val="00D92C79"/>
    <w:rsid w:val="00D942A5"/>
    <w:rsid w:val="00D94E5E"/>
    <w:rsid w:val="00D94F29"/>
    <w:rsid w:val="00D965D0"/>
    <w:rsid w:val="00D97519"/>
    <w:rsid w:val="00DA3602"/>
    <w:rsid w:val="00DA37CD"/>
    <w:rsid w:val="00DA5FE7"/>
    <w:rsid w:val="00DB0656"/>
    <w:rsid w:val="00DB4605"/>
    <w:rsid w:val="00DC2216"/>
    <w:rsid w:val="00DC266E"/>
    <w:rsid w:val="00DC3255"/>
    <w:rsid w:val="00DC5087"/>
    <w:rsid w:val="00DC511B"/>
    <w:rsid w:val="00DC69C7"/>
    <w:rsid w:val="00DC6EEB"/>
    <w:rsid w:val="00DC759C"/>
    <w:rsid w:val="00DD6E4E"/>
    <w:rsid w:val="00DD78DF"/>
    <w:rsid w:val="00DE2C62"/>
    <w:rsid w:val="00DE2D72"/>
    <w:rsid w:val="00DE6C23"/>
    <w:rsid w:val="00DE75C7"/>
    <w:rsid w:val="00DE7C72"/>
    <w:rsid w:val="00DF0C64"/>
    <w:rsid w:val="00DF3B06"/>
    <w:rsid w:val="00E076C1"/>
    <w:rsid w:val="00E13248"/>
    <w:rsid w:val="00E15CB2"/>
    <w:rsid w:val="00E166BF"/>
    <w:rsid w:val="00E16855"/>
    <w:rsid w:val="00E20DC0"/>
    <w:rsid w:val="00E22AF2"/>
    <w:rsid w:val="00E22B33"/>
    <w:rsid w:val="00E31121"/>
    <w:rsid w:val="00E33BFB"/>
    <w:rsid w:val="00E36A79"/>
    <w:rsid w:val="00E36D48"/>
    <w:rsid w:val="00E40CF5"/>
    <w:rsid w:val="00E41131"/>
    <w:rsid w:val="00E461F9"/>
    <w:rsid w:val="00E46371"/>
    <w:rsid w:val="00E51DC6"/>
    <w:rsid w:val="00E60B53"/>
    <w:rsid w:val="00E60F39"/>
    <w:rsid w:val="00E611EC"/>
    <w:rsid w:val="00E648E8"/>
    <w:rsid w:val="00E674C7"/>
    <w:rsid w:val="00E7062F"/>
    <w:rsid w:val="00E70E9A"/>
    <w:rsid w:val="00E74226"/>
    <w:rsid w:val="00E76483"/>
    <w:rsid w:val="00E77C1F"/>
    <w:rsid w:val="00E80D4A"/>
    <w:rsid w:val="00E80DFD"/>
    <w:rsid w:val="00E8610F"/>
    <w:rsid w:val="00E90E42"/>
    <w:rsid w:val="00E91E3C"/>
    <w:rsid w:val="00E9273A"/>
    <w:rsid w:val="00EA3744"/>
    <w:rsid w:val="00EA5805"/>
    <w:rsid w:val="00EA5EB2"/>
    <w:rsid w:val="00EB29E5"/>
    <w:rsid w:val="00EB2BB9"/>
    <w:rsid w:val="00EB4D49"/>
    <w:rsid w:val="00EB7929"/>
    <w:rsid w:val="00EC2CF2"/>
    <w:rsid w:val="00EC2F19"/>
    <w:rsid w:val="00EC41FF"/>
    <w:rsid w:val="00EC4644"/>
    <w:rsid w:val="00EC7596"/>
    <w:rsid w:val="00ED6110"/>
    <w:rsid w:val="00EE338C"/>
    <w:rsid w:val="00EE3D7A"/>
    <w:rsid w:val="00EE3E65"/>
    <w:rsid w:val="00EE6BE6"/>
    <w:rsid w:val="00F02867"/>
    <w:rsid w:val="00F05451"/>
    <w:rsid w:val="00F05AD8"/>
    <w:rsid w:val="00F13CF8"/>
    <w:rsid w:val="00F15387"/>
    <w:rsid w:val="00F1681D"/>
    <w:rsid w:val="00F16A25"/>
    <w:rsid w:val="00F24685"/>
    <w:rsid w:val="00F26666"/>
    <w:rsid w:val="00F3096F"/>
    <w:rsid w:val="00F329F2"/>
    <w:rsid w:val="00F32B04"/>
    <w:rsid w:val="00F34F49"/>
    <w:rsid w:val="00F351B6"/>
    <w:rsid w:val="00F358CC"/>
    <w:rsid w:val="00F37333"/>
    <w:rsid w:val="00F40D9D"/>
    <w:rsid w:val="00F428A8"/>
    <w:rsid w:val="00F44361"/>
    <w:rsid w:val="00F45BE1"/>
    <w:rsid w:val="00F45C5A"/>
    <w:rsid w:val="00F526BC"/>
    <w:rsid w:val="00F532D4"/>
    <w:rsid w:val="00F53FB3"/>
    <w:rsid w:val="00F55527"/>
    <w:rsid w:val="00F600EC"/>
    <w:rsid w:val="00F646D9"/>
    <w:rsid w:val="00F6594C"/>
    <w:rsid w:val="00F70067"/>
    <w:rsid w:val="00F70523"/>
    <w:rsid w:val="00F7215C"/>
    <w:rsid w:val="00F72DAE"/>
    <w:rsid w:val="00F74627"/>
    <w:rsid w:val="00F769C2"/>
    <w:rsid w:val="00F77664"/>
    <w:rsid w:val="00F77FD2"/>
    <w:rsid w:val="00F8745C"/>
    <w:rsid w:val="00F916D0"/>
    <w:rsid w:val="00F92E93"/>
    <w:rsid w:val="00F9710B"/>
    <w:rsid w:val="00FA288B"/>
    <w:rsid w:val="00FA6ED6"/>
    <w:rsid w:val="00FB1581"/>
    <w:rsid w:val="00FB23A4"/>
    <w:rsid w:val="00FB3276"/>
    <w:rsid w:val="00FB3C2E"/>
    <w:rsid w:val="00FB6395"/>
    <w:rsid w:val="00FB6D16"/>
    <w:rsid w:val="00FB6DDE"/>
    <w:rsid w:val="00FC6D06"/>
    <w:rsid w:val="00FE2634"/>
    <w:rsid w:val="00FE2E02"/>
    <w:rsid w:val="00FE3A3E"/>
    <w:rsid w:val="00FE4CBA"/>
    <w:rsid w:val="00FE6E14"/>
    <w:rsid w:val="00FF4220"/>
    <w:rsid w:val="00FF4A00"/>
    <w:rsid w:val="00FF4A25"/>
    <w:rsid w:val="00FF4EC5"/>
    <w:rsid w:val="18902B50"/>
    <w:rsid w:val="1BB57022"/>
    <w:rsid w:val="518A4189"/>
    <w:rsid w:val="788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EEBC88"/>
  <w15:chartTrackingRefBased/>
  <w15:docId w15:val="{85B051A9-5FD9-4DD4-A139-7AB2DEA0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character" w:styleId="ab">
    <w:name w:val="line number"/>
    <w:basedOn w:val="a0"/>
    <w:uiPriority w:val="99"/>
    <w:unhideWhenUsed/>
    <w:qFormat/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character" w:styleId="ae">
    <w:name w:val="footnote reference"/>
    <w:basedOn w:val="a0"/>
    <w:uiPriority w:val="99"/>
    <w:unhideWhenUsed/>
    <w:qFormat/>
    <w:rPr>
      <w:vertAlign w:val="superscript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table" w:customStyle="1" w:styleId="TableNormal">
    <w:name w:val="Table Normal"/>
    <w:basedOn w:val="a1"/>
    <w:qFormat/>
    <w:rPr>
      <w:rFonts w:ascii="Times New Roman" w:eastAsia="Times New Roman" w:hAnsi="Times New Roman"/>
    </w:rPr>
    <w:tblPr>
      <w:tblCellMar>
        <w:left w:w="0" w:type="dxa"/>
        <w:right w:w="0" w:type="dxa"/>
      </w:tblCellMar>
    </w:tbl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af0">
    <w:name w:val="无"/>
    <w:qFormat/>
  </w:style>
  <w:style w:type="paragraph" w:customStyle="1" w:styleId="EndNoteBibliography">
    <w:name w:val="EndNote Bibliography"/>
    <w:basedOn w:val="a"/>
    <w:link w:val="EndNoteBibliography0"/>
    <w:qFormat/>
    <w:rPr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1">
    <w:name w:val="修订1"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uiPriority w:val="99"/>
    <w:semiHidden/>
    <w:rPr>
      <w:kern w:val="2"/>
      <w:sz w:val="21"/>
      <w:szCs w:val="22"/>
    </w:rPr>
  </w:style>
  <w:style w:type="paragraph" w:styleId="af1">
    <w:name w:val="Revision"/>
    <w:hidden/>
    <w:uiPriority w:val="99"/>
    <w:unhideWhenUsed/>
    <w:rsid w:val="008059B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huantian@jnu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tbri@jnu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zrh@jnu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2163</Words>
  <Characters>12333</Characters>
  <Application>Microsoft Office Word</Application>
  <DocSecurity>0</DocSecurity>
  <Lines>102</Lines>
  <Paragraphs>28</Paragraphs>
  <ScaleCrop>false</ScaleCrop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HUAWEI</cp:lastModifiedBy>
  <cp:revision>4</cp:revision>
  <cp:lastPrinted>2022-04-20T00:39:00Z</cp:lastPrinted>
  <dcterms:created xsi:type="dcterms:W3CDTF">2023-08-26T15:56:00Z</dcterms:created>
  <dcterms:modified xsi:type="dcterms:W3CDTF">2023-08-26T16:03:00Z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b08ee6f74ea4b108d37500637d9d6522611dd4bdc50c0e26bf16a28f03007f54</vt:lpwstr>
  </property>
  <property fmtid="{D5CDD505-2E9C-101B-9397-08002B2CF9AE}" pid="3" name="KSOProductBuildVer">
    <vt:lpwstr>2052-12.1.0.15358</vt:lpwstr>
  </property>
  <property fmtid="{D5CDD505-2E9C-101B-9397-08002B2CF9AE}" pid="4" name="ICV">
    <vt:lpwstr>2B7286205FE04D538828CC1732A205AC_13</vt:lpwstr>
  </property>
</Properties>
</file>