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0FF9" w14:textId="5EFFB035" w:rsidR="00625AF7" w:rsidRPr="00CA46F5" w:rsidRDefault="001439BF" w:rsidP="003D662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Supporting Information</w:t>
      </w:r>
    </w:p>
    <w:p w14:paraId="70F29EC7" w14:textId="77777777" w:rsidR="00625AF7" w:rsidRPr="00CA46F5" w:rsidRDefault="00625AF7" w:rsidP="003D662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DABD9A" w14:textId="77777777" w:rsidR="007C6D95" w:rsidRPr="00CA46F5" w:rsidRDefault="007C6D95" w:rsidP="007C6D95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86202537"/>
      <w:r w:rsidRPr="00CA46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Mouse model of anti-RANKL discontinuation reveals redu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ced bone mass and quality 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through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disruption of bone remodeling</w:t>
      </w:r>
    </w:p>
    <w:bookmarkEnd w:id="0"/>
    <w:p w14:paraId="7C379146" w14:textId="77777777" w:rsidR="00625AF7" w:rsidRPr="00CA46F5" w:rsidRDefault="00625AF7" w:rsidP="00625AF7">
      <w:pPr>
        <w:widowControl/>
        <w:shd w:val="clear" w:color="auto" w:fill="FFFFFF"/>
        <w:spacing w:line="360" w:lineRule="auto"/>
        <w:rPr>
          <w:rFonts w:ascii="游明朝" w:eastAsia="游明朝" w:hAnsi="游明朝" w:cs="Times New Roman"/>
          <w:color w:val="000000" w:themeColor="text1"/>
          <w:kern w:val="0"/>
          <w:sz w:val="24"/>
          <w:szCs w:val="24"/>
        </w:rPr>
      </w:pPr>
    </w:p>
    <w:p w14:paraId="7ACD265C" w14:textId="61B514DC" w:rsidR="00625AF7" w:rsidRPr="00CA46F5" w:rsidRDefault="00625AF7" w:rsidP="00625AF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Koji Ishikawa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Soji Tani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Nobuhiro Sakai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Yoshifumi Kudo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Hideyo Horiuchi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Hiromi Kimura-Suda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Masamichi Takami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Mayumi Tsuji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Katsunori Inagaki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Yuji Kiuchi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Takako Negishi-Koga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1,7,8,9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7AEE317B" w14:textId="77777777" w:rsidR="00625AF7" w:rsidRPr="00CA46F5" w:rsidRDefault="00625AF7" w:rsidP="00625AF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66D252" w14:textId="6E760C45" w:rsidR="00CE6ACB" w:rsidRPr="00CA46F5" w:rsidRDefault="00CE6ACB" w:rsidP="00CE6AC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 Takako Negishi-Koga (T.</w:t>
      </w:r>
      <w:r w:rsidR="008B718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N-K.)</w:t>
      </w:r>
    </w:p>
    <w:p w14:paraId="429F6D67" w14:textId="77777777" w:rsidR="00CE6ACB" w:rsidRPr="00CA46F5" w:rsidRDefault="00CE6ACB" w:rsidP="00CE6AC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Department of Pathophysiology for Locomotive Diseases, Juntendo University Graduate School of Medicine</w:t>
      </w:r>
      <w:r w:rsidRPr="00CA46F5">
        <w:rPr>
          <w:rFonts w:ascii="Times New Roman" w:eastAsia="メイリオ" w:hAnsi="Times New Roman" w:cs="Times New Roman"/>
          <w:color w:val="000000" w:themeColor="text1"/>
          <w:sz w:val="24"/>
          <w:szCs w:val="24"/>
        </w:rPr>
        <w:t>, Tokyo, Japan</w:t>
      </w:r>
      <w:r w:rsidRPr="00CA46F5" w:rsidDel="006C0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34EB8C" w14:textId="77777777" w:rsidR="00CE6ACB" w:rsidRPr="00CA46F5" w:rsidRDefault="00CE6ACB" w:rsidP="00CE6AC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Address: 2-1-1, Hongo, Bunkyo-</w:t>
      </w:r>
      <w:proofErr w:type="spellStart"/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proofErr w:type="spellEnd"/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113-8421, Tokyo, Japan</w:t>
      </w:r>
    </w:p>
    <w:p w14:paraId="7E3D3F9C" w14:textId="77777777" w:rsidR="00CE6ACB" w:rsidRPr="00CA46F5" w:rsidRDefault="00CE6ACB" w:rsidP="00CE6AC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8" w:history="1">
        <w:r w:rsidRPr="00CA46F5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t.negishi.ob@juntendo.ac.jp</w:t>
        </w:r>
      </w:hyperlink>
    </w:p>
    <w:p w14:paraId="28E0104F" w14:textId="77777777" w:rsidR="00625AF7" w:rsidRPr="00CA46F5" w:rsidRDefault="00625AF7" w:rsidP="003D6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9E9F2A" w14:textId="781270CD" w:rsidR="00625AF7" w:rsidRPr="00CA46F5" w:rsidRDefault="00625AF7" w:rsidP="00625AF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Supporting Information includes:</w:t>
      </w:r>
    </w:p>
    <w:p w14:paraId="50A72ED3" w14:textId="5EC467FE" w:rsidR="00625AF7" w:rsidRPr="00CA46F5" w:rsidRDefault="00625AF7" w:rsidP="00625AF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Figure S1 to S8</w:t>
      </w:r>
    </w:p>
    <w:p w14:paraId="74FC72B1" w14:textId="491DC3E0" w:rsidR="00625AF7" w:rsidRPr="00CA46F5" w:rsidRDefault="00625AF7" w:rsidP="003D66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Table S1 and S2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173798DA" w14:textId="3136DBEA" w:rsidR="00D234DB" w:rsidRPr="00CA46F5" w:rsidRDefault="00D05F01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noProof/>
          <w:color w:val="000000" w:themeColor="text1"/>
        </w:rPr>
        <w:lastRenderedPageBreak/>
        <w:drawing>
          <wp:inline distT="0" distB="0" distL="0" distR="0" wp14:anchorId="209F5F53" wp14:editId="1F720481">
            <wp:extent cx="5400040" cy="4471035"/>
            <wp:effectExtent l="0" t="0" r="0" b="5715"/>
            <wp:docPr id="1468808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08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8DCC6" w14:textId="77777777" w:rsidR="00D05F01" w:rsidRPr="00CA46F5" w:rsidRDefault="00D05F01" w:rsidP="00D05F0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S1.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TRAP overshoot in patients after discontinuation of denosumab treatment </w:t>
      </w:r>
    </w:p>
    <w:p w14:paraId="186C3164" w14:textId="5FC72353" w:rsidR="00D35465" w:rsidRPr="00CA46F5" w:rsidRDefault="00C538C2" w:rsidP="00D35465">
      <w:pPr>
        <w:pStyle w:val="ListParagraph"/>
        <w:adjustRightInd w:val="0"/>
        <w:spacing w:line="360" w:lineRule="auto"/>
        <w:ind w:leftChars="0" w:left="0"/>
        <w:rPr>
          <w:rFonts w:ascii="Times New Roman" w:eastAsia="游明朝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="00D05F0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70F1E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Flow diagram of eligible patients. A total of 194 patients with postmenopausal osteoporosis who received multiple anti-RANKL antibody injections between August 2015 and August 2018 were screened.</w:t>
      </w:r>
      <w:r w:rsidR="00870F1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870F1E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meeting the inclusion criteria, eight patients were enrolled in this study. </w:t>
      </w:r>
      <w:r w:rsidR="00870F1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70F1E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Age- and sex-matched untreated patients who had undergone at least two DXA scans were included as the control group.</w:t>
      </w:r>
      <w:r w:rsidR="00870F1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D05F01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D05F0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05F01"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Serum levels of TRAP5b and the BMD of the lumber spine and femoral neck in patients before anti-RANKL treatment, after the last dose, and after discontinuation (n = 8). </w:t>
      </w:r>
      <w:bookmarkStart w:id="1" w:name="OLE_LINK1"/>
      <w:r w:rsidR="00D05F01"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The mean number of injections is 4.4 times. </w:t>
      </w:r>
      <w:r w:rsidR="00D05F01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05F01"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The mean interval from 'Before Injection' to 'Last Injection' and from 'Last Injection' to 'After Discontinuation' is 26.3 months and 17.1 months, respectively.</w:t>
      </w:r>
      <w:r w:rsidR="00D05F01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Data are presented as the mean ± SEM.  *:</w:t>
      </w:r>
      <w:r w:rsidR="00D05F01"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0.05, **:</w:t>
      </w:r>
      <w:r w:rsidR="00D05F01"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0.01</w:t>
      </w:r>
      <w:r w:rsidR="009F3A4B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, </w:t>
      </w:r>
      <w:r w:rsidR="009F3A4B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lastRenderedPageBreak/>
        <w:t>ns: not significant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 </w:t>
      </w:r>
      <w:bookmarkEnd w:id="1"/>
      <w:r w:rsidR="00D05F01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Wilcoxon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test was performed.</w:t>
      </w:r>
      <w:r w:rsidR="00D05F01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</w:t>
      </w:r>
      <w:r w:rsidR="00D05F01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c</w:t>
      </w:r>
      <w:r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</w:t>
      </w:r>
      <w:r w:rsidR="00D05F01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 change in BMD after discontinuation of denosumab treatment (n = 8) compared to the non-treated patients (n = 8) </w:t>
      </w:r>
      <w:bookmarkStart w:id="2" w:name="_Hlk129958323"/>
      <w:r w:rsidR="00D05F01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(The femoral neck BMD analysis of the discontinuation group included seven patients due to one patient's bilateral hip fracture).</w:t>
      </w:r>
      <w:bookmarkEnd w:id="2"/>
      <w:r w:rsidR="00D05F01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mean interval of DXA assessments for the Non-treated and Discontinuation groups is 19.9 months and 17.1 months, respectively.</w:t>
      </w:r>
      <w:r w:rsidR="00D05F0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Data are presented as the mean ± SEM.  *:</w:t>
      </w:r>
      <w:r w:rsidR="00D05F01"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0.05, **:</w:t>
      </w:r>
      <w:r w:rsidR="00D05F01"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="00D05F01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0.01.  Mann-Whitney U test was performed.</w:t>
      </w:r>
      <w:r w:rsidR="00D05F01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05F01"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</w:t>
      </w:r>
    </w:p>
    <w:p w14:paraId="48E8CEF7" w14:textId="40371C91" w:rsidR="00D35465" w:rsidRPr="00CA46F5" w:rsidRDefault="00D35465" w:rsidP="00D35465">
      <w:pPr>
        <w:widowControl/>
        <w:jc w:val="left"/>
        <w:rPr>
          <w:rFonts w:ascii="Times New Roman" w:eastAsia="游明朝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br w:type="page"/>
      </w:r>
    </w:p>
    <w:p w14:paraId="560469FD" w14:textId="15AEDC0E" w:rsidR="00D35465" w:rsidRPr="00CA46F5" w:rsidRDefault="00D35465" w:rsidP="00D3546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noProof/>
          <w:color w:val="000000" w:themeColor="text1"/>
        </w:rPr>
        <w:lastRenderedPageBreak/>
        <w:drawing>
          <wp:inline distT="0" distB="0" distL="0" distR="0" wp14:anchorId="1DAE6413" wp14:editId="4641DC68">
            <wp:extent cx="5400040" cy="6669405"/>
            <wp:effectExtent l="0" t="0" r="0" b="0"/>
            <wp:docPr id="7150643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643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Fig. S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Bone metabolism in mice after discontinuation of single-doze of anti-RANKL antibody (</w:t>
      </w:r>
      <w:r w:rsidR="00870F1E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Single-injection</w:t>
      </w:r>
      <w:r w:rsidR="00FA32BF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870F1E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model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 and ovariectomized mice after discontinuation of single-doze of anti-RANKL antibody (</w:t>
      </w:r>
      <w:r w:rsidR="00870F1E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OVX plus single-injection model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</w:t>
      </w:r>
    </w:p>
    <w:p w14:paraId="4ACB1C20" w14:textId="3421E284" w:rsidR="00E64134" w:rsidRPr="00CA46F5" w:rsidRDefault="00D35465" w:rsidP="00E64134">
      <w:pPr>
        <w:spacing w:line="360" w:lineRule="auto"/>
        <w:rPr>
          <w:rFonts w:ascii="Times New Roman" w:eastAsia="游明朝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eastAsia="游明朝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a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Schematic of the experimental setting for the 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mouse model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anti-RANKL discontinuation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(Single-injection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model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Serum TRAP levels over time in </w:t>
      </w:r>
      <w:r w:rsidR="009F1409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mice that continued to receive anti-RANKL antibody (continuation), mice that stopped receiving it (discontinuation), and control mice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eastAsia="游明朝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E64134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Representative</w:t>
      </w:r>
      <w:r w:rsidR="00E64134" w:rsidRPr="00CA46F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in vivo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CT images of the femur in </w:t>
      </w:r>
      <w:r w:rsidR="00E6413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discontinuation and control mice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(left), and the percent change in bone volume (right) (n = 8). </w:t>
      </w:r>
      <w:r w:rsidR="00E64134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d 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CT images of the femur metaphysis (left) and parameters of the distal femur at 14 weeks</w:t>
      </w:r>
      <w:r w:rsidR="009F3A4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3A4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(n = 4)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64134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eastAsia="游明朝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="00E64134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Schematic of the experimental setting for the </w:t>
      </w:r>
      <w:r w:rsidR="00E6413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single-injection model 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E6413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anti-RANKL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discontinuation</w:t>
      </w:r>
      <w:r w:rsidR="00E6413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ovariectomized mice</w:t>
      </w:r>
      <w:r w:rsidR="00E6413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64134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E64134" w:rsidRPr="00CA46F5">
        <w:rPr>
          <w:rFonts w:ascii="Times New Roman" w:eastAsia="游明朝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E64134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1409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Serum TRAP levels over time in </w:t>
      </w:r>
      <w:r w:rsidR="009F1409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ovariectomized mice that continued to receive anti-RANKL antibody (continuation), mice that stopped receiving it (discontinuation), and control mice</w:t>
      </w:r>
      <w:r w:rsidR="009F1409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</w:t>
      </w:r>
      <w:r w:rsidR="009F1409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9F1409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9F1409" w:rsidRPr="00CA46F5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1409" w:rsidRPr="00CA46F5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All values are representative of at least three independent experiments and are displayed as the mean ± SEM.  *: </w:t>
      </w:r>
      <w:r w:rsidR="00E64134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p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0.05, **: </w:t>
      </w:r>
      <w:r w:rsidR="00E64134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p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0.01</w:t>
      </w:r>
      <w:r w:rsidR="009F3A4B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, ns: not significant.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="00E64134"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Holm-Sidak post hoc test (</w:t>
      </w:r>
      <w:r w:rsidR="009F1409" w:rsidRPr="00CA46F5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  <w:szCs w:val="24"/>
        </w:rPr>
        <w:t>b, d,</w:t>
      </w:r>
      <w:r w:rsidR="009F1409" w:rsidRPr="00CA46F5">
        <w:rPr>
          <w:rFonts w:ascii="Times New Roman" w:eastAsia="ＭＳ 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1409" w:rsidRPr="00CA46F5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E64134"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)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and Student’s </w:t>
      </w:r>
      <w:r w:rsidR="00E64134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t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-test (</w:t>
      </w:r>
      <w:r w:rsidR="009F1409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c</w:t>
      </w:r>
      <w:r w:rsidR="00E64134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 were performed.</w:t>
      </w:r>
    </w:p>
    <w:p w14:paraId="28728188" w14:textId="4CB69163" w:rsidR="00BD612E" w:rsidRPr="00CA46F5" w:rsidRDefault="00BD612E" w:rsidP="009F140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F11E76E" w14:textId="57E91FA7" w:rsidR="009F1409" w:rsidRPr="00CA46F5" w:rsidRDefault="0040734E" w:rsidP="00575B4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5703FAF" wp14:editId="313C4655">
            <wp:extent cx="2923967" cy="1164566"/>
            <wp:effectExtent l="0" t="0" r="0" b="0"/>
            <wp:docPr id="1955477485" name="Picture 1" descr="A graph of a number of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77485" name="Picture 1" descr="A graph of a number of object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9477" cy="117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6F5A" w14:textId="2B1AA711" w:rsidR="00B6299F" w:rsidRPr="00CA46F5" w:rsidRDefault="00D234DB" w:rsidP="00575B4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666E0F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B6299F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Bone morphometric parameters of bone resorption in mice long after discontinuation of anti-RANKL antibody</w:t>
      </w:r>
      <w:r w:rsidR="00FA32BF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</w:t>
      </w:r>
      <w:r w:rsidR="009F3A4B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Three-injection model</w:t>
      </w:r>
      <w:r w:rsidR="00FA32BF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</w:t>
      </w:r>
    </w:p>
    <w:p w14:paraId="6E7ACAA6" w14:textId="34E1A472" w:rsidR="00B6299F" w:rsidRPr="00CA46F5" w:rsidRDefault="00B6299F" w:rsidP="00B6299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Parameters for osteo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clastic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bone 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resorption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determined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by bone histomorphometric analysis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All values are representative of at least three independent experiments and are displayed as the mean ± SEM. </w:t>
      </w:r>
      <w:r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</w:t>
      </w:r>
      <w:r w:rsidR="00A40462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ns: not significant.  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Student’s </w:t>
      </w:r>
      <w:r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t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-test was performed.</w:t>
      </w:r>
    </w:p>
    <w:p w14:paraId="36570BD5" w14:textId="792AE09D" w:rsidR="00583E29" w:rsidRPr="00CA46F5" w:rsidRDefault="00583E2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7CF7CCDC" w14:textId="24C0965D" w:rsidR="00B6299F" w:rsidRPr="00CA46F5" w:rsidRDefault="0040734E" w:rsidP="00575B4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B55235D" wp14:editId="3911E8D3">
            <wp:simplePos x="0" y="0"/>
            <wp:positionH relativeFrom="margin">
              <wp:align>left</wp:align>
            </wp:positionH>
            <wp:positionV relativeFrom="paragraph">
              <wp:posOffset>130488</wp:posOffset>
            </wp:positionV>
            <wp:extent cx="5178425" cy="2592705"/>
            <wp:effectExtent l="0" t="0" r="3175" b="0"/>
            <wp:wrapTopAndBottom/>
            <wp:docPr id="1829357659" name="Picture 1" descr="A diagram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57659" name="Picture 1" descr="A diagram of a cell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2DC32" w14:textId="62981BE6" w:rsidR="00B6299F" w:rsidRPr="00CA46F5" w:rsidRDefault="00583E29" w:rsidP="00575B4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S4.  Gating strategy to distinguish 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osteoclast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precursor cells and comparison of osteoclast precursors between anti-RANKL discontinuation and bisphosphonate discontinuation</w:t>
      </w:r>
    </w:p>
    <w:p w14:paraId="6E799284" w14:textId="5F3D0D1C" w:rsidR="008958D3" w:rsidRPr="00CA46F5" w:rsidRDefault="00583E29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Gating strategy to distinguish subpopulation characterized with c-kit expression.  </w:t>
      </w:r>
      <w:r w:rsidR="00112590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osteoclast precursor cells were examined in the subpopulation gated by c-kit (high, int and low) </w:t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 the population gated by CD11b</w:t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dull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/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sym w:font="Symbol" w:char="F02D"/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Ly6C</w:t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high</w:t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 The percentage of B220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sym w:font="Symbol" w:char="F02D"/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CD3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sym w:font="Symbol" w:char="F02D"/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CD11b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dull/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sym w:font="Symbol" w:char="F02D"/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Ly6C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high</w:t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 in BMCs of anti-RANKL antibody-treated mice 2 weeks after the last injection (three-injection model) (</w:t>
      </w:r>
      <w:r w:rsidR="00EE1E7E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right, </w:t>
      </w:r>
      <w:r w:rsidR="00A9501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 = 5).  </w:t>
      </w:r>
      <w:r w:rsidR="00A95013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percentage of osteoclast precursor cells in anti-RANKL antibody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discontinuation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bisphosphonate discontinuation mice and control mice 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2 weeks after the last injection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(n = 5)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8958D3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All data are representative of at least three independent experiments and are displayed as the mean ± SEM.  ***:</w:t>
      </w:r>
      <w:r w:rsidR="008958D3"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</w:t>
      </w:r>
      <w:r w:rsidR="008958D3"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>p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8D3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&lt; 0.0</w:t>
      </w:r>
      <w:r w:rsidR="008958D3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0</w:t>
      </w:r>
      <w:r w:rsidR="008958D3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</w:t>
      </w:r>
      <w:r w:rsidR="00EE1E7E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, ns: not significant.</w:t>
      </w:r>
      <w:r w:rsidR="008958D3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8958D3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</w:t>
      </w:r>
      <w:r w:rsidR="006A68DA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Student </w:t>
      </w:r>
      <w:r w:rsidR="006A68DA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t</w:t>
      </w:r>
      <w:r w:rsidR="006A68DA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-test</w:t>
      </w:r>
      <w:r w:rsidR="006A68DA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(</w:t>
      </w:r>
      <w:r w:rsidR="006A68DA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a</w:t>
      </w:r>
      <w:r w:rsidR="006A68DA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) and o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-way ANOVA</w:t>
      </w:r>
      <w:r w:rsidR="006A68D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6A68DA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6A68D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958D3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were performed</w:t>
      </w:r>
      <w:r w:rsidR="008958D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0EF28D92" w14:textId="7D178805" w:rsidR="00502ABB" w:rsidRPr="00CA46F5" w:rsidRDefault="00502AB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ACA1DD5" w14:textId="251D38A7" w:rsidR="008958D3" w:rsidRPr="00CA46F5" w:rsidRDefault="00A715D5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D13319C" wp14:editId="04555C61">
            <wp:extent cx="5400040" cy="5666789"/>
            <wp:effectExtent l="0" t="0" r="0" b="0"/>
            <wp:docPr id="2022704108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04108" name="Picture 1" descr="A close-up of a graph&#10;&#10;AI-generated content may be incorrect."/>
                    <pic:cNvPicPr/>
                  </pic:nvPicPr>
                  <pic:blipFill rotWithShape="1">
                    <a:blip r:embed="rId13"/>
                    <a:srcRect t="3440"/>
                    <a:stretch/>
                  </pic:blipFill>
                  <pic:spPr bwMode="auto">
                    <a:xfrm>
                      <a:off x="0" y="0"/>
                      <a:ext cx="5400040" cy="5666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C52A9" w14:textId="758FDC34" w:rsidR="003D01F7" w:rsidRPr="00CA46F5" w:rsidRDefault="00502ABB" w:rsidP="00575B4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S5. Effect of RANKL-bearing extracellular vesicles on osteoclastogenesis </w:t>
      </w:r>
    </w:p>
    <w:p w14:paraId="54214E4F" w14:textId="77FC9B01" w:rsidR="00502ABB" w:rsidRPr="00CA46F5" w:rsidRDefault="00A715D5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Serum levels of RANKL and OPG levels in control mice and mice with treatment discontinuation during the overshoot period at 8 weeks after the last injection (three-injection mouse model) (n = 4). 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Relative mRNA expression of Rankl (encoded by Tnfsf11) in the femur of control mice and mice with treatment discontinuation at 8 weeks after the last injection (n = 4).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of osteoclast differentiation of BM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cultured with serum (left).  Number of 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TRAP-positive multinucleated cells 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(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TRAP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MNCs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(right) (n = 6).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502ABB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Representative images of osteoclast differentiation of PBMCs cultured with serum (left).  Number of TRAP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MNCs (right) (n = 6).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="00502ABB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 of RANKL-bearing vesicles in the </w:t>
      </w:r>
      <w:r w:rsidR="00AB28D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apoptotic bodies (AB)</w:t>
      </w:r>
      <w:r w:rsidR="00AB28D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AB28D4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microvesicles (MV)</w:t>
      </w:r>
      <w:r w:rsidR="00AB28D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and exosomes (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AB28D4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x)</w:t>
      </w:r>
      <w:r w:rsidR="00FA1BF2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A1BF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isolated from normal mouse serum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502ABB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RANKL expression in EVs isolated from mice and human serum. 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*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: non-specific.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</w:t>
      </w:r>
      <w:r w:rsidR="00502ABB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osteoclast differentiation of 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BMM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s cultured with the EVs isolated from non-treated patients (left).  Number of TRAP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MNCs (right) (n = 4).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h</w:t>
      </w:r>
      <w:r w:rsidR="00502ABB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Representative images of osteoclast differentiation of PBMCs cultured with the EVs isolated from non-treated patients (left).  Number of TRAP</w:t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502AB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MNCs (right) (n = 4).</w:t>
      </w:r>
      <w:r w:rsidR="00502ABB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All values are representative of at least three independent experiments and are displayed as the mean ± SEM. *: </w:t>
      </w:r>
      <w:r w:rsidR="00502ABB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p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0.05, **: </w:t>
      </w:r>
      <w:r w:rsidR="00502ABB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p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0.01. Student’s </w:t>
      </w:r>
      <w:r w:rsidR="00502ABB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t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-test (</w:t>
      </w:r>
      <w:r w:rsidR="00D8488E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a, b, </w:t>
      </w:r>
      <w:r w:rsidR="00D8488E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c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and </w:t>
      </w:r>
      <w:r w:rsidR="00D8488E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d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), </w:t>
      </w:r>
      <w:r w:rsidR="00502ABB" w:rsidRPr="00CA46F5">
        <w:rPr>
          <w:rFonts w:ascii="Times New Roman" w:eastAsia="游明朝" w:hAnsi="Times New Roman" w:cs="Times New Roman"/>
          <w:color w:val="000000" w:themeColor="text1"/>
          <w:kern w:val="24"/>
          <w:sz w:val="24"/>
          <w:szCs w:val="24"/>
        </w:rPr>
        <w:t>χ</w:t>
      </w:r>
      <w:r w:rsidR="00502ABB" w:rsidRPr="00CA46F5">
        <w:rPr>
          <w:rFonts w:ascii="Times New Roman" w:eastAsia="游明朝" w:hAnsi="Times New Roman" w:cs="Times New Roman"/>
          <w:color w:val="000000" w:themeColor="text1"/>
          <w:kern w:val="24"/>
          <w:sz w:val="24"/>
          <w:szCs w:val="24"/>
          <w:vertAlign w:val="superscript"/>
        </w:rPr>
        <w:t>2</w:t>
      </w:r>
      <w:r w:rsidR="00502ABB" w:rsidRPr="00CA46F5">
        <w:rPr>
          <w:rFonts w:ascii="Times New Roman" w:eastAsia="游明朝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test (</w:t>
      </w:r>
      <w:r w:rsidR="00D8488E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e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 and Dunnett’s test (</w:t>
      </w:r>
      <w:r w:rsidR="00D8488E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 xml:space="preserve">g </w:t>
      </w:r>
      <w:r w:rsidR="00D8488E"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and </w:t>
      </w:r>
      <w:r w:rsidR="00D8488E"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h</w:t>
      </w:r>
      <w:r w:rsidR="00502ABB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 were performed.</w:t>
      </w:r>
    </w:p>
    <w:p w14:paraId="5E20D0B7" w14:textId="5BC755B6" w:rsidR="00502ABB" w:rsidRPr="00CA46F5" w:rsidRDefault="00502ABB" w:rsidP="00502ABB">
      <w:pPr>
        <w:widowControl/>
        <w:jc w:val="left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 w:type="page"/>
      </w:r>
    </w:p>
    <w:p w14:paraId="1272E38E" w14:textId="601D995F" w:rsidR="0048294C" w:rsidRPr="00CA46F5" w:rsidRDefault="0040734E" w:rsidP="00502ABB">
      <w:pPr>
        <w:widowControl/>
        <w:jc w:val="left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CA46F5"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 wp14:anchorId="6A91CA25" wp14:editId="0D1F0198">
            <wp:extent cx="5400040" cy="3239770"/>
            <wp:effectExtent l="0" t="0" r="0" b="0"/>
            <wp:docPr id="22095280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52806" name="Picture 1" descr="A screenshot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DA7E5" w14:textId="2D33693B" w:rsidR="0048294C" w:rsidRPr="00CA46F5" w:rsidRDefault="0048294C" w:rsidP="0048294C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Fig. S</w:t>
      </w:r>
      <w:r w:rsidR="00C8403C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6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Comparison of the effects of discontinuing anti-RANKL antibody treatment and discontinuing bisphosphonate treatment on osteoclast precursors and EV amount</w:t>
      </w:r>
    </w:p>
    <w:p w14:paraId="33E9217F" w14:textId="51D5D6DF" w:rsidR="0048294C" w:rsidRPr="00CA46F5" w:rsidRDefault="0048294C" w:rsidP="0048294C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proofErr w:type="spellStart"/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proofErr w:type="spellEnd"/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percentage of osteoclast precursor cells in anti-RANKL antibody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discontinuation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bisphosphonate discontinuation mice and control mice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2 weeks after the last injection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(n = 5)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Protein amount of serum EVs in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control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anti-RANKL antibody-treated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and risedronate (bisphosphonate)-treated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weeks after the last injection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(n = 5).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All data are representative of at least three independent experiments and are displayed as the mean ± SEM.  *:</w:t>
      </w:r>
      <w:r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&lt; 0.0</w:t>
      </w:r>
      <w:r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5, 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***:</w:t>
      </w:r>
      <w:r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eastAsia="ＭＳ 明朝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&lt; 0.0</w:t>
      </w:r>
      <w:r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0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</w:t>
      </w:r>
      <w:r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, ns: not significant.</w:t>
      </w: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CA46F5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O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-way ANOVA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were performed</w:t>
      </w:r>
      <w:r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</w:p>
    <w:p w14:paraId="1CD88479" w14:textId="5C4723A7" w:rsidR="0048294C" w:rsidRPr="00CA46F5" w:rsidRDefault="0048294C">
      <w:pPr>
        <w:widowControl/>
        <w:jc w:val="left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br w:type="page"/>
      </w:r>
    </w:p>
    <w:p w14:paraId="302FA166" w14:textId="77777777" w:rsidR="0048294C" w:rsidRPr="00CA46F5" w:rsidRDefault="0048294C" w:rsidP="00502ABB">
      <w:pPr>
        <w:widowControl/>
        <w:jc w:val="left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01DC1145" w14:textId="420C3BA1" w:rsidR="00F14B6A" w:rsidRPr="00CA46F5" w:rsidRDefault="00B95DBF" w:rsidP="00575B4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46F5">
        <w:rPr>
          <w:noProof/>
          <w:color w:val="000000" w:themeColor="text1"/>
        </w:rPr>
        <w:drawing>
          <wp:inline distT="0" distB="0" distL="0" distR="0" wp14:anchorId="6A5873AA" wp14:editId="0B0FCDDC">
            <wp:extent cx="5400040" cy="5540375"/>
            <wp:effectExtent l="0" t="0" r="0" b="3175"/>
            <wp:docPr id="17232034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034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6E6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D78A5BB" w14:textId="4F6400E0" w:rsidR="00F14B6A" w:rsidRPr="00CA46F5" w:rsidRDefault="00F14B6A" w:rsidP="00F14B6A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C8403C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7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Suppression of osteoblast lineage cells after discontinuation</w:t>
      </w:r>
    </w:p>
    <w:p w14:paraId="2171B7E8" w14:textId="31C82BC5" w:rsidR="00D313A4" w:rsidRPr="00CA46F5" w:rsidRDefault="00AF32BE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a,</w:t>
      </w:r>
      <w:r w:rsidR="00E3781D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14B6A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the generation of alkaline phosphate (ALP) positive colony forming units (CFU-ALP) and alizarin-red positive CFUs (CFU-Ob) in bone marrow cells </w:t>
      </w:r>
      <w:r w:rsidR="00DD16CD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(BMCs)</w:t>
      </w:r>
      <w:r w:rsidR="004D680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derived</w:t>
      </w:r>
      <w:r w:rsidR="00DD16CD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 control mice and mice injected </w:t>
      </w:r>
      <w:r w:rsidR="004D680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with </w:t>
      </w:r>
      <w:r w:rsidR="00DD16CD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single-dose of anti-RANKL antibody</w:t>
      </w:r>
      <w:r w:rsidR="00F14B6A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4B6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14 weeks after injection (</w:t>
      </w:r>
      <w:r w:rsidR="00F14B6A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n = 6).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F56AB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E3781D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D16C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the generation of CFU-ALP and CFU-Ob in </w:t>
      </w:r>
      <w:r w:rsidR="00DD16CD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BMC</w:t>
      </w:r>
      <w:r w:rsidR="00FD23B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4D680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derived</w:t>
      </w:r>
      <w:r w:rsidR="00DD16C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4D680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ovariectomized mice injected with single-dose of anti-RANKL antibody</w:t>
      </w:r>
      <w:r w:rsidR="00DD16CD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D680A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16 weeks after injection </w:t>
      </w:r>
      <w:r w:rsidR="00DD16CD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DD16C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= 6).  </w:t>
      </w:r>
      <w:r w:rsidR="00204E53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c, </w:t>
      </w:r>
      <w:r w:rsidR="00204E53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d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cytometric analysis of </w:t>
      </w:r>
      <w:r w:rsidR="00A448D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BMCs derived from </w:t>
      </w:r>
      <w:r w:rsidR="009E1F90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204E5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OVX plus three-injection model mice 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at 16 weeks</w:t>
      </w:r>
      <w:r w:rsidR="00204E53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after discontinuation</w:t>
      </w:r>
      <w:r w:rsidR="00A448D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448D1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(n = 4)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448D1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percentage of osteoblastic precursors 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characterized by the cell surface markers</w:t>
      </w:r>
      <w:r w:rsidR="00E3781D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Ter119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CD45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ALP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Sca-1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="00A448D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A448D1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A448D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, Ter119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CD45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ALP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Sca1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(</w:t>
      </w:r>
      <w:r w:rsidR="00A448D1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A448D1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) and Ter119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CD45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Sca-1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PDGFR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1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B"/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448D1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E3781D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4E53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="00E3781D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3781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Osteoblast differentiation and bone nodule formation in calvarial cell-derived osteoblasts.</w:t>
      </w:r>
      <w:r w:rsidR="00021EB2" w:rsidRPr="00CA46F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21EB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D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All values are representative of at least three independent experiments and are displayed as </w:t>
      </w:r>
      <w:r w:rsidR="00563758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</w:t>
      </w:r>
      <w:r w:rsidR="00E3781D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mean ± SEM. *</w:t>
      </w:r>
      <w:r w:rsidR="00D33247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: </w:t>
      </w:r>
      <w:r w:rsidR="00D33247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p</w:t>
      </w:r>
      <w:r w:rsidR="00E3781D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0.05, **</w:t>
      </w:r>
      <w:r w:rsidR="00D33247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: </w:t>
      </w:r>
      <w:r w:rsidR="00D33247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p</w:t>
      </w:r>
      <w:r w:rsidR="00E3781D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&lt; 0.01. Student</w:t>
      </w:r>
      <w:r w:rsidR="00563758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’s</w:t>
      </w:r>
      <w:r w:rsidR="00E3781D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E3781D" w:rsidRPr="00CA46F5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t</w:t>
      </w:r>
      <w:r w:rsidR="00E3781D" w:rsidRPr="00CA46F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-test was performed.</w:t>
      </w:r>
      <w:r w:rsidR="003D3FAA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CF62D29" w14:textId="09398DE9" w:rsidR="00387C82" w:rsidRPr="00CA46F5" w:rsidRDefault="00387C82" w:rsidP="00575B4E">
      <w:pPr>
        <w:spacing w:line="360" w:lineRule="auto"/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</w:t>
      </w:r>
      <w:r w:rsidR="00D234DB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S1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CA46F5"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  <w:t xml:space="preserve">Comparison of baseline </w:t>
      </w:r>
      <w:r w:rsidR="00D87C86" w:rsidRPr="00CA46F5"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  <w:t xml:space="preserve">patient </w:t>
      </w:r>
      <w:r w:rsidR="006C3F45" w:rsidRPr="00CA46F5"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  <w:t>characteristics</w:t>
      </w:r>
      <w:r w:rsidRPr="00CA46F5"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  <w:t xml:space="preserve"> with anti-RANKL treatment discontinuation and age- matched control.</w:t>
      </w:r>
    </w:p>
    <w:tbl>
      <w:tblPr>
        <w:tblStyle w:val="TableGrid"/>
        <w:tblpPr w:leftFromText="142" w:rightFromText="142" w:vertAnchor="page" w:horzAnchor="margin" w:tblpY="3301"/>
        <w:tblW w:w="86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985"/>
        <w:gridCol w:w="992"/>
      </w:tblGrid>
      <w:tr w:rsidR="00CA46F5" w:rsidRPr="00CA46F5" w14:paraId="2C59073C" w14:textId="77777777" w:rsidTr="003176E6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C3ABB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Parameters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05DB26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4F1A8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Discontinuation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A7A45B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eastAsia="ＭＳ 明朝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</w:tr>
      <w:tr w:rsidR="00CA46F5" w:rsidRPr="00CA46F5" w14:paraId="3B08AAE0" w14:textId="77777777" w:rsidTr="003176E6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749E8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5B4390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74.1±6.2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D5EF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79.9±5.4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8B1DF1" w14:textId="77777777" w:rsidR="003176E6" w:rsidRPr="00CA46F5" w:rsidRDefault="003176E6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523F0024" w14:textId="77777777" w:rsidTr="00B40958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024D2" w14:textId="0005D7F3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Serum Ca (mg/dL)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E17722" w14:textId="7B3A3082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9.3±0.3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544D" w14:textId="0263E404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9.3±0.3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2FF0B" w14:textId="4D2F275F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71E55B70" w14:textId="77777777" w:rsidTr="008B5870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5594A" w14:textId="25065104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Serum P (mg/dL)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6F6185" w14:textId="7E5EC756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3.5±0.2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0BE7" w14:textId="151239FD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3.7±0.2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BE5591" w14:textId="7747493E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50645D2C" w14:textId="77777777" w:rsidTr="003176E6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1C7A2" w14:textId="04D1C16B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Serum Alb (g/dL)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8453B8" w14:textId="7DF5DCF1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4.4±0.5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605B" w14:textId="5C29F6CB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4.1±0.3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596AD6" w14:textId="50EDC3A7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6B9C774E" w14:textId="77777777" w:rsidTr="003176E6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73B20" w14:textId="4C77CBD0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 (mL/min/1.73 m²)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8401CE" w14:textId="2AD2C4DA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60.5±12.2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2B1A" w14:textId="72D6B450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55.3±25.2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07A9B" w14:textId="31D04817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210B01DB" w14:textId="77777777" w:rsidTr="003176E6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9D3DC" w14:textId="1E6A6AE8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Serum intact-PTH (</w:t>
            </w: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CA46F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187BF" w14:textId="739403DF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34.9±10.0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188BA" w14:textId="106567B1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42.0±17.5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6EEFC" w14:textId="1D47B783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39AA738D" w14:textId="77777777" w:rsidTr="00B40958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ECE6" w14:textId="3DDA3E2E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Lumber spine-BMD (g/cm²)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571231" w14:textId="78903869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0.76±0.04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1A516" w14:textId="4FD0FBD8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0.85±0.14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071B2D" w14:textId="1F5A764C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6070BBE0" w14:textId="77777777" w:rsidTr="008B5870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B8C5" w14:textId="6C78F981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Femoral neck-BMD (g/cm²)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004185" w14:textId="7808B708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0.60±0.05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E7100" w14:textId="0162A0C7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0.54±0.13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1ACD9" w14:textId="3FBE90F0" w:rsidR="0058737D" w:rsidRPr="00CA46F5" w:rsidRDefault="0058737D" w:rsidP="003176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F4ED204" w14:textId="77777777" w:rsidR="003176E6" w:rsidRPr="00CA46F5" w:rsidRDefault="003176E6" w:rsidP="003176E6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259F35" w14:textId="691A085D" w:rsidR="004D447D" w:rsidRPr="00CA46F5" w:rsidRDefault="00387C82" w:rsidP="004D447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of </w:t>
      </w:r>
      <w:r w:rsidR="00D87C86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clinical parameters (n = 8).  </w:t>
      </w:r>
      <w:r w:rsidR="00D87C86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The d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ata expressed </w:t>
      </w:r>
      <w:r w:rsidR="004D447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mean ± SD were analyzed with Student’s t-test.  N.s.: not significant, *: </w:t>
      </w:r>
      <w:r w:rsidR="004D447D"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p</w:t>
      </w:r>
      <w:r w:rsidR="004D447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**: </w:t>
      </w:r>
      <w:r w:rsidR="004D447D"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p</w:t>
      </w:r>
      <w:r w:rsidR="004D447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0.01. </w:t>
      </w:r>
      <w:r w:rsidR="004D447D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4D447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Ca: calcium, </w:t>
      </w:r>
      <w:r w:rsidR="004D447D" w:rsidRPr="00CA46F5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p</w:t>
      </w:r>
      <w:r w:rsidR="004D447D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: phosphorus, Alb: albumin, eGFR: estimated glomerular filtration rate, intact-PTH: intact-parathyroid hormone, BMD: bone mineral density.</w:t>
      </w:r>
    </w:p>
    <w:p w14:paraId="7AE778F6" w14:textId="77777777" w:rsidR="0045432E" w:rsidRPr="00CA46F5" w:rsidRDefault="0045432E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5D3DD2E8" w14:textId="77777777" w:rsidR="00387C82" w:rsidRPr="00CA46F5" w:rsidRDefault="00387C82" w:rsidP="00575B4E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Style w:val="TableGrid"/>
        <w:tblpPr w:leftFromText="142" w:rightFromText="142" w:vertAnchor="page" w:horzAnchor="margin" w:tblpY="3313"/>
        <w:tblW w:w="86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551"/>
        <w:gridCol w:w="1701"/>
      </w:tblGrid>
      <w:tr w:rsidR="00CA46F5" w:rsidRPr="00CA46F5" w14:paraId="5B935EEC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36C4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9EE26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12D4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Discontinuation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24FFC" w14:textId="2EAF052C" w:rsidR="003176E6" w:rsidRPr="00CA46F5" w:rsidRDefault="00FA32BF" w:rsidP="003176E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eastAsia="ＭＳ 明朝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</w:tr>
      <w:tr w:rsidR="00CA46F5" w:rsidRPr="00CA46F5" w14:paraId="7794883F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D5E8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Eotaxin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110064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1912.1 ± 243.0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8ECD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2308.2 ± 516.2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3FA42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6F848025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BC3A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G-CSF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CDFE17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73.2 ± 16.8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98E1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98.2 ± 18.3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EC40F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0.01</w:t>
            </w:r>
          </w:p>
        </w:tc>
      </w:tr>
      <w:tr w:rsidR="00CA46F5" w:rsidRPr="00CA46F5" w14:paraId="5C94C2F0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4EB6D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INF-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67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38824D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 ± 9.9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B855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37.3 ± 11.9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61085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4F35FC39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75E82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61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C17B96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 ± 2.9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F2BF1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15.9 ± 1.7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59F88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04178ADC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9EC0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6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81844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 ± 7.4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CF55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 ± 6.9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D822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761BFC82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6C83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C3CA6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 ± 2.0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9581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 ± 4.6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37509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7FC562E0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FBE4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762CA0" w14:textId="38351639" w:rsidR="003176E6" w:rsidRPr="00CA46F5" w:rsidRDefault="00B01E02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  <w:r w:rsidR="003176E6"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± 1.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AC4F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 ± 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27B6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3F9C7A2D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359E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68CD3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 ± 4.6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4554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 ± 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91A8D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500C6972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7D9D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3D614D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 ± 2.2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AB066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 ± 3.9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DE0256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0.05</w:t>
            </w:r>
          </w:p>
        </w:tc>
      </w:tr>
      <w:tr w:rsidR="00CA46F5" w:rsidRPr="00CA46F5" w14:paraId="6CEC0E8C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609D8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4454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 ± 2.7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1F21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 ± 9.8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1DCB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28260D51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6FD0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56E704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37.1 ± 14.5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951A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50.2 ± 16.2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ED6AC6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30C0E947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98A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78719532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IL-12(p40)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2B375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360.0 ± 58.9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B797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305.0 ± 107.2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1F2AF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542C8254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219A3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78719541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IL-12(p70)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E820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233.4 ± 68.0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FB557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229.7 ± 35.5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CA03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431BAEE1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AA81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_Hlk78719547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IL-17A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9F67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92.7 ± 62.9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1511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103.8 ± 41.1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147C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2D94A9F3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0C4C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_Hlk78719552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</w:t>
            </w:r>
            <w:bookmarkEnd w:id="6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5AEF3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52.8 ± 10.5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8361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 ± 35.6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129FD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34CD5D42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89D5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_Hlk78719559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MCP-1</w:t>
            </w:r>
            <w:bookmarkEnd w:id="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969DF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147.0 ± 35.9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F8A9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182.3 ± 36.5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4C95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100051D7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F8578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MIP-1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61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013ED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 ± 1.4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941F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 ± 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3820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4606943B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04BEB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MIP-1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6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D6AA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50.9 ± 14.5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1ABA4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 ± 13.7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268AC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220A5C43" w14:textId="77777777" w:rsidTr="003176E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7E1E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_Hlk78719578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RANTES</w:t>
            </w:r>
            <w:bookmarkEnd w:id="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0000D7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65.4 ± 15.5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D1DF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55.2 ± 16.4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E22DF9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A46F5" w:rsidRPr="00CA46F5" w14:paraId="4E7FA068" w14:textId="77777777" w:rsidTr="003176E6">
        <w:trPr>
          <w:trHeight w:val="96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22FAA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TNF-</w:t>
            </w: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61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B3E82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106.0 ± 40.7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9F272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145.9 ± 66.6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6DB80" w14:textId="77777777" w:rsidR="003176E6" w:rsidRPr="00CA46F5" w:rsidRDefault="003176E6" w:rsidP="003176E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  <w:r w:rsidRPr="00CA4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0DD21BEE" w14:textId="0CCB2C32" w:rsidR="009E53B9" w:rsidRPr="00CA46F5" w:rsidRDefault="00D234DB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Table. S</w:t>
      </w:r>
      <w:r w:rsidR="0058737D" w:rsidRPr="00CA46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387C82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Production of inflammatory cytokines in mouse serum during </w:t>
      </w:r>
      <w:r w:rsidR="00D87C86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="00387C82" w:rsidRPr="00CA4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overshoot period (n = 9).</w:t>
      </w:r>
    </w:p>
    <w:p w14:paraId="5BD58B43" w14:textId="77777777" w:rsidR="003176E6" w:rsidRPr="00CA46F5" w:rsidRDefault="003176E6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F9AD3" w14:textId="4B1E1341" w:rsidR="001A612F" w:rsidRPr="00CA46F5" w:rsidRDefault="00D87C86" w:rsidP="00575B4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The d</w:t>
      </w:r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ata expressed as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mean ± SD</w:t>
      </w:r>
      <w:r w:rsidR="00F25325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25325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pg</w:t>
      </w:r>
      <w:proofErr w:type="spellEnd"/>
      <w:r w:rsidR="00F25325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</w:t>
      </w:r>
      <w:r w:rsidR="00EA2BAB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="00F25325" w:rsidRPr="00CA46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F25325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analyzed </w:t>
      </w:r>
      <w:r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proofErr w:type="gramStart"/>
      <w:r w:rsidR="0044797A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7425F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tudent</w:t>
      </w:r>
      <w:proofErr w:type="gramEnd"/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C82" w:rsidRPr="00CA46F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EA2BAB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test. </w:t>
      </w:r>
      <w:proofErr w:type="spellStart"/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n.s</w:t>
      </w:r>
      <w:proofErr w:type="spellEnd"/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</w:t>
      </w:r>
      <w:r w:rsidR="00CC443A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87C82" w:rsidRPr="00CA46F5">
        <w:rPr>
          <w:rFonts w:ascii="Times New Roman" w:hAnsi="Times New Roman" w:cs="Times New Roman"/>
          <w:color w:val="000000" w:themeColor="text1"/>
          <w:sz w:val="24"/>
          <w:szCs w:val="24"/>
        </w:rPr>
        <w:t>ot significant</w:t>
      </w:r>
    </w:p>
    <w:sectPr w:rsidR="001A612F" w:rsidRPr="00CA46F5" w:rsidSect="00A92293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D971" w14:textId="77777777" w:rsidR="007835A6" w:rsidRDefault="007835A6" w:rsidP="00C61059">
      <w:r>
        <w:separator/>
      </w:r>
    </w:p>
  </w:endnote>
  <w:endnote w:type="continuationSeparator" w:id="0">
    <w:p w14:paraId="40653738" w14:textId="77777777" w:rsidR="007835A6" w:rsidRDefault="007835A6" w:rsidP="00C6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FBFA" w14:textId="77777777" w:rsidR="007835A6" w:rsidRDefault="007835A6" w:rsidP="00C61059">
      <w:r>
        <w:separator/>
      </w:r>
    </w:p>
  </w:footnote>
  <w:footnote w:type="continuationSeparator" w:id="0">
    <w:p w14:paraId="246ECEDA" w14:textId="77777777" w:rsidR="007835A6" w:rsidRDefault="007835A6" w:rsidP="00C6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4A1"/>
    <w:multiLevelType w:val="hybridMultilevel"/>
    <w:tmpl w:val="4A946B5E"/>
    <w:lvl w:ilvl="0" w:tplc="AA90C16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EC207D"/>
    <w:multiLevelType w:val="hybridMultilevel"/>
    <w:tmpl w:val="B56A2982"/>
    <w:lvl w:ilvl="0" w:tplc="FA9E2A1A">
      <w:start w:val="1"/>
      <w:numFmt w:val="lowerLetter"/>
      <w:lvlText w:val="%1."/>
      <w:lvlJc w:val="left"/>
      <w:pPr>
        <w:ind w:left="0" w:firstLine="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8DE15DA"/>
    <w:multiLevelType w:val="hybridMultilevel"/>
    <w:tmpl w:val="43AC7D6E"/>
    <w:lvl w:ilvl="0" w:tplc="6D969454">
      <w:start w:val="1"/>
      <w:numFmt w:val="lowerLetter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FB44C61"/>
    <w:multiLevelType w:val="hybridMultilevel"/>
    <w:tmpl w:val="976EF8E4"/>
    <w:lvl w:ilvl="0" w:tplc="805E244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E3D6339"/>
    <w:multiLevelType w:val="hybridMultilevel"/>
    <w:tmpl w:val="619E64A6"/>
    <w:lvl w:ilvl="0" w:tplc="B54A6B2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14C4701"/>
    <w:multiLevelType w:val="hybridMultilevel"/>
    <w:tmpl w:val="2526A6BC"/>
    <w:lvl w:ilvl="0" w:tplc="B54A6B2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1EC31B9"/>
    <w:multiLevelType w:val="hybridMultilevel"/>
    <w:tmpl w:val="270E941C"/>
    <w:lvl w:ilvl="0" w:tplc="9C8C45DA">
      <w:start w:val="1"/>
      <w:numFmt w:val="upperLetter"/>
      <w:lvlText w:val="(%1)"/>
      <w:lvlJc w:val="left"/>
      <w:pPr>
        <w:ind w:left="375" w:hanging="375"/>
      </w:pPr>
      <w:rPr>
        <w:rFonts w:eastAsiaTheme="min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15155837">
    <w:abstractNumId w:val="0"/>
  </w:num>
  <w:num w:numId="2" w16cid:durableId="1891530030">
    <w:abstractNumId w:val="3"/>
  </w:num>
  <w:num w:numId="3" w16cid:durableId="644968327">
    <w:abstractNumId w:val="4"/>
  </w:num>
  <w:num w:numId="4" w16cid:durableId="322390911">
    <w:abstractNumId w:val="5"/>
  </w:num>
  <w:num w:numId="5" w16cid:durableId="1533038102">
    <w:abstractNumId w:val="1"/>
  </w:num>
  <w:num w:numId="6" w16cid:durableId="609356316">
    <w:abstractNumId w:val="2"/>
  </w:num>
  <w:num w:numId="7" w16cid:durableId="846015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82"/>
    <w:rsid w:val="000078B0"/>
    <w:rsid w:val="0001486F"/>
    <w:rsid w:val="00021EB2"/>
    <w:rsid w:val="00044E03"/>
    <w:rsid w:val="0007220F"/>
    <w:rsid w:val="00074C6C"/>
    <w:rsid w:val="000805A4"/>
    <w:rsid w:val="00083F97"/>
    <w:rsid w:val="000A25C8"/>
    <w:rsid w:val="000A38B2"/>
    <w:rsid w:val="000C11F3"/>
    <w:rsid w:val="000C5E5F"/>
    <w:rsid w:val="000D0F12"/>
    <w:rsid w:val="000D7B9E"/>
    <w:rsid w:val="000E0A87"/>
    <w:rsid w:val="00100D9E"/>
    <w:rsid w:val="00102B71"/>
    <w:rsid w:val="00110040"/>
    <w:rsid w:val="001104CF"/>
    <w:rsid w:val="00112590"/>
    <w:rsid w:val="00130758"/>
    <w:rsid w:val="00142105"/>
    <w:rsid w:val="001439BF"/>
    <w:rsid w:val="001464F8"/>
    <w:rsid w:val="00153202"/>
    <w:rsid w:val="00184567"/>
    <w:rsid w:val="00186205"/>
    <w:rsid w:val="001922A4"/>
    <w:rsid w:val="00197D59"/>
    <w:rsid w:val="001A16A5"/>
    <w:rsid w:val="001A612F"/>
    <w:rsid w:val="001B7FCF"/>
    <w:rsid w:val="001C03A3"/>
    <w:rsid w:val="001C3889"/>
    <w:rsid w:val="001F6BB9"/>
    <w:rsid w:val="00200935"/>
    <w:rsid w:val="00204E53"/>
    <w:rsid w:val="00206288"/>
    <w:rsid w:val="00212F0E"/>
    <w:rsid w:val="00214BB2"/>
    <w:rsid w:val="00222145"/>
    <w:rsid w:val="002413C3"/>
    <w:rsid w:val="00265D0A"/>
    <w:rsid w:val="00270CE9"/>
    <w:rsid w:val="00282F50"/>
    <w:rsid w:val="0028457A"/>
    <w:rsid w:val="002852FA"/>
    <w:rsid w:val="00291FE5"/>
    <w:rsid w:val="002936D8"/>
    <w:rsid w:val="002D630C"/>
    <w:rsid w:val="002E395B"/>
    <w:rsid w:val="00301C6C"/>
    <w:rsid w:val="00305811"/>
    <w:rsid w:val="003176E6"/>
    <w:rsid w:val="003470A2"/>
    <w:rsid w:val="0036665D"/>
    <w:rsid w:val="00380457"/>
    <w:rsid w:val="00387C82"/>
    <w:rsid w:val="003A0FA6"/>
    <w:rsid w:val="003D01F7"/>
    <w:rsid w:val="003D210B"/>
    <w:rsid w:val="003D3FAA"/>
    <w:rsid w:val="003D662B"/>
    <w:rsid w:val="003D79ED"/>
    <w:rsid w:val="003E6EE8"/>
    <w:rsid w:val="003F7264"/>
    <w:rsid w:val="003F7B96"/>
    <w:rsid w:val="0040734E"/>
    <w:rsid w:val="00425B74"/>
    <w:rsid w:val="004320BE"/>
    <w:rsid w:val="004345D8"/>
    <w:rsid w:val="00445CFD"/>
    <w:rsid w:val="0044797A"/>
    <w:rsid w:val="0045432E"/>
    <w:rsid w:val="0046538E"/>
    <w:rsid w:val="00466494"/>
    <w:rsid w:val="00470ABC"/>
    <w:rsid w:val="0048294C"/>
    <w:rsid w:val="0049225F"/>
    <w:rsid w:val="004B7703"/>
    <w:rsid w:val="004C6F8C"/>
    <w:rsid w:val="004D447D"/>
    <w:rsid w:val="004D48CE"/>
    <w:rsid w:val="004D680A"/>
    <w:rsid w:val="004E7C01"/>
    <w:rsid w:val="004F3875"/>
    <w:rsid w:val="004F3EA2"/>
    <w:rsid w:val="004F41B1"/>
    <w:rsid w:val="00502ABB"/>
    <w:rsid w:val="00514AB6"/>
    <w:rsid w:val="005265C2"/>
    <w:rsid w:val="0053524F"/>
    <w:rsid w:val="005521DD"/>
    <w:rsid w:val="00560343"/>
    <w:rsid w:val="00563758"/>
    <w:rsid w:val="005640CA"/>
    <w:rsid w:val="00575B4E"/>
    <w:rsid w:val="00583E29"/>
    <w:rsid w:val="00586D45"/>
    <w:rsid w:val="0058737D"/>
    <w:rsid w:val="005904BC"/>
    <w:rsid w:val="005B6D08"/>
    <w:rsid w:val="005C0ADD"/>
    <w:rsid w:val="005C0FDD"/>
    <w:rsid w:val="005D2C7C"/>
    <w:rsid w:val="005F41AB"/>
    <w:rsid w:val="00625AF7"/>
    <w:rsid w:val="006606DC"/>
    <w:rsid w:val="00663477"/>
    <w:rsid w:val="00666E0F"/>
    <w:rsid w:val="00673573"/>
    <w:rsid w:val="006939E8"/>
    <w:rsid w:val="006A2599"/>
    <w:rsid w:val="006A5547"/>
    <w:rsid w:val="006A68DA"/>
    <w:rsid w:val="006B6612"/>
    <w:rsid w:val="006C3F45"/>
    <w:rsid w:val="006D46E1"/>
    <w:rsid w:val="00700DCC"/>
    <w:rsid w:val="00734E00"/>
    <w:rsid w:val="0075164A"/>
    <w:rsid w:val="00752D5A"/>
    <w:rsid w:val="007543E3"/>
    <w:rsid w:val="007552DC"/>
    <w:rsid w:val="007553A0"/>
    <w:rsid w:val="007600C6"/>
    <w:rsid w:val="00761B37"/>
    <w:rsid w:val="00761E08"/>
    <w:rsid w:val="00764546"/>
    <w:rsid w:val="007835A6"/>
    <w:rsid w:val="00790741"/>
    <w:rsid w:val="00797DBA"/>
    <w:rsid w:val="007C6D95"/>
    <w:rsid w:val="007D19D9"/>
    <w:rsid w:val="007D7178"/>
    <w:rsid w:val="007F4C5F"/>
    <w:rsid w:val="008300B6"/>
    <w:rsid w:val="00841CC4"/>
    <w:rsid w:val="00851240"/>
    <w:rsid w:val="008626B4"/>
    <w:rsid w:val="00870F1E"/>
    <w:rsid w:val="008800C9"/>
    <w:rsid w:val="008958D3"/>
    <w:rsid w:val="008A2A5A"/>
    <w:rsid w:val="008A3329"/>
    <w:rsid w:val="008B1F6A"/>
    <w:rsid w:val="008B718E"/>
    <w:rsid w:val="008D6246"/>
    <w:rsid w:val="008F0199"/>
    <w:rsid w:val="00904552"/>
    <w:rsid w:val="009174F6"/>
    <w:rsid w:val="009322D7"/>
    <w:rsid w:val="0093291A"/>
    <w:rsid w:val="00941D30"/>
    <w:rsid w:val="00943DB6"/>
    <w:rsid w:val="009630AF"/>
    <w:rsid w:val="00991078"/>
    <w:rsid w:val="00997427"/>
    <w:rsid w:val="009B0078"/>
    <w:rsid w:val="009C6D68"/>
    <w:rsid w:val="009D3CC0"/>
    <w:rsid w:val="009E1F90"/>
    <w:rsid w:val="009E53B9"/>
    <w:rsid w:val="009F1409"/>
    <w:rsid w:val="009F3A4B"/>
    <w:rsid w:val="00A02945"/>
    <w:rsid w:val="00A04B35"/>
    <w:rsid w:val="00A24F3F"/>
    <w:rsid w:val="00A37F32"/>
    <w:rsid w:val="00A40462"/>
    <w:rsid w:val="00A448D1"/>
    <w:rsid w:val="00A51BAE"/>
    <w:rsid w:val="00A633B7"/>
    <w:rsid w:val="00A715D5"/>
    <w:rsid w:val="00A72101"/>
    <w:rsid w:val="00A76662"/>
    <w:rsid w:val="00A9085A"/>
    <w:rsid w:val="00A92293"/>
    <w:rsid w:val="00A95013"/>
    <w:rsid w:val="00A96690"/>
    <w:rsid w:val="00AA1AF2"/>
    <w:rsid w:val="00AA6927"/>
    <w:rsid w:val="00AB28D4"/>
    <w:rsid w:val="00AB37BD"/>
    <w:rsid w:val="00AC61A2"/>
    <w:rsid w:val="00AE05DA"/>
    <w:rsid w:val="00AF32BE"/>
    <w:rsid w:val="00B01E02"/>
    <w:rsid w:val="00B0260A"/>
    <w:rsid w:val="00B23587"/>
    <w:rsid w:val="00B4057D"/>
    <w:rsid w:val="00B40958"/>
    <w:rsid w:val="00B544D3"/>
    <w:rsid w:val="00B6299F"/>
    <w:rsid w:val="00B64278"/>
    <w:rsid w:val="00B646E0"/>
    <w:rsid w:val="00B7398F"/>
    <w:rsid w:val="00B86B7C"/>
    <w:rsid w:val="00B95DBF"/>
    <w:rsid w:val="00BA41C3"/>
    <w:rsid w:val="00BB19EF"/>
    <w:rsid w:val="00BD612E"/>
    <w:rsid w:val="00C01992"/>
    <w:rsid w:val="00C07C30"/>
    <w:rsid w:val="00C2404B"/>
    <w:rsid w:val="00C35E35"/>
    <w:rsid w:val="00C53080"/>
    <w:rsid w:val="00C538C2"/>
    <w:rsid w:val="00C61059"/>
    <w:rsid w:val="00C61EE0"/>
    <w:rsid w:val="00C7425F"/>
    <w:rsid w:val="00C8403C"/>
    <w:rsid w:val="00CA303F"/>
    <w:rsid w:val="00CA46F5"/>
    <w:rsid w:val="00CC17F4"/>
    <w:rsid w:val="00CC2C74"/>
    <w:rsid w:val="00CC2FCE"/>
    <w:rsid w:val="00CC443A"/>
    <w:rsid w:val="00CE1F13"/>
    <w:rsid w:val="00CE5495"/>
    <w:rsid w:val="00CE6ACB"/>
    <w:rsid w:val="00D05F01"/>
    <w:rsid w:val="00D11C7A"/>
    <w:rsid w:val="00D1549A"/>
    <w:rsid w:val="00D234DB"/>
    <w:rsid w:val="00D313A4"/>
    <w:rsid w:val="00D33247"/>
    <w:rsid w:val="00D35465"/>
    <w:rsid w:val="00D8488E"/>
    <w:rsid w:val="00D87C86"/>
    <w:rsid w:val="00D92DED"/>
    <w:rsid w:val="00DB6D22"/>
    <w:rsid w:val="00DC0BFC"/>
    <w:rsid w:val="00DC693D"/>
    <w:rsid w:val="00DD16CD"/>
    <w:rsid w:val="00DD4179"/>
    <w:rsid w:val="00DE0144"/>
    <w:rsid w:val="00DE4B22"/>
    <w:rsid w:val="00DE7025"/>
    <w:rsid w:val="00DF56AB"/>
    <w:rsid w:val="00E01495"/>
    <w:rsid w:val="00E0201F"/>
    <w:rsid w:val="00E344A5"/>
    <w:rsid w:val="00E3781D"/>
    <w:rsid w:val="00E44892"/>
    <w:rsid w:val="00E4575D"/>
    <w:rsid w:val="00E64134"/>
    <w:rsid w:val="00E71FFD"/>
    <w:rsid w:val="00E821BE"/>
    <w:rsid w:val="00EA2BAB"/>
    <w:rsid w:val="00EE08BB"/>
    <w:rsid w:val="00EE1E7E"/>
    <w:rsid w:val="00EF0BBF"/>
    <w:rsid w:val="00EF1CF8"/>
    <w:rsid w:val="00EF2EAE"/>
    <w:rsid w:val="00EF65CB"/>
    <w:rsid w:val="00EF6D5D"/>
    <w:rsid w:val="00F05CB8"/>
    <w:rsid w:val="00F06714"/>
    <w:rsid w:val="00F13E3B"/>
    <w:rsid w:val="00F13FB3"/>
    <w:rsid w:val="00F14652"/>
    <w:rsid w:val="00F14B6A"/>
    <w:rsid w:val="00F204BD"/>
    <w:rsid w:val="00F25325"/>
    <w:rsid w:val="00F333FA"/>
    <w:rsid w:val="00F379F4"/>
    <w:rsid w:val="00F44615"/>
    <w:rsid w:val="00F51FEC"/>
    <w:rsid w:val="00F6215A"/>
    <w:rsid w:val="00F73F5B"/>
    <w:rsid w:val="00F82522"/>
    <w:rsid w:val="00F85673"/>
    <w:rsid w:val="00F9454D"/>
    <w:rsid w:val="00F95780"/>
    <w:rsid w:val="00FA1BF2"/>
    <w:rsid w:val="00FA32BF"/>
    <w:rsid w:val="00FB0DF1"/>
    <w:rsid w:val="00FB1928"/>
    <w:rsid w:val="00FD1A48"/>
    <w:rsid w:val="00FD23BA"/>
    <w:rsid w:val="00FD5E74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9D72F"/>
  <w15:chartTrackingRefBased/>
  <w15:docId w15:val="{8FD4F1A5-55D8-424A-956C-69D3D28B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C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10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61059"/>
  </w:style>
  <w:style w:type="paragraph" w:styleId="Footer">
    <w:name w:val="footer"/>
    <w:basedOn w:val="Normal"/>
    <w:link w:val="FooterChar"/>
    <w:uiPriority w:val="99"/>
    <w:unhideWhenUsed/>
    <w:rsid w:val="00C610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61059"/>
  </w:style>
  <w:style w:type="paragraph" w:styleId="ListParagraph">
    <w:name w:val="List Paragraph"/>
    <w:basedOn w:val="Normal"/>
    <w:uiPriority w:val="34"/>
    <w:qFormat/>
    <w:rsid w:val="003D662B"/>
    <w:pPr>
      <w:ind w:leftChars="400" w:left="840"/>
    </w:pPr>
  </w:style>
  <w:style w:type="character" w:styleId="LineNumber">
    <w:name w:val="line number"/>
    <w:basedOn w:val="DefaultParagraphFont"/>
    <w:uiPriority w:val="99"/>
    <w:semiHidden/>
    <w:unhideWhenUsed/>
    <w:rsid w:val="00B0260A"/>
  </w:style>
  <w:style w:type="character" w:styleId="Hyperlink">
    <w:name w:val="Hyperlink"/>
    <w:basedOn w:val="DefaultParagraphFont"/>
    <w:uiPriority w:val="99"/>
    <w:unhideWhenUsed/>
    <w:rsid w:val="00625AF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87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negishi.ob@juntendo.ac.jp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6EBE-0D3A-4FE8-A4A5-3F8F2E1A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14</Pages>
  <Words>1510</Words>
  <Characters>8610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Negishi Takako</dc:creator>
  <cp:keywords/>
  <dc:description/>
  <cp:lastModifiedBy>Koji Ishikawa</cp:lastModifiedBy>
  <cp:revision>28</cp:revision>
  <cp:lastPrinted>2023-02-01T09:06:00Z</cp:lastPrinted>
  <dcterms:created xsi:type="dcterms:W3CDTF">2024-12-27T05:35:00Z</dcterms:created>
  <dcterms:modified xsi:type="dcterms:W3CDTF">2025-04-06T03:54:00Z</dcterms:modified>
</cp:coreProperties>
</file>