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126" w:rsidRPr="0070430A" w:rsidRDefault="001D4126" w:rsidP="001D4126">
      <w:pPr>
        <w:jc w:val="both"/>
        <w:rPr>
          <w:rFonts w:ascii="Arial" w:hAnsi="Arial" w:cs="Arial"/>
          <w:sz w:val="22"/>
          <w:szCs w:val="22"/>
        </w:rPr>
      </w:pPr>
      <w:r w:rsidRPr="0070430A">
        <w:rPr>
          <w:rFonts w:ascii="Arial" w:hAnsi="Arial" w:cs="Arial"/>
          <w:b/>
          <w:bCs/>
          <w:sz w:val="22"/>
          <w:szCs w:val="22"/>
        </w:rPr>
        <w:t xml:space="preserve">Fig S1. Increased ductility in femurs </w:t>
      </w:r>
      <w:r>
        <w:rPr>
          <w:rFonts w:ascii="Arial" w:hAnsi="Arial" w:cs="Arial"/>
          <w:b/>
          <w:bCs/>
          <w:sz w:val="22"/>
          <w:szCs w:val="22"/>
        </w:rPr>
        <w:t>of</w:t>
      </w:r>
      <w:r w:rsidRPr="007043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70430A">
        <w:rPr>
          <w:rFonts w:ascii="Arial" w:hAnsi="Arial" w:cs="Arial"/>
          <w:b/>
          <w:bCs/>
          <w:i/>
          <w:iCs/>
          <w:sz w:val="22"/>
          <w:szCs w:val="22"/>
        </w:rPr>
        <w:t>Sp7</w:t>
      </w:r>
      <w:r w:rsidRPr="0070430A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R342C</w:t>
      </w:r>
      <w:r w:rsidRPr="0070430A">
        <w:rPr>
          <w:rFonts w:ascii="Arial" w:hAnsi="Arial" w:cs="Arial"/>
          <w:b/>
          <w:bCs/>
          <w:sz w:val="22"/>
          <w:szCs w:val="22"/>
        </w:rPr>
        <w:t xml:space="preserve"> knock-in mice. a-b</w:t>
      </w:r>
      <w:r w:rsidRPr="0070430A">
        <w:rPr>
          <w:rFonts w:ascii="Arial" w:hAnsi="Arial" w:cs="Arial"/>
          <w:sz w:val="22"/>
          <w:szCs w:val="22"/>
        </w:rPr>
        <w:t xml:space="preserve"> Three-point bending experiment was performed in the right femur of 10-week-old female mice. Student’s </w:t>
      </w:r>
      <w:r w:rsidRPr="0070430A">
        <w:rPr>
          <w:rFonts w:ascii="Arial" w:hAnsi="Arial" w:cs="Arial"/>
          <w:i/>
          <w:iCs/>
          <w:sz w:val="22"/>
          <w:szCs w:val="22"/>
        </w:rPr>
        <w:t>t</w:t>
      </w:r>
      <w:r w:rsidRPr="0070430A">
        <w:rPr>
          <w:rFonts w:ascii="Arial" w:hAnsi="Arial" w:cs="Arial"/>
          <w:sz w:val="22"/>
          <w:szCs w:val="22"/>
        </w:rPr>
        <w:t> test was performed for statistical analysis, and 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values are shown (*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0.05; 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0.01, 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0.001, ****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 xml:space="preserve"> &lt; 0.0001). </w:t>
      </w:r>
    </w:p>
    <w:p w:rsidR="001D4126" w:rsidRPr="0070430A" w:rsidRDefault="001D4126" w:rsidP="001D4126">
      <w:pPr>
        <w:rPr>
          <w:rFonts w:ascii="Arial" w:hAnsi="Arial" w:cs="Arial"/>
          <w:sz w:val="22"/>
          <w:szCs w:val="22"/>
        </w:rPr>
      </w:pPr>
    </w:p>
    <w:p w:rsidR="001D4126" w:rsidRPr="0070430A" w:rsidRDefault="001D4126" w:rsidP="001D4126">
      <w:pPr>
        <w:jc w:val="both"/>
        <w:rPr>
          <w:rFonts w:ascii="Arial" w:hAnsi="Arial" w:cs="Arial"/>
          <w:sz w:val="22"/>
          <w:szCs w:val="22"/>
        </w:rPr>
      </w:pPr>
      <w:r w:rsidRPr="0070430A">
        <w:rPr>
          <w:rFonts w:ascii="Arial" w:hAnsi="Arial" w:cs="Arial"/>
          <w:b/>
          <w:bCs/>
          <w:sz w:val="22"/>
          <w:szCs w:val="22"/>
        </w:rPr>
        <w:t xml:space="preserve">Fig S2. Increased osteoid and reduced mineralization in </w:t>
      </w:r>
      <w:r w:rsidRPr="0070430A">
        <w:rPr>
          <w:rFonts w:ascii="Arial" w:hAnsi="Arial" w:cs="Arial"/>
          <w:b/>
          <w:bCs/>
          <w:i/>
          <w:iCs/>
          <w:sz w:val="22"/>
          <w:szCs w:val="22"/>
        </w:rPr>
        <w:t>Sp7</w:t>
      </w:r>
      <w:r w:rsidRPr="0070430A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R342C</w:t>
      </w:r>
      <w:r w:rsidRPr="0070430A">
        <w:rPr>
          <w:rFonts w:ascii="Arial" w:hAnsi="Arial" w:cs="Arial"/>
          <w:b/>
          <w:bCs/>
          <w:sz w:val="22"/>
          <w:szCs w:val="22"/>
        </w:rPr>
        <w:t xml:space="preserve"> mutant mice. a </w:t>
      </w:r>
      <w:r w:rsidRPr="0070430A">
        <w:rPr>
          <w:rFonts w:ascii="Arial" w:hAnsi="Arial" w:cs="Arial"/>
          <w:sz w:val="22"/>
          <w:szCs w:val="22"/>
        </w:rPr>
        <w:t>Quantification of osteocyte density, tortuosity, and the lacunar-canalicular network (LCN) volume fraction in 3D.</w:t>
      </w:r>
      <w:r w:rsidRPr="0070430A">
        <w:rPr>
          <w:rFonts w:ascii="Arial" w:hAnsi="Arial" w:cs="Arial"/>
          <w:b/>
          <w:bCs/>
          <w:sz w:val="22"/>
          <w:szCs w:val="22"/>
        </w:rPr>
        <w:t xml:space="preserve"> b</w:t>
      </w:r>
      <w:r w:rsidRPr="0070430A">
        <w:rPr>
          <w:rFonts w:ascii="Arial" w:hAnsi="Arial" w:cs="Arial"/>
          <w:sz w:val="22"/>
          <w:szCs w:val="22"/>
        </w:rPr>
        <w:t xml:space="preserve"> Femurs from 8-week-old mice have been subjected to bone </w:t>
      </w:r>
      <w:proofErr w:type="spellStart"/>
      <w:r w:rsidRPr="0070430A">
        <w:rPr>
          <w:rFonts w:ascii="Arial" w:hAnsi="Arial" w:cs="Arial"/>
          <w:sz w:val="22"/>
          <w:szCs w:val="22"/>
        </w:rPr>
        <w:t>histomorphometric</w:t>
      </w:r>
      <w:proofErr w:type="spellEnd"/>
      <w:r w:rsidRPr="0070430A">
        <w:rPr>
          <w:rFonts w:ascii="Arial" w:hAnsi="Arial" w:cs="Arial"/>
          <w:sz w:val="22"/>
          <w:szCs w:val="22"/>
        </w:rPr>
        <w:t xml:space="preserve"> analysis. Trichrome staining show</w:t>
      </w:r>
      <w:r>
        <w:rPr>
          <w:rFonts w:ascii="Arial" w:hAnsi="Arial" w:cs="Arial"/>
          <w:sz w:val="22"/>
          <w:szCs w:val="22"/>
        </w:rPr>
        <w:t>s</w:t>
      </w:r>
      <w:r w:rsidRPr="0070430A">
        <w:rPr>
          <w:rFonts w:ascii="Arial" w:hAnsi="Arial" w:cs="Arial"/>
          <w:sz w:val="22"/>
          <w:szCs w:val="22"/>
        </w:rPr>
        <w:t xml:space="preserve"> increased osteoid in </w:t>
      </w:r>
      <w:r w:rsidRPr="0070430A">
        <w:rPr>
          <w:rFonts w:ascii="Arial" w:hAnsi="Arial" w:cs="Arial"/>
          <w:i/>
          <w:iCs/>
          <w:sz w:val="22"/>
          <w:szCs w:val="22"/>
        </w:rPr>
        <w:t>Sp7</w:t>
      </w:r>
      <w:r w:rsidRPr="0070430A">
        <w:rPr>
          <w:rFonts w:ascii="Arial" w:hAnsi="Arial" w:cs="Arial"/>
          <w:i/>
          <w:iCs/>
          <w:sz w:val="22"/>
          <w:szCs w:val="22"/>
          <w:vertAlign w:val="superscript"/>
        </w:rPr>
        <w:t>R342C/R342C</w:t>
      </w:r>
      <w:r w:rsidRPr="0070430A">
        <w:rPr>
          <w:rFonts w:ascii="Arial" w:hAnsi="Arial" w:cs="Arial"/>
          <w:sz w:val="22"/>
          <w:szCs w:val="22"/>
        </w:rPr>
        <w:t xml:space="preserve"> mice (red a</w:t>
      </w:r>
      <w:r>
        <w:rPr>
          <w:rFonts w:ascii="Arial" w:hAnsi="Arial" w:cs="Arial"/>
          <w:sz w:val="22"/>
          <w:szCs w:val="22"/>
        </w:rPr>
        <w:t>rrowheads</w:t>
      </w:r>
      <w:r w:rsidRPr="0070430A">
        <w:rPr>
          <w:rFonts w:ascii="Arial" w:hAnsi="Arial" w:cs="Arial"/>
          <w:sz w:val="22"/>
          <w:szCs w:val="22"/>
        </w:rPr>
        <w:t xml:space="preserve">) in both metaphysis and diaphysis. </w:t>
      </w:r>
      <w:r w:rsidRPr="0070430A">
        <w:rPr>
          <w:rFonts w:ascii="Arial" w:hAnsi="Arial" w:cs="Arial"/>
          <w:b/>
          <w:bCs/>
          <w:sz w:val="22"/>
          <w:szCs w:val="22"/>
        </w:rPr>
        <w:t>c</w:t>
      </w:r>
      <w:r w:rsidRPr="0070430A">
        <w:rPr>
          <w:rFonts w:ascii="Arial" w:hAnsi="Arial" w:cs="Arial"/>
          <w:sz w:val="22"/>
          <w:szCs w:val="22"/>
        </w:rPr>
        <w:t xml:space="preserve"> Quantification of osteoid volume (OV/BV), mineralization lag time (MLT), mineral apposition rate (MAR) and bone formation rate (BFR/BS) in the metaphysis. </w:t>
      </w:r>
      <w:r w:rsidRPr="0070430A">
        <w:rPr>
          <w:rFonts w:ascii="Arial" w:hAnsi="Arial" w:cs="Arial"/>
          <w:b/>
          <w:bCs/>
          <w:sz w:val="22"/>
          <w:szCs w:val="22"/>
        </w:rPr>
        <w:t xml:space="preserve">d </w:t>
      </w:r>
      <w:r w:rsidRPr="0070430A">
        <w:rPr>
          <w:rFonts w:ascii="Arial" w:hAnsi="Arial" w:cs="Arial"/>
          <w:sz w:val="22"/>
          <w:szCs w:val="22"/>
        </w:rPr>
        <w:t xml:space="preserve">Serum PTH, phosphate and calcium levels are not affected in </w:t>
      </w:r>
      <w:r w:rsidRPr="0070430A">
        <w:rPr>
          <w:rFonts w:ascii="Arial" w:hAnsi="Arial" w:cs="Arial"/>
          <w:i/>
          <w:iCs/>
          <w:sz w:val="22"/>
          <w:szCs w:val="22"/>
        </w:rPr>
        <w:t>Sp7</w:t>
      </w:r>
      <w:r w:rsidRPr="0070430A">
        <w:rPr>
          <w:rFonts w:ascii="Arial" w:hAnsi="Arial" w:cs="Arial"/>
          <w:i/>
          <w:iCs/>
          <w:sz w:val="22"/>
          <w:szCs w:val="22"/>
          <w:vertAlign w:val="superscript"/>
        </w:rPr>
        <w:t>R342C/R342C</w:t>
      </w:r>
      <w:r w:rsidRPr="0070430A">
        <w:rPr>
          <w:rFonts w:ascii="Arial" w:hAnsi="Arial" w:cs="Arial"/>
          <w:sz w:val="22"/>
          <w:szCs w:val="22"/>
        </w:rPr>
        <w:t xml:space="preserve"> mice compared to controls. Student’s </w:t>
      </w:r>
      <w:r w:rsidRPr="0070430A">
        <w:rPr>
          <w:rFonts w:ascii="Arial" w:hAnsi="Arial" w:cs="Arial"/>
          <w:i/>
          <w:iCs/>
          <w:sz w:val="22"/>
          <w:szCs w:val="22"/>
        </w:rPr>
        <w:t>t</w:t>
      </w:r>
      <w:r w:rsidRPr="0070430A">
        <w:rPr>
          <w:rFonts w:ascii="Arial" w:hAnsi="Arial" w:cs="Arial"/>
          <w:sz w:val="22"/>
          <w:szCs w:val="22"/>
        </w:rPr>
        <w:t xml:space="preserve"> test was performed for statistical analysis in </w:t>
      </w:r>
      <w:r w:rsidRPr="0070430A">
        <w:rPr>
          <w:rFonts w:ascii="Arial" w:hAnsi="Arial" w:cs="Arial"/>
          <w:b/>
          <w:bCs/>
          <w:sz w:val="22"/>
          <w:szCs w:val="22"/>
        </w:rPr>
        <w:t>a</w:t>
      </w:r>
      <w:r w:rsidRPr="0070430A">
        <w:rPr>
          <w:rFonts w:ascii="Arial" w:hAnsi="Arial" w:cs="Arial"/>
          <w:sz w:val="22"/>
          <w:szCs w:val="22"/>
        </w:rPr>
        <w:t xml:space="preserve"> and </w:t>
      </w:r>
      <w:r w:rsidRPr="0070430A">
        <w:rPr>
          <w:rFonts w:ascii="Arial" w:hAnsi="Arial" w:cs="Arial"/>
          <w:b/>
          <w:bCs/>
          <w:sz w:val="22"/>
          <w:szCs w:val="22"/>
        </w:rPr>
        <w:t>c</w:t>
      </w:r>
      <w:r w:rsidRPr="0070430A">
        <w:rPr>
          <w:rFonts w:ascii="Arial" w:hAnsi="Arial" w:cs="Arial"/>
          <w:sz w:val="22"/>
          <w:szCs w:val="22"/>
        </w:rPr>
        <w:t xml:space="preserve"> and two-way ANOVA analysis followed by post hoc Tukey–Kramer test was performed in </w:t>
      </w:r>
      <w:r w:rsidRPr="0070430A">
        <w:rPr>
          <w:rFonts w:ascii="Arial" w:hAnsi="Arial" w:cs="Arial"/>
          <w:b/>
          <w:bCs/>
          <w:sz w:val="22"/>
          <w:szCs w:val="22"/>
        </w:rPr>
        <w:t>d</w:t>
      </w:r>
      <w:r w:rsidRPr="0070430A">
        <w:rPr>
          <w:rFonts w:ascii="Arial" w:hAnsi="Arial" w:cs="Arial"/>
          <w:sz w:val="22"/>
          <w:szCs w:val="22"/>
        </w:rPr>
        <w:t xml:space="preserve"> (*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0.05; 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0.01, 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0.001, ****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0.0001). Scale bars are shown in the image</w:t>
      </w:r>
      <w:r>
        <w:rPr>
          <w:rFonts w:ascii="Arial" w:hAnsi="Arial" w:cs="Arial"/>
          <w:sz w:val="22"/>
          <w:szCs w:val="22"/>
        </w:rPr>
        <w:t>s</w:t>
      </w:r>
      <w:r w:rsidRPr="0070430A">
        <w:rPr>
          <w:rFonts w:ascii="Arial" w:hAnsi="Arial" w:cs="Arial"/>
          <w:sz w:val="22"/>
          <w:szCs w:val="22"/>
        </w:rPr>
        <w:t>.</w:t>
      </w:r>
    </w:p>
    <w:p w:rsidR="001D4126" w:rsidRPr="0070430A" w:rsidRDefault="001D4126" w:rsidP="001D4126">
      <w:pPr>
        <w:rPr>
          <w:rFonts w:ascii="Arial" w:hAnsi="Arial" w:cs="Arial"/>
          <w:sz w:val="22"/>
          <w:szCs w:val="22"/>
        </w:rPr>
      </w:pPr>
    </w:p>
    <w:p w:rsidR="001D4126" w:rsidRPr="009079D9" w:rsidRDefault="001D4126" w:rsidP="001D4126">
      <w:pPr>
        <w:jc w:val="both"/>
        <w:rPr>
          <w:rFonts w:ascii="Arial" w:hAnsi="Arial" w:cs="Arial"/>
          <w:sz w:val="22"/>
          <w:szCs w:val="22"/>
        </w:rPr>
        <w:sectPr w:rsidR="001D4126" w:rsidRPr="009079D9" w:rsidSect="00110F83">
          <w:footerReference w:type="even" r:id="rId4"/>
          <w:footerReference w:type="default" r:id="rId5"/>
          <w:pgSz w:w="12240" w:h="15840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  <w:r w:rsidRPr="0070430A">
        <w:rPr>
          <w:rFonts w:ascii="Arial" w:hAnsi="Arial" w:cs="Arial"/>
          <w:b/>
          <w:bCs/>
          <w:sz w:val="22"/>
          <w:szCs w:val="22"/>
        </w:rPr>
        <w:t>Fig S3. OPG-Fc treatment increases trabecular bone mass.</w:t>
      </w:r>
      <w:r w:rsidRPr="0070430A">
        <w:rPr>
          <w:rFonts w:ascii="Arial" w:hAnsi="Arial" w:cs="Arial"/>
          <w:sz w:val="22"/>
          <w:szCs w:val="22"/>
        </w:rPr>
        <w:t xml:space="preserve"> </w:t>
      </w:r>
      <w:r w:rsidRPr="0070430A">
        <w:rPr>
          <w:rFonts w:ascii="Arial" w:hAnsi="Arial" w:cs="Arial"/>
          <w:b/>
          <w:bCs/>
          <w:sz w:val="22"/>
          <w:szCs w:val="22"/>
        </w:rPr>
        <w:t>a</w:t>
      </w:r>
      <w:r w:rsidRPr="0070430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430A">
        <w:rPr>
          <w:rFonts w:ascii="Arial" w:hAnsi="Arial" w:cs="Arial"/>
          <w:sz w:val="22"/>
          <w:szCs w:val="22"/>
        </w:rPr>
        <w:t>μCT</w:t>
      </w:r>
      <w:proofErr w:type="spellEnd"/>
      <w:r w:rsidRPr="0070430A">
        <w:rPr>
          <w:rFonts w:ascii="Arial" w:hAnsi="Arial" w:cs="Arial"/>
          <w:sz w:val="22"/>
          <w:szCs w:val="22"/>
        </w:rPr>
        <w:t xml:space="preserve"> images from the femoral metaphysis of 10-week-old female mice. Trabecular bone mass increases in the OPG-Fc treated group compared to the vehicle-treated group. </w:t>
      </w:r>
      <w:r w:rsidRPr="0070430A">
        <w:rPr>
          <w:rFonts w:ascii="Arial" w:hAnsi="Arial" w:cs="Arial"/>
          <w:b/>
          <w:bCs/>
          <w:sz w:val="22"/>
          <w:szCs w:val="22"/>
        </w:rPr>
        <w:t>b</w:t>
      </w:r>
      <w:r w:rsidRPr="0070430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430A">
        <w:rPr>
          <w:rFonts w:ascii="Arial" w:hAnsi="Arial" w:cs="Arial"/>
          <w:sz w:val="22"/>
          <w:szCs w:val="22"/>
        </w:rPr>
        <w:t>μCT</w:t>
      </w:r>
      <w:proofErr w:type="spellEnd"/>
      <w:r w:rsidRPr="0070430A">
        <w:rPr>
          <w:rFonts w:ascii="Arial" w:hAnsi="Arial" w:cs="Arial"/>
          <w:sz w:val="22"/>
          <w:szCs w:val="22"/>
        </w:rPr>
        <w:t xml:space="preserve"> images from the femoral diaphysis of 10-week-old female mice. Cortical porosity is partially reduced in the OPG-Fc treated group compared to the vehicle-treated group. Two-way ANOVA analysis followed by post hoc Tukey–Kramer test was performed (*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0.05; 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0.01, 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0.001, ****</w:t>
      </w:r>
      <w:r w:rsidRPr="0070430A">
        <w:rPr>
          <w:rFonts w:ascii="Arial" w:hAnsi="Arial" w:cs="Arial"/>
          <w:i/>
          <w:iCs/>
          <w:sz w:val="22"/>
          <w:szCs w:val="22"/>
        </w:rPr>
        <w:t>P</w:t>
      </w:r>
      <w:r w:rsidRPr="0070430A">
        <w:rPr>
          <w:rFonts w:ascii="Arial" w:hAnsi="Arial" w:cs="Arial"/>
          <w:sz w:val="22"/>
          <w:szCs w:val="22"/>
        </w:rPr>
        <w:t> &lt; 0.0001). Scale bars are shown in the image</w:t>
      </w:r>
      <w:r>
        <w:rPr>
          <w:rFonts w:ascii="Arial" w:hAnsi="Arial" w:cs="Arial"/>
          <w:sz w:val="22"/>
          <w:szCs w:val="22"/>
        </w:rPr>
        <w:t>s</w:t>
      </w:r>
      <w:r w:rsidRPr="0070430A">
        <w:rPr>
          <w:rFonts w:ascii="Arial" w:hAnsi="Arial" w:cs="Arial"/>
          <w:sz w:val="22"/>
          <w:szCs w:val="22"/>
        </w:rPr>
        <w:t>. All images in the same panel have the same scale.</w:t>
      </w:r>
    </w:p>
    <w:p w:rsidR="008A0D3C" w:rsidRDefault="008A0D3C">
      <w:bookmarkStart w:id="0" w:name="_GoBack"/>
      <w:bookmarkEnd w:id="0"/>
    </w:p>
    <w:sectPr w:rsidR="008A0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19735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E6EE4" w:rsidRDefault="001D4126" w:rsidP="008A06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E6EE4" w:rsidRDefault="001D4126" w:rsidP="001C1B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349803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E6EE4" w:rsidRDefault="001D4126" w:rsidP="008A06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E6EE4" w:rsidRDefault="001D4126" w:rsidP="001C1BC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26"/>
    <w:rsid w:val="001D4126"/>
    <w:rsid w:val="008A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E2ABB1-DFCC-4BFA-BE0A-B46CCF3D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41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12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D4126"/>
  </w:style>
  <w:style w:type="character" w:styleId="LineNumber">
    <w:name w:val="line number"/>
    <w:basedOn w:val="DefaultParagraphFont"/>
    <w:uiPriority w:val="99"/>
    <w:semiHidden/>
    <w:unhideWhenUsed/>
    <w:rsid w:val="001D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Purnima Pandey</dc:creator>
  <cp:keywords/>
  <dc:description/>
  <cp:lastModifiedBy>Purnima Pandey</cp:lastModifiedBy>
  <cp:revision>1</cp:revision>
  <dcterms:created xsi:type="dcterms:W3CDTF">2025-04-28T03:57:00Z</dcterms:created>
  <dcterms:modified xsi:type="dcterms:W3CDTF">2025-04-28T03:57:00Z</dcterms:modified>
</cp:coreProperties>
</file>