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360" w:lineRule="auto"/>
        <w:jc w:val="center"/>
        <w:rPr>
          <w:rFonts w:ascii="Times New Roman Regular" w:hAnsi="Times New Roman Regular" w:eastAsia="宋体" w:cs="Times New Roman Regular"/>
          <w:b/>
          <w:bCs/>
          <w:kern w:val="0"/>
          <w:sz w:val="24"/>
        </w:rPr>
      </w:pPr>
      <w:bookmarkStart w:id="0" w:name="_Hlk197679925"/>
      <w:bookmarkEnd w:id="0"/>
      <w:r>
        <w:rPr>
          <w:rFonts w:ascii="Times New Roman Regular" w:hAnsi="Times New Roman Regular" w:eastAsia="宋体" w:cs="Times New Roman Regular"/>
          <w:b/>
          <w:bCs/>
          <w:kern w:val="0"/>
          <w:sz w:val="24"/>
        </w:rPr>
        <w:t>Cytosolic phospholipase A2 as a therapeutic target for degenerative joint diseases</w:t>
      </w:r>
    </w:p>
    <w:p>
      <w:pPr>
        <w:widowControl/>
        <w:spacing w:before="100" w:beforeAutospacing="1" w:after="100" w:afterAutospacing="1" w:line="360" w:lineRule="auto"/>
        <w:rPr>
          <w:rFonts w:ascii="Times New Roman Regular" w:hAnsi="Times New Roman Regular" w:eastAsia="宋体" w:cs="Times New Roman Regular"/>
          <w:kern w:val="0"/>
          <w:sz w:val="24"/>
          <w:vertAlign w:val="superscript"/>
        </w:rPr>
      </w:pPr>
      <w:r>
        <w:rPr>
          <w:rFonts w:ascii="Times New Roman Regular" w:hAnsi="Times New Roman Regular" w:eastAsia="宋体" w:cs="Times New Roman Regular"/>
          <w:kern w:val="0"/>
          <w:sz w:val="24"/>
        </w:rPr>
        <w:t>Guiwu Huang</w:t>
      </w:r>
      <w:r>
        <w:rPr>
          <w:rFonts w:ascii="Times New Roman Regular" w:hAnsi="Times New Roman Regular" w:eastAsia="宋体" w:cs="Times New Roman Regular"/>
          <w:kern w:val="0"/>
          <w:sz w:val="24"/>
          <w:vertAlign w:val="superscript"/>
        </w:rPr>
        <w:t>1,2#</w:t>
      </w:r>
      <w:r>
        <w:rPr>
          <w:rFonts w:ascii="Times New Roman Regular" w:hAnsi="Times New Roman Regular" w:eastAsia="宋体" w:cs="Times New Roman Regular"/>
          <w:kern w:val="0"/>
          <w:sz w:val="24"/>
        </w:rPr>
        <w:t>, Chaopeng He</w:t>
      </w:r>
      <w:r>
        <w:rPr>
          <w:rFonts w:ascii="Times New Roman Regular" w:hAnsi="Times New Roman Regular" w:eastAsia="宋体" w:cs="Times New Roman Regular"/>
          <w:kern w:val="0"/>
          <w:sz w:val="24"/>
          <w:vertAlign w:val="superscript"/>
        </w:rPr>
        <w:t>1</w:t>
      </w:r>
      <w:r>
        <w:rPr>
          <w:rFonts w:ascii="Times New Roman" w:hAnsi="Times New Roman" w:eastAsia="宋体" w:cs="Times New Roman"/>
          <w:kern w:val="0"/>
          <w:sz w:val="24"/>
          <w:vertAlign w:val="superscript"/>
        </w:rPr>
        <w:t>,3#</w:t>
      </w:r>
      <w:r>
        <w:rPr>
          <w:rFonts w:ascii="Times New Roman Regular" w:hAnsi="Times New Roman Regular" w:eastAsia="宋体" w:cs="Times New Roman Regular"/>
          <w:kern w:val="0"/>
          <w:sz w:val="24"/>
        </w:rPr>
        <w:t>, Wenyu Fu</w:t>
      </w:r>
      <w:r>
        <w:rPr>
          <w:rFonts w:ascii="Times New Roman Regular" w:hAnsi="Times New Roman Regular" w:eastAsia="宋体" w:cs="Times New Roman Regular"/>
          <w:kern w:val="0"/>
          <w:sz w:val="24"/>
          <w:vertAlign w:val="superscript"/>
        </w:rPr>
        <w:t>1</w:t>
      </w:r>
      <w:r>
        <w:rPr>
          <w:rFonts w:ascii="Times New Roman Regular" w:hAnsi="Times New Roman Regular" w:eastAsia="宋体" w:cs="Times New Roman Regular"/>
          <w:kern w:val="0"/>
          <w:sz w:val="24"/>
        </w:rPr>
        <w:t>, Jingwei Bi</w:t>
      </w:r>
      <w:r>
        <w:rPr>
          <w:rFonts w:ascii="Times New Roman Regular" w:hAnsi="Times New Roman Regular" w:eastAsia="宋体" w:cs="Times New Roman Regular"/>
          <w:kern w:val="0"/>
          <w:sz w:val="24"/>
          <w:vertAlign w:val="superscript"/>
        </w:rPr>
        <w:t>1</w:t>
      </w:r>
      <w:r>
        <w:rPr>
          <w:rFonts w:ascii="Times New Roman Regular" w:hAnsi="Times New Roman Regular" w:eastAsia="宋体" w:cs="Times New Roman Regular"/>
          <w:kern w:val="0"/>
          <w:sz w:val="24"/>
        </w:rPr>
        <w:t>, Jianji Wang</w:t>
      </w:r>
      <w:r>
        <w:rPr>
          <w:rFonts w:ascii="Times New Roman Regular" w:hAnsi="Times New Roman Regular" w:eastAsia="宋体" w:cs="Times New Roman Regular"/>
          <w:kern w:val="0"/>
          <w:sz w:val="24"/>
          <w:vertAlign w:val="superscript"/>
        </w:rPr>
        <w:t>1</w:t>
      </w:r>
      <w:r>
        <w:rPr>
          <w:rFonts w:ascii="Times New Roman Regular" w:hAnsi="Times New Roman Regular" w:eastAsia="宋体" w:cs="Times New Roman Regular"/>
          <w:kern w:val="0"/>
          <w:sz w:val="24"/>
        </w:rPr>
        <w:t xml:space="preserve">, </w:t>
      </w:r>
      <w:r>
        <w:rPr>
          <w:rFonts w:hint="eastAsia" w:ascii="Times New Roman Regular" w:hAnsi="Times New Roman Regular" w:eastAsia="宋体" w:cs="Times New Roman Regular"/>
          <w:kern w:val="0"/>
          <w:sz w:val="24"/>
        </w:rPr>
        <w:t>Daniel H Wiznia</w:t>
      </w:r>
      <w:r>
        <w:rPr>
          <w:rFonts w:ascii="Times New Roman Regular" w:hAnsi="Times New Roman Regular" w:eastAsia="宋体" w:cs="Times New Roman Regular"/>
          <w:kern w:val="0"/>
          <w:sz w:val="24"/>
          <w:vertAlign w:val="superscript"/>
        </w:rPr>
        <w:t>1</w:t>
      </w:r>
      <w:r>
        <w:rPr>
          <w:rFonts w:ascii="Times New Roman Regular" w:hAnsi="Times New Roman Regular" w:eastAsia="宋体" w:cs="Times New Roman Regular"/>
          <w:kern w:val="0"/>
          <w:sz w:val="24"/>
        </w:rPr>
        <w:t>, Chuanju Liu</w:t>
      </w:r>
      <w:r>
        <w:rPr>
          <w:rFonts w:ascii="Times New Roman Regular" w:hAnsi="Times New Roman Regular" w:eastAsia="宋体" w:cs="Times New Roman Regular"/>
          <w:kern w:val="0"/>
          <w:sz w:val="24"/>
          <w:vertAlign w:val="superscript"/>
        </w:rPr>
        <w:t>1*</w:t>
      </w:r>
    </w:p>
    <w:p>
      <w:pPr>
        <w:widowControl/>
        <w:numPr>
          <w:ilvl w:val="0"/>
          <w:numId w:val="1"/>
        </w:numPr>
        <w:spacing w:before="100" w:beforeAutospacing="1" w:after="100" w:afterAutospacing="1" w:line="360" w:lineRule="auto"/>
        <w:rPr>
          <w:rFonts w:ascii="Times New Roman Regular" w:hAnsi="Times New Roman Regular" w:eastAsia="宋体" w:cs="Times New Roman Regular"/>
          <w:kern w:val="0"/>
          <w:sz w:val="24"/>
        </w:rPr>
      </w:pPr>
      <w:r>
        <w:rPr>
          <w:rFonts w:ascii="Times New Roman Regular" w:hAnsi="Times New Roman Regular" w:eastAsia="宋体" w:cs="Times New Roman Regular"/>
          <w:kern w:val="0"/>
          <w:sz w:val="24"/>
        </w:rPr>
        <w:t>Department of Orthopaedics and Rehabilitation, Yale University School of Medicine, New Haven, CT, USA</w:t>
      </w:r>
    </w:p>
    <w:p>
      <w:pPr>
        <w:widowControl/>
        <w:numPr>
          <w:ilvl w:val="0"/>
          <w:numId w:val="1"/>
        </w:numPr>
        <w:spacing w:before="100" w:beforeAutospacing="1" w:after="100" w:afterAutospacing="1" w:line="360" w:lineRule="auto"/>
        <w:rPr>
          <w:rFonts w:ascii="Times New Roman" w:hAnsi="Times New Roman" w:eastAsia="宋体" w:cs="Times New Roman"/>
          <w:kern w:val="0"/>
          <w:sz w:val="24"/>
        </w:rPr>
      </w:pPr>
      <w:r>
        <w:rPr>
          <w:rFonts w:ascii="Times New Roman Regular" w:hAnsi="Times New Roman Regular" w:eastAsia="宋体" w:cs="Times New Roman Regular"/>
          <w:kern w:val="0"/>
          <w:sz w:val="24"/>
        </w:rPr>
        <w:t>Department of Joint Surgery, The First Affiliated Hospital of Sun Yat-sen University, Sun Yat-sen University, Guangzhou, China.</w:t>
      </w:r>
    </w:p>
    <w:p>
      <w:pPr>
        <w:widowControl/>
        <w:numPr>
          <w:ilvl w:val="0"/>
          <w:numId w:val="1"/>
        </w:numPr>
        <w:spacing w:before="100" w:beforeAutospacing="1" w:after="100" w:afterAutospacing="1" w:line="360" w:lineRule="auto"/>
        <w:rPr>
          <w:rFonts w:ascii="Times New Roman" w:hAnsi="Times New Roman" w:eastAsia="宋体" w:cs="Times New Roman"/>
          <w:kern w:val="0"/>
          <w:sz w:val="24"/>
        </w:rPr>
      </w:pPr>
      <w:r>
        <w:rPr>
          <w:rFonts w:ascii="Times New Roman" w:hAnsi="Times New Roman" w:eastAsia="宋体" w:cs="Times New Roman"/>
          <w:kern w:val="0"/>
          <w:sz w:val="24"/>
        </w:rPr>
        <w:t>Department of Orthopedics, The Second Xiangya Hospital of Central South University, Changsha, China.</w:t>
      </w:r>
    </w:p>
    <w:p>
      <w:pPr>
        <w:widowControl/>
        <w:spacing w:before="100" w:beforeAutospacing="1" w:after="100" w:afterAutospacing="1" w:line="360" w:lineRule="auto"/>
        <w:rPr>
          <w:rFonts w:ascii="Times New Roman Regular" w:hAnsi="Times New Roman Regular" w:eastAsia="宋体" w:cs="Times New Roman Regular"/>
          <w:kern w:val="0"/>
          <w:sz w:val="24"/>
        </w:rPr>
      </w:pPr>
      <w:r>
        <w:rPr>
          <w:rFonts w:hint="eastAsia" w:ascii="Times New Roman Regular" w:hAnsi="Times New Roman Regular" w:eastAsia="宋体" w:cs="Times New Roman Regular"/>
          <w:kern w:val="0"/>
          <w:sz w:val="24"/>
        </w:rPr>
        <w:t xml:space="preserve">    </w:t>
      </w:r>
    </w:p>
    <w:p>
      <w:pPr>
        <w:widowControl/>
        <w:spacing w:before="100" w:beforeAutospacing="1" w:after="100" w:afterAutospacing="1" w:line="360" w:lineRule="auto"/>
        <w:rPr>
          <w:rFonts w:ascii="Times New Roman Regular" w:hAnsi="Times New Roman Regular" w:eastAsia="宋体" w:cs="Times New Roman Regular"/>
          <w:kern w:val="0"/>
          <w:sz w:val="24"/>
        </w:rPr>
      </w:pPr>
      <w:r>
        <w:rPr>
          <w:rFonts w:ascii="Times New Roman Regular" w:hAnsi="Times New Roman Regular" w:eastAsia="宋体" w:cs="Times New Roman Regular"/>
          <w:kern w:val="0"/>
          <w:sz w:val="24"/>
        </w:rPr>
        <w:t>*To whom correspondence should be addressed: Dr. Chuan-ju Liu, Charles W. Ohse Professor of Orthopaedics, Yale School of Medicine. 789 Howard Avenue, New Haven, CT 06519. Tel: 203-7855968; Email: chuan-ju.liu@yale.edu</w:t>
      </w:r>
    </w:p>
    <w:p>
      <w:pPr>
        <w:widowControl/>
        <w:spacing w:before="100" w:beforeAutospacing="1" w:after="100" w:afterAutospacing="1" w:line="360" w:lineRule="auto"/>
        <w:rPr>
          <w:rFonts w:ascii="Times New Roman Regular" w:hAnsi="Times New Roman Regular" w:eastAsia="宋体" w:cs="Times New Roman Regular"/>
          <w:kern w:val="0"/>
          <w:sz w:val="24"/>
        </w:rPr>
      </w:pPr>
    </w:p>
    <w:p>
      <w:pPr>
        <w:widowControl/>
        <w:spacing w:before="100" w:beforeAutospacing="1" w:after="100" w:afterAutospacing="1" w:line="360" w:lineRule="auto"/>
        <w:rPr>
          <w:rFonts w:ascii="Times New Roman Regular" w:hAnsi="Times New Roman Regular" w:eastAsia="宋体" w:cs="Times New Roman Regular"/>
          <w:kern w:val="0"/>
          <w:sz w:val="24"/>
        </w:rPr>
      </w:pPr>
      <w:r>
        <w:rPr>
          <w:rFonts w:ascii="Times New Roman Regular" w:hAnsi="Times New Roman Regular" w:eastAsia="宋体" w:cs="Times New Roman Regular"/>
          <w:kern w:val="0"/>
          <w:sz w:val="24"/>
        </w:rPr>
        <w:t>#Contributed equally.</w:t>
      </w:r>
    </w:p>
    <w:p>
      <w:pPr>
        <w:widowControl/>
        <w:spacing w:before="100" w:beforeAutospacing="1" w:after="100" w:afterAutospacing="1" w:line="360" w:lineRule="auto"/>
        <w:jc w:val="center"/>
        <w:rPr>
          <w:rFonts w:ascii="Times New Roman Regular" w:hAnsi="Times New Roman Regular" w:eastAsia="宋体" w:cs="Times New Roman Regular"/>
          <w:b/>
          <w:bCs/>
          <w:kern w:val="0"/>
          <w:sz w:val="24"/>
        </w:rPr>
      </w:pPr>
    </w:p>
    <w:p>
      <w:pPr>
        <w:spacing w:line="360" w:lineRule="auto"/>
        <w:rPr>
          <w:rFonts w:ascii="Times New Roman Regular" w:hAnsi="Times New Roman Regular" w:cs="Times New Roman Regular"/>
        </w:rPr>
      </w:pPr>
    </w:p>
    <w:p>
      <w:pPr>
        <w:spacing w:line="360" w:lineRule="auto"/>
        <w:rPr>
          <w:rFonts w:ascii="Times New Roman Regular" w:hAnsi="Times New Roman Regular" w:cs="Times New Roman Regular"/>
        </w:rPr>
      </w:pPr>
    </w:p>
    <w:p>
      <w:pPr>
        <w:spacing w:line="360" w:lineRule="auto"/>
        <w:rPr>
          <w:rFonts w:ascii="Times New Roman Regular" w:hAnsi="Times New Roman Regular" w:cs="Times New Roman Regular"/>
        </w:rPr>
      </w:pPr>
    </w:p>
    <w:p>
      <w:pPr>
        <w:spacing w:line="360" w:lineRule="auto"/>
        <w:jc w:val="center"/>
        <w:rPr>
          <w:rFonts w:ascii="Times New Roman Regular" w:hAnsi="Times New Roman Regular" w:cs="Times New Roman Regular"/>
        </w:rPr>
      </w:pPr>
      <w:r>
        <w:rPr>
          <w:rFonts w:ascii="Times New Roman Regular" w:hAnsi="Times New Roman Regular" w:cs="Times New Roman Regular"/>
        </w:rPr>
        <w:t>This Supplementary Materials file includes:</w:t>
      </w:r>
    </w:p>
    <w:p>
      <w:pPr>
        <w:spacing w:line="360" w:lineRule="auto"/>
        <w:ind w:firstLine="2730" w:firstLineChars="1300"/>
        <w:jc w:val="left"/>
        <w:rPr>
          <w:rFonts w:ascii="Times New Roman Regular" w:hAnsi="Times New Roman Regular" w:cs="Times New Roman Regular"/>
        </w:rPr>
      </w:pPr>
      <w:r>
        <w:rPr>
          <w:rFonts w:ascii="Times New Roman Regular" w:hAnsi="Times New Roman Regular" w:cs="Times New Roman Regular"/>
        </w:rPr>
        <w:t>Figs. S1 to S</w:t>
      </w:r>
      <w:r>
        <w:rPr>
          <w:rFonts w:hint="eastAsia" w:ascii="Times New Roman Regular" w:hAnsi="Times New Roman Regular" w:cs="Times New Roman Regular"/>
        </w:rPr>
        <w:t>1</w:t>
      </w:r>
      <w:r>
        <w:rPr>
          <w:rFonts w:hint="eastAsia" w:ascii="Times New Roman Regular" w:hAnsi="Times New Roman Regular" w:cs="Times New Roman Regular"/>
          <w:lang w:val="en-US" w:eastAsia="zh-CN"/>
        </w:rPr>
        <w:t>0</w:t>
      </w:r>
      <w:r>
        <w:rPr>
          <w:rFonts w:ascii="Times New Roman Regular" w:hAnsi="Times New Roman Regular" w:cs="Times New Roman Regular"/>
        </w:rPr>
        <w:t xml:space="preserve"> (Pages 2-1</w:t>
      </w:r>
      <w:r>
        <w:rPr>
          <w:rFonts w:hint="eastAsia" w:ascii="Times New Roman Regular" w:hAnsi="Times New Roman Regular" w:cs="Times New Roman Regular"/>
        </w:rPr>
        <w:t>7</w:t>
      </w:r>
      <w:r>
        <w:rPr>
          <w:rFonts w:ascii="Times New Roman Regular" w:hAnsi="Times New Roman Regular" w:cs="Times New Roman Regular"/>
        </w:rPr>
        <w:t>)</w:t>
      </w:r>
    </w:p>
    <w:p>
      <w:pPr>
        <w:spacing w:line="360" w:lineRule="auto"/>
        <w:ind w:firstLine="2730" w:firstLineChars="1300"/>
        <w:jc w:val="left"/>
        <w:rPr>
          <w:rFonts w:ascii="Times New Roman Regular" w:hAnsi="Times New Roman Regular" w:cs="Times New Roman Regular"/>
        </w:rPr>
      </w:pPr>
      <w:r>
        <w:rPr>
          <w:rFonts w:ascii="Times New Roman Regular" w:hAnsi="Times New Roman Regular" w:cs="Times New Roman Regular"/>
        </w:rPr>
        <w:t xml:space="preserve">References (Pages </w:t>
      </w:r>
      <w:r>
        <w:rPr>
          <w:rFonts w:hint="eastAsia" w:ascii="Times New Roman Regular" w:hAnsi="Times New Roman Regular" w:cs="Times New Roman Regular"/>
        </w:rPr>
        <w:t>18-19</w:t>
      </w:r>
      <w:r>
        <w:rPr>
          <w:rFonts w:ascii="Times New Roman Regular" w:hAnsi="Times New Roman Regular" w:cs="Times New Roman Regular"/>
        </w:rPr>
        <w:t>)</w:t>
      </w:r>
    </w:p>
    <w:p>
      <w:pPr>
        <w:tabs>
          <w:tab w:val="left" w:pos="312"/>
        </w:tabs>
        <w:spacing w:line="360" w:lineRule="auto"/>
        <w:jc w:val="center"/>
        <w:rPr>
          <w:rFonts w:ascii="Times New Roman Regular" w:hAnsi="Times New Roman Regular" w:cs="Times New Roman Regular"/>
          <w:b/>
          <w:bCs/>
        </w:rPr>
      </w:pPr>
    </w:p>
    <w:p>
      <w:pPr>
        <w:tabs>
          <w:tab w:val="left" w:pos="312"/>
        </w:tabs>
        <w:spacing w:line="360" w:lineRule="auto"/>
        <w:jc w:val="center"/>
        <w:rPr>
          <w:rFonts w:ascii="Times New Roman Regular" w:hAnsi="Times New Roman Regular" w:cs="Times New Roman Regular"/>
          <w:b/>
          <w:bCs/>
        </w:rPr>
      </w:pPr>
    </w:p>
    <w:p>
      <w:pPr>
        <w:tabs>
          <w:tab w:val="left" w:pos="312"/>
        </w:tabs>
        <w:spacing w:line="360" w:lineRule="auto"/>
        <w:jc w:val="center"/>
        <w:rPr>
          <w:rFonts w:hint="eastAsia" w:ascii="Times New Roman Regular" w:hAnsi="Times New Roman Regular" w:cs="Times New Roman Regular" w:eastAsiaTheme="minorEastAsia"/>
          <w:b/>
          <w:bCs/>
          <w:lang w:eastAsia="zh-CN"/>
        </w:rPr>
      </w:pPr>
      <w:r>
        <w:rPr>
          <w:rFonts w:hint="eastAsia" w:ascii="Times New Roman Regular" w:hAnsi="Times New Roman Regular" w:cs="Times New Roman Regular" w:eastAsiaTheme="minorEastAsia"/>
          <w:b/>
          <w:bCs/>
          <w:lang w:eastAsia="zh-CN"/>
        </w:rPr>
        <w:drawing>
          <wp:inline distT="0" distB="0" distL="114300" distR="114300">
            <wp:extent cx="5271135" cy="6249035"/>
            <wp:effectExtent l="0" t="0" r="12065" b="24765"/>
            <wp:docPr id="1" name="图片 1" descr="Supplemental 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l Fig. 1"/>
                    <pic:cNvPicPr>
                      <a:picLocks noChangeAspect="1"/>
                    </pic:cNvPicPr>
                  </pic:nvPicPr>
                  <pic:blipFill>
                    <a:blip r:embed="rId5"/>
                    <a:stretch>
                      <a:fillRect/>
                    </a:stretch>
                  </pic:blipFill>
                  <pic:spPr>
                    <a:xfrm>
                      <a:off x="0" y="0"/>
                      <a:ext cx="5271135" cy="6249035"/>
                    </a:xfrm>
                    <a:prstGeom prst="rect">
                      <a:avLst/>
                    </a:prstGeom>
                  </pic:spPr>
                </pic:pic>
              </a:graphicData>
            </a:graphic>
          </wp:inline>
        </w:drawing>
      </w:r>
    </w:p>
    <w:p>
      <w:pPr>
        <w:tabs>
          <w:tab w:val="left" w:pos="312"/>
        </w:tabs>
        <w:spacing w:line="360" w:lineRule="auto"/>
        <w:rPr>
          <w:rFonts w:ascii="Times New Roman Regular" w:hAnsi="Times New Roman Regular" w:cs="Times New Roman Regular"/>
        </w:rPr>
      </w:pPr>
      <w:r>
        <w:rPr>
          <w:rFonts w:ascii="Times New Roman Regular" w:hAnsi="Times New Roman Regular" w:cs="Times New Roman Regular"/>
          <w:b/>
          <w:bCs/>
        </w:rPr>
        <w:t>Fig. S1. cPLA2 is upregulated in OA and senescent chondrocytes.</w:t>
      </w:r>
      <w:r>
        <w:rPr>
          <w:rFonts w:ascii="Times New Roman Regular" w:hAnsi="Times New Roman Regular" w:cs="Times New Roman Regular"/>
        </w:rPr>
        <w:t xml:space="preserve"> </w:t>
      </w:r>
      <w:r>
        <w:rPr>
          <w:rFonts w:hint="eastAsia" w:ascii="Times New Roman Regular" w:hAnsi="Times New Roman Regular" w:cs="Times New Roman Regular"/>
        </w:rPr>
        <w:t>(</w:t>
      </w:r>
      <w:r>
        <w:rPr>
          <w:rFonts w:ascii="Times New Roman Regular" w:hAnsi="Times New Roman Regular" w:cs="Times New Roman Regular"/>
        </w:rPr>
        <w:t>a</w:t>
      </w:r>
      <w:r>
        <w:rPr>
          <w:rFonts w:hint="eastAsia" w:ascii="Times New Roman Regular" w:hAnsi="Times New Roman Regular" w:cs="Times New Roman Regular"/>
        </w:rPr>
        <w:t>)</w:t>
      </w:r>
      <w:r>
        <w:rPr>
          <w:rFonts w:ascii="Times New Roman Regular" w:hAnsi="Times New Roman Regular" w:cs="Times New Roman Regular"/>
        </w:rPr>
        <w:t xml:space="preserve"> </w:t>
      </w:r>
      <w:r>
        <w:rPr>
          <w:rFonts w:hint="eastAsia" w:ascii="Times New Roman Regular" w:hAnsi="Times New Roman Regular" w:cs="Times New Roman Regular"/>
        </w:rPr>
        <w:t>D</w:t>
      </w:r>
      <w:r>
        <w:rPr>
          <w:rFonts w:ascii="Times New Roman Regular" w:hAnsi="Times New Roman Regular" w:cs="Times New Roman Regular"/>
        </w:rPr>
        <w:t xml:space="preserve">ot plot depicts the expression of feature genes across each chondrocyte cluster. (b) Dot plot illustrates the expression patterns of </w:t>
      </w:r>
      <w:r>
        <w:rPr>
          <w:rFonts w:ascii="Times New Roman Regular" w:hAnsi="Times New Roman Regular" w:cs="Times New Roman Regular"/>
          <w:i/>
          <w:iCs/>
        </w:rPr>
        <w:t xml:space="preserve">PLA2G4A </w:t>
      </w:r>
      <w:r>
        <w:rPr>
          <w:rFonts w:ascii="Times New Roman Regular" w:hAnsi="Times New Roman Regular" w:cs="Times New Roman Regular"/>
        </w:rPr>
        <w:t xml:space="preserve">across human normal and OA cartilage. The size of dots represents the percentage of cell expressions of the gene; color scale indicates the mean expression level. (c) Single-cell characterization of </w:t>
      </w:r>
      <w:r>
        <w:rPr>
          <w:rFonts w:ascii="Times New Roman Regular" w:hAnsi="Times New Roman Regular" w:cs="Times New Roman Regular"/>
          <w:i/>
          <w:iCs/>
        </w:rPr>
        <w:t>PLA2G4A</w:t>
      </w:r>
      <w:r>
        <w:rPr>
          <w:rFonts w:ascii="Times New Roman Regular" w:hAnsi="Times New Roman Regular" w:cs="Times New Roman Regular"/>
        </w:rPr>
        <w:t xml:space="preserve">, </w:t>
      </w:r>
      <w:r>
        <w:rPr>
          <w:rFonts w:ascii="Times New Roman Regular" w:hAnsi="Times New Roman Regular" w:cs="Times New Roman Regular"/>
          <w:i/>
          <w:iCs/>
        </w:rPr>
        <w:t>MMP13</w:t>
      </w:r>
      <w:r>
        <w:rPr>
          <w:rFonts w:ascii="Times New Roman Regular" w:hAnsi="Times New Roman Regular" w:cs="Times New Roman Regular"/>
        </w:rPr>
        <w:t xml:space="preserve"> and </w:t>
      </w:r>
      <w:r>
        <w:rPr>
          <w:rFonts w:ascii="Times New Roman Regular" w:hAnsi="Times New Roman Regular" w:cs="Times New Roman Regular"/>
          <w:i/>
          <w:iCs/>
        </w:rPr>
        <w:t>ADAMTS5</w:t>
      </w:r>
      <w:r>
        <w:rPr>
          <w:rFonts w:ascii="Times New Roman Regular" w:hAnsi="Times New Roman Regular" w:cs="Times New Roman Regular"/>
        </w:rPr>
        <w:t xml:space="preserve"> expression across varying chondrocyte populations in human normal and OA chondrocytes. Bubble plot visualization of </w:t>
      </w:r>
      <w:r>
        <w:rPr>
          <w:rFonts w:ascii="Times New Roman Regular" w:hAnsi="Times New Roman Regular" w:cs="Times New Roman Regular"/>
          <w:i/>
          <w:iCs/>
        </w:rPr>
        <w:t>PLA2G4A</w:t>
      </w:r>
      <w:r>
        <w:rPr>
          <w:rFonts w:ascii="Times New Roman Regular" w:hAnsi="Times New Roman Regular" w:cs="Times New Roman Regular"/>
        </w:rPr>
        <w:t xml:space="preserve">, </w:t>
      </w:r>
      <w:r>
        <w:rPr>
          <w:rFonts w:ascii="Times New Roman Regular" w:hAnsi="Times New Roman Regular" w:cs="Times New Roman Regular"/>
          <w:i/>
          <w:iCs/>
        </w:rPr>
        <w:t>MMP13</w:t>
      </w:r>
      <w:r>
        <w:rPr>
          <w:rFonts w:ascii="Times New Roman Regular" w:hAnsi="Times New Roman Regular" w:cs="Times New Roman Regular"/>
        </w:rPr>
        <w:t xml:space="preserve"> and </w:t>
      </w:r>
      <w:r>
        <w:rPr>
          <w:rFonts w:ascii="Times New Roman Regular" w:hAnsi="Times New Roman Regular" w:cs="Times New Roman Regular"/>
          <w:i/>
          <w:iCs/>
        </w:rPr>
        <w:t>ADAMTS5</w:t>
      </w:r>
      <w:r>
        <w:rPr>
          <w:rFonts w:ascii="Times New Roman Regular" w:hAnsi="Times New Roman Regular" w:cs="Times New Roman Regular"/>
        </w:rPr>
        <w:t xml:space="preserve"> expression across 8 different clusters cells identified in human normal and OA cartilage using scRNA-seq. (d) Quantification of positive staining based on representative immunofluorescence images of cPLA2 of cartilage from human or mice as shown in Fig</w:t>
      </w:r>
      <w:r>
        <w:rPr>
          <w:rFonts w:hint="default" w:ascii="Times New Roman Regular" w:hAnsi="Times New Roman Regular" w:cs="Times New Roman Regular"/>
          <w:lang w:val="en-US"/>
        </w:rPr>
        <w:t xml:space="preserve">. </w:t>
      </w:r>
      <w:r>
        <w:rPr>
          <w:rFonts w:ascii="Times New Roman Regular" w:hAnsi="Times New Roman Regular" w:cs="Times New Roman Regular"/>
        </w:rPr>
        <w:t>1</w:t>
      </w:r>
      <w:r>
        <w:rPr>
          <w:rFonts w:hint="eastAsia" w:ascii="Times New Roman Regular" w:hAnsi="Times New Roman Regular" w:cs="Times New Roman Regular"/>
          <w:lang w:val="en-US" w:eastAsia="zh-CN"/>
        </w:rPr>
        <w:t>e</w:t>
      </w:r>
      <w:r>
        <w:rPr>
          <w:rFonts w:ascii="Times New Roman Regular" w:hAnsi="Times New Roman Regular" w:cs="Times New Roman Regular"/>
        </w:rPr>
        <w:t xml:space="preserve">, </w:t>
      </w:r>
      <w:r>
        <w:rPr>
          <w:rFonts w:hint="eastAsia" w:ascii="Times New Roman Regular" w:hAnsi="Times New Roman Regular" w:cs="Times New Roman Regular"/>
          <w:lang w:val="en-US" w:eastAsia="zh-CN"/>
        </w:rPr>
        <w:t>f</w:t>
      </w:r>
      <w:r>
        <w:rPr>
          <w:rFonts w:ascii="Times New Roman Regular" w:hAnsi="Times New Roman Regular" w:cs="Times New Roman Regular"/>
        </w:rPr>
        <w:t>) (n=6). (</w:t>
      </w:r>
      <w:r>
        <w:rPr>
          <w:rFonts w:hint="eastAsia" w:ascii="Times New Roman Regular" w:hAnsi="Times New Roman Regular" w:cs="Times New Roman Regular"/>
          <w:lang w:val="en-US" w:eastAsia="zh-CN"/>
        </w:rPr>
        <w:t>e</w:t>
      </w:r>
      <w:r>
        <w:rPr>
          <w:rFonts w:ascii="Times New Roman Regular" w:hAnsi="Times New Roman Regular" w:cs="Times New Roman Regular"/>
        </w:rPr>
        <w:t>) RT-qPCR analysis of</w:t>
      </w:r>
      <w:r>
        <w:rPr>
          <w:rFonts w:ascii="Times New Roman Regular" w:hAnsi="Times New Roman Regular" w:cs="Times New Roman Regular"/>
          <w:i/>
          <w:iCs/>
        </w:rPr>
        <w:t xml:space="preserve"> cPLA2</w:t>
      </w:r>
      <w:r>
        <w:rPr>
          <w:rFonts w:ascii="Times New Roman Regular" w:hAnsi="Times New Roman Regular" w:cs="Times New Roman Regular"/>
        </w:rPr>
        <w:t xml:space="preserve"> mRNA levels in primary human OA chondrocytes treated with 10 ng/mL TNF-α, 1 ng/mL VP-16 or </w:t>
      </w:r>
      <w:r>
        <w:rPr>
          <w:rFonts w:hint="eastAsia" w:ascii="Times New Roman Regular" w:hAnsi="Times New Roman Regular" w:cs="Times New Roman Regular"/>
        </w:rPr>
        <w:t>10µM</w:t>
      </w:r>
      <w:r>
        <w:rPr>
          <w:rFonts w:ascii="Times New Roman Regular" w:hAnsi="Times New Roman Regular" w:cs="Times New Roman Regular"/>
        </w:rPr>
        <w:t xml:space="preserve"> H</w:t>
      </w:r>
      <w:r>
        <w:rPr>
          <w:rFonts w:ascii="Times New Roman Regular" w:hAnsi="Times New Roman Regular" w:cs="Times New Roman Regular"/>
          <w:vertAlign w:val="subscript"/>
        </w:rPr>
        <w:t>2</w:t>
      </w:r>
      <w:r>
        <w:rPr>
          <w:rFonts w:ascii="Times New Roman Regular" w:hAnsi="Times New Roman Regular" w:cs="Times New Roman Regular"/>
        </w:rPr>
        <w:t>O</w:t>
      </w:r>
      <w:r>
        <w:rPr>
          <w:rFonts w:ascii="Times New Roman Regular" w:hAnsi="Times New Roman Regular" w:cs="Times New Roman Regular"/>
          <w:vertAlign w:val="subscript"/>
        </w:rPr>
        <w:t>2</w:t>
      </w:r>
      <w:r>
        <w:rPr>
          <w:rFonts w:ascii="Times New Roman Regular" w:hAnsi="Times New Roman Regular" w:cs="Times New Roman Regular"/>
        </w:rPr>
        <w:t xml:space="preserve"> for 24 hours (n = 3). </w:t>
      </w:r>
    </w:p>
    <w:p>
      <w:pPr>
        <w:tabs>
          <w:tab w:val="left" w:pos="312"/>
        </w:tabs>
        <w:spacing w:line="360" w:lineRule="auto"/>
        <w:rPr>
          <w:rFonts w:ascii="Times New Roman Regular" w:hAnsi="Times New Roman Regular" w:cs="Times New Roman Regular"/>
        </w:rPr>
      </w:pPr>
      <w:r>
        <w:rPr>
          <w:rFonts w:ascii="Times New Roman Regular" w:hAnsi="Times New Roman Regular" w:cs="Times New Roman Regular"/>
        </w:rPr>
        <w:t>(</w:t>
      </w:r>
      <w:r>
        <w:rPr>
          <w:rFonts w:hint="default" w:ascii="Times New Roman Regular" w:hAnsi="Times New Roman Regular" w:cs="Times New Roman Regular"/>
          <w:lang w:val="en-US"/>
        </w:rPr>
        <w:t>f,g</w:t>
      </w:r>
      <w:r>
        <w:rPr>
          <w:rFonts w:ascii="Times New Roman Regular" w:hAnsi="Times New Roman Regular" w:cs="Times New Roman Regular"/>
        </w:rPr>
        <w:t>) Western blot analysis (</w:t>
      </w:r>
      <w:r>
        <w:rPr>
          <w:rFonts w:hint="default" w:ascii="Times New Roman Regular" w:hAnsi="Times New Roman Regular" w:cs="Times New Roman Regular"/>
          <w:lang w:val="en-US"/>
        </w:rPr>
        <w:t>f</w:t>
      </w:r>
      <w:r>
        <w:rPr>
          <w:rFonts w:ascii="Times New Roman Regular" w:hAnsi="Times New Roman Regular" w:cs="Times New Roman Regular"/>
        </w:rPr>
        <w:t>) and quantification (</w:t>
      </w:r>
      <w:r>
        <w:rPr>
          <w:rFonts w:hint="default" w:ascii="Times New Roman Regular" w:hAnsi="Times New Roman Regular" w:cs="Times New Roman Regular"/>
          <w:lang w:val="en-US"/>
        </w:rPr>
        <w:t>g</w:t>
      </w:r>
      <w:r>
        <w:rPr>
          <w:rFonts w:ascii="Times New Roman Regular" w:hAnsi="Times New Roman Regular" w:cs="Times New Roman Regular"/>
        </w:rPr>
        <w:t>) of cPLA2 and MMP13 expression in primary human OA chondrocytes treated with 10 ng/mL TNF-α for 48 hours (n = 3). (</w:t>
      </w:r>
      <w:r>
        <w:rPr>
          <w:rFonts w:hint="default" w:ascii="Times New Roman Regular" w:hAnsi="Times New Roman Regular" w:cs="Times New Roman Regular"/>
          <w:lang w:val="en-US"/>
        </w:rPr>
        <w:t>h,i</w:t>
      </w:r>
      <w:r>
        <w:rPr>
          <w:rFonts w:ascii="Times New Roman Regular" w:hAnsi="Times New Roman Regular" w:cs="Times New Roman Regular"/>
        </w:rPr>
        <w:t>)Western blot analysis (</w:t>
      </w:r>
      <w:r>
        <w:rPr>
          <w:rFonts w:hint="default" w:ascii="Times New Roman Regular" w:hAnsi="Times New Roman Regular" w:cs="Times New Roman Regular"/>
          <w:lang w:val="en-US"/>
        </w:rPr>
        <w:t>h</w:t>
      </w:r>
      <w:r>
        <w:rPr>
          <w:rFonts w:ascii="Times New Roman Regular" w:hAnsi="Times New Roman Regular" w:cs="Times New Roman Regular"/>
        </w:rPr>
        <w:t>) and quantification (</w:t>
      </w:r>
      <w:r>
        <w:rPr>
          <w:rFonts w:hint="default" w:ascii="Times New Roman Regular" w:hAnsi="Times New Roman Regular" w:cs="Times New Roman Regular"/>
          <w:lang w:val="en-US"/>
        </w:rPr>
        <w:t>i</w:t>
      </w:r>
      <w:r>
        <w:rPr>
          <w:rFonts w:ascii="Times New Roman Regular" w:hAnsi="Times New Roman Regular" w:cs="Times New Roman Regular"/>
        </w:rPr>
        <w:t>) of cPLA2 and p21 expression in primary human OA chondrocytes treated with various concentrations of H</w:t>
      </w:r>
      <w:r>
        <w:rPr>
          <w:rFonts w:ascii="Times New Roman Regular" w:hAnsi="Times New Roman Regular" w:cs="Times New Roman Regular"/>
          <w:vertAlign w:val="subscript"/>
        </w:rPr>
        <w:t>2</w:t>
      </w:r>
      <w:r>
        <w:rPr>
          <w:rFonts w:ascii="Times New Roman Regular" w:hAnsi="Times New Roman Regular" w:cs="Times New Roman Regular"/>
        </w:rPr>
        <w:t>O</w:t>
      </w:r>
      <w:r>
        <w:rPr>
          <w:rFonts w:ascii="Times New Roman Regular" w:hAnsi="Times New Roman Regular" w:cs="Times New Roman Regular"/>
          <w:vertAlign w:val="subscript"/>
        </w:rPr>
        <w:t>2</w:t>
      </w:r>
      <w:r>
        <w:rPr>
          <w:rFonts w:ascii="Times New Roman Regular" w:hAnsi="Times New Roman Regular" w:cs="Times New Roman Regular"/>
        </w:rPr>
        <w:t xml:space="preserve"> for 24 hours (n = 3).</w:t>
      </w:r>
      <w:r>
        <w:rPr>
          <w:rFonts w:hint="eastAsia" w:ascii="Times New Roman Regular" w:hAnsi="Times New Roman Regular" w:cs="Times New Roman Regular"/>
        </w:rPr>
        <w:t xml:space="preserve"> </w:t>
      </w:r>
      <w:r>
        <w:rPr>
          <w:rFonts w:ascii="Times New Roman Regular" w:hAnsi="Times New Roman Regular" w:cs="Times New Roman Regular"/>
        </w:rPr>
        <w:t>(</w:t>
      </w:r>
      <w:r>
        <w:rPr>
          <w:rFonts w:hint="default" w:ascii="Times New Roman Regular" w:hAnsi="Times New Roman Regular" w:cs="Times New Roman Regular"/>
          <w:lang w:val="en-US"/>
        </w:rPr>
        <w:t>j,</w:t>
      </w:r>
      <w:r>
        <w:rPr>
          <w:rFonts w:ascii="Times New Roman Regular" w:hAnsi="Times New Roman Regular" w:cs="Times New Roman Regular"/>
        </w:rPr>
        <w:t>k) Western blot analysis (</w:t>
      </w:r>
      <w:r>
        <w:rPr>
          <w:rFonts w:hint="default" w:ascii="Times New Roman Regular" w:hAnsi="Times New Roman Regular" w:cs="Times New Roman Regular"/>
          <w:lang w:val="en-US"/>
        </w:rPr>
        <w:t>j</w:t>
      </w:r>
      <w:r>
        <w:rPr>
          <w:rFonts w:ascii="Times New Roman Regular" w:hAnsi="Times New Roman Regular" w:cs="Times New Roman Regular"/>
        </w:rPr>
        <w:t>) and quantification (</w:t>
      </w:r>
      <w:r>
        <w:rPr>
          <w:rFonts w:hint="default" w:ascii="Times New Roman Regular" w:hAnsi="Times New Roman Regular" w:cs="Times New Roman Regular"/>
          <w:lang w:val="en-US"/>
        </w:rPr>
        <w:t>k</w:t>
      </w:r>
      <w:r>
        <w:rPr>
          <w:rFonts w:ascii="Times New Roman Regular" w:hAnsi="Times New Roman Regular" w:cs="Times New Roman Regular"/>
        </w:rPr>
        <w:t>) of cPLA2 and p21 expression in primary human OA chondrocytes treated with various concentrations of VP-16 for 24 hours (n = 3). d</w:t>
      </w:r>
      <w:r>
        <w:rPr>
          <w:rFonts w:hint="default" w:ascii="Times New Roman Regular" w:hAnsi="Times New Roman Regular" w:cs="Times New Roman Regular"/>
          <w:lang w:val="en-US"/>
        </w:rPr>
        <w:t>,e,g</w:t>
      </w:r>
      <w:r>
        <w:rPr>
          <w:rFonts w:ascii="Times New Roman Regular" w:hAnsi="Times New Roman Regular" w:cs="Times New Roman Regular"/>
        </w:rPr>
        <w:t xml:space="preserve">, Data are mean±s.d., </w:t>
      </w:r>
      <w:r>
        <w:rPr>
          <w:rFonts w:ascii="Times New Roman Regular" w:hAnsi="Times New Roman Regular" w:cs="Times New Roman Regular"/>
          <w:i/>
          <w:iCs/>
        </w:rPr>
        <w:t xml:space="preserve">P </w:t>
      </w:r>
      <w:r>
        <w:rPr>
          <w:rFonts w:ascii="Times New Roman Regular" w:hAnsi="Times New Roman Regular" w:cs="Times New Roman Regular"/>
        </w:rPr>
        <w:t xml:space="preserve">values by two-tailed unpaired Student’s </w:t>
      </w:r>
      <w:r>
        <w:rPr>
          <w:rFonts w:ascii="Times New Roman Regular" w:hAnsi="Times New Roman Regular" w:cs="Times New Roman Regular"/>
          <w:i/>
          <w:iCs/>
        </w:rPr>
        <w:t>t</w:t>
      </w:r>
      <w:r>
        <w:rPr>
          <w:rFonts w:ascii="Times New Roman Regular" w:hAnsi="Times New Roman Regular" w:cs="Times New Roman Regular"/>
        </w:rPr>
        <w:t>-test. i,</w:t>
      </w:r>
      <w:r>
        <w:rPr>
          <w:rFonts w:hint="default" w:ascii="Times New Roman Regular" w:hAnsi="Times New Roman Regular" w:cs="Times New Roman Regular"/>
          <w:lang w:val="en-US"/>
        </w:rPr>
        <w:t>k</w:t>
      </w:r>
      <w:r>
        <w:rPr>
          <w:rFonts w:ascii="Times New Roman Regular" w:hAnsi="Times New Roman Regular" w:cs="Times New Roman Regular"/>
        </w:rPr>
        <w:t xml:space="preserve">, Data are mean±s.d., </w:t>
      </w:r>
      <w:r>
        <w:rPr>
          <w:rFonts w:ascii="Times New Roman Regular" w:hAnsi="Times New Roman Regular" w:cs="Times New Roman Regular"/>
          <w:i/>
          <w:iCs/>
        </w:rPr>
        <w:t xml:space="preserve">P </w:t>
      </w:r>
      <w:r>
        <w:rPr>
          <w:rFonts w:ascii="Times New Roman Regular" w:hAnsi="Times New Roman Regular" w:cs="Times New Roman Regular"/>
        </w:rPr>
        <w:t>values by one way ANOVA with Bonferroni post hoc test.</w:t>
      </w:r>
    </w:p>
    <w:p>
      <w:pPr>
        <w:tabs>
          <w:tab w:val="left" w:pos="312"/>
        </w:tabs>
        <w:spacing w:line="360" w:lineRule="auto"/>
        <w:rPr>
          <w:rFonts w:ascii="Times New Roman Regular" w:hAnsi="Times New Roman Regular" w:cs="Times New Roman Regular"/>
        </w:rPr>
      </w:pPr>
    </w:p>
    <w:p>
      <w:pPr>
        <w:tabs>
          <w:tab w:val="left" w:pos="312"/>
        </w:tabs>
        <w:spacing w:line="360" w:lineRule="auto"/>
        <w:rPr>
          <w:rFonts w:ascii="Times New Roman Regular" w:hAnsi="Times New Roman Regular" w:cs="Times New Roman Regular"/>
        </w:rPr>
      </w:pPr>
    </w:p>
    <w:p>
      <w:pPr>
        <w:tabs>
          <w:tab w:val="left" w:pos="312"/>
        </w:tabs>
        <w:spacing w:line="360" w:lineRule="auto"/>
        <w:rPr>
          <w:rFonts w:ascii="Times New Roman Regular" w:hAnsi="Times New Roman Regular" w:cs="Times New Roman Regular"/>
        </w:rPr>
      </w:pPr>
    </w:p>
    <w:p>
      <w:pPr>
        <w:tabs>
          <w:tab w:val="left" w:pos="312"/>
        </w:tabs>
        <w:spacing w:line="360" w:lineRule="auto"/>
        <w:rPr>
          <w:rFonts w:ascii="Times New Roman Regular" w:hAnsi="Times New Roman Regular" w:cs="Times New Roman Regular"/>
        </w:rPr>
      </w:pPr>
    </w:p>
    <w:p>
      <w:pPr>
        <w:tabs>
          <w:tab w:val="left" w:pos="312"/>
        </w:tabs>
        <w:spacing w:line="360" w:lineRule="auto"/>
        <w:rPr>
          <w:rFonts w:ascii="Times New Roman Regular" w:hAnsi="Times New Roman Regular" w:cs="Times New Roman Regular"/>
        </w:rPr>
      </w:pPr>
    </w:p>
    <w:p>
      <w:pPr>
        <w:tabs>
          <w:tab w:val="left" w:pos="312"/>
        </w:tabs>
        <w:spacing w:line="360" w:lineRule="auto"/>
        <w:rPr>
          <w:rFonts w:ascii="Times New Roman Regular" w:hAnsi="Times New Roman Regular" w:cs="Times New Roman Regular"/>
        </w:rPr>
      </w:pPr>
    </w:p>
    <w:p>
      <w:pPr>
        <w:tabs>
          <w:tab w:val="left" w:pos="312"/>
        </w:tabs>
        <w:spacing w:line="360" w:lineRule="auto"/>
        <w:jc w:val="center"/>
        <w:rPr>
          <w:rFonts w:ascii="Times New Roman Regular" w:hAnsi="Times New Roman Regular" w:cs="Times New Roman Regular"/>
        </w:rPr>
      </w:pPr>
      <w:r>
        <w:rPr>
          <w:rFonts w:hint="eastAsia" w:ascii="Times New Roman Regular" w:hAnsi="Times New Roman Regular" w:cs="Times New Roman Regular" w:eastAsiaTheme="minorEastAsia"/>
          <w:lang w:eastAsia="zh-CN"/>
        </w:rPr>
        <w:drawing>
          <wp:inline distT="0" distB="0" distL="114300" distR="114300">
            <wp:extent cx="4745990" cy="4014470"/>
            <wp:effectExtent l="0" t="0" r="3810" b="24130"/>
            <wp:docPr id="2" name="图片 2" descr="Supplemental 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l Fig. 2"/>
                    <pic:cNvPicPr>
                      <a:picLocks noChangeAspect="1"/>
                    </pic:cNvPicPr>
                  </pic:nvPicPr>
                  <pic:blipFill>
                    <a:blip r:embed="rId6"/>
                    <a:stretch>
                      <a:fillRect/>
                    </a:stretch>
                  </pic:blipFill>
                  <pic:spPr>
                    <a:xfrm>
                      <a:off x="0" y="0"/>
                      <a:ext cx="4745990" cy="4014470"/>
                    </a:xfrm>
                    <a:prstGeom prst="rect">
                      <a:avLst/>
                    </a:prstGeom>
                  </pic:spPr>
                </pic:pic>
              </a:graphicData>
            </a:graphic>
          </wp:inline>
        </w:drawing>
      </w:r>
    </w:p>
    <w:p>
      <w:pPr>
        <w:spacing w:line="360" w:lineRule="auto"/>
        <w:rPr>
          <w:rFonts w:hint="default" w:ascii="Times New Roman Regular" w:hAnsi="Times New Roman Regular" w:cs="Times New Roman Regular"/>
          <w:b/>
          <w:bCs/>
          <w:sz w:val="21"/>
          <w:szCs w:val="21"/>
        </w:rPr>
      </w:pPr>
      <w:r>
        <w:rPr>
          <w:rFonts w:hint="default" w:ascii="Times New Roman Regular" w:hAnsi="Times New Roman Regular" w:cs="Times New Roman Regular"/>
          <w:b/>
          <w:bCs/>
          <w:sz w:val="21"/>
          <w:szCs w:val="21"/>
        </w:rPr>
        <w:t xml:space="preserve">Fig. S2. Pharmacologically inhibition of cPLA2 regulates the expression of genes related to chondrocyte senescence. </w:t>
      </w:r>
      <w:r>
        <w:rPr>
          <w:rFonts w:hint="default" w:ascii="Times New Roman Regular" w:hAnsi="Times New Roman Regular" w:cs="Times New Roman Regular"/>
          <w:sz w:val="21"/>
          <w:szCs w:val="21"/>
        </w:rPr>
        <w:t>(</w:t>
      </w:r>
      <w:r>
        <w:rPr>
          <w:rFonts w:hint="default" w:ascii="Times New Roman Regular" w:hAnsi="Times New Roman Regular" w:cs="Times New Roman Regular"/>
          <w:sz w:val="21"/>
          <w:szCs w:val="21"/>
          <w:lang w:val="en-US"/>
        </w:rPr>
        <w:t>a</w:t>
      </w: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sz w:val="21"/>
          <w:szCs w:val="21"/>
          <w:lang w:val="en-US"/>
        </w:rPr>
        <w:t>Q</w:t>
      </w:r>
      <w:r>
        <w:rPr>
          <w:rFonts w:hint="default" w:ascii="Times New Roman Regular" w:hAnsi="Times New Roman Regular" w:cs="Times New Roman Regular"/>
          <w:sz w:val="21"/>
          <w:szCs w:val="21"/>
        </w:rPr>
        <w:t>uantification</w:t>
      </w:r>
      <w:r>
        <w:rPr>
          <w:rFonts w:hint="default" w:ascii="Times New Roman Regular" w:hAnsi="Times New Roman Regular" w:cs="Times New Roman Regular"/>
          <w:sz w:val="21"/>
          <w:szCs w:val="21"/>
          <w:lang w:val="en-US"/>
        </w:rPr>
        <w:t xml:space="preserve"> </w:t>
      </w:r>
      <w:r>
        <w:rPr>
          <w:rFonts w:hint="default" w:ascii="Times New Roman Regular" w:hAnsi="Times New Roman Regular" w:cs="Times New Roman Regular"/>
          <w:sz w:val="21"/>
          <w:szCs w:val="21"/>
        </w:rPr>
        <w:t>of p16</w:t>
      </w:r>
      <w:r>
        <w:rPr>
          <w:rFonts w:hint="default" w:ascii="Times New Roman Regular" w:hAnsi="Times New Roman Regular" w:cs="Times New Roman Regular"/>
          <w:sz w:val="21"/>
          <w:szCs w:val="21"/>
          <w:lang w:val="en-US"/>
        </w:rPr>
        <w:t xml:space="preserve">, </w:t>
      </w:r>
      <w:r>
        <w:rPr>
          <w:rFonts w:hint="default" w:ascii="Times New Roman Regular" w:hAnsi="Times New Roman Regular" w:cs="Times New Roman Regular"/>
          <w:sz w:val="21"/>
          <w:szCs w:val="21"/>
        </w:rPr>
        <w:t>p21</w:t>
      </w:r>
      <w:r>
        <w:rPr>
          <w:rFonts w:hint="default" w:ascii="Times New Roman Regular" w:hAnsi="Times New Roman Regular" w:cs="Times New Roman Regular"/>
          <w:sz w:val="21"/>
          <w:szCs w:val="21"/>
          <w:lang w:val="en-US"/>
        </w:rPr>
        <w:t xml:space="preserve"> and</w:t>
      </w:r>
      <w:r>
        <w:rPr>
          <w:rFonts w:hint="default" w:ascii="Times New Roman Regular" w:hAnsi="Times New Roman Regular" w:cs="Times New Roman Regular"/>
          <w:sz w:val="21"/>
          <w:szCs w:val="21"/>
        </w:rPr>
        <w:t xml:space="preserve"> γH2AX and expression in primary human OA chondrocytes treated with 10µM H</w:t>
      </w:r>
      <w:r>
        <w:rPr>
          <w:rFonts w:hint="default" w:ascii="Times New Roman Regular" w:hAnsi="Times New Roman Regular" w:cs="Times New Roman Regular"/>
          <w:sz w:val="21"/>
          <w:szCs w:val="21"/>
          <w:vertAlign w:val="subscript"/>
        </w:rPr>
        <w:t>2</w:t>
      </w:r>
      <w:r>
        <w:rPr>
          <w:rFonts w:hint="default" w:ascii="Times New Roman Regular" w:hAnsi="Times New Roman Regular" w:cs="Times New Roman Regular"/>
          <w:sz w:val="21"/>
          <w:szCs w:val="21"/>
        </w:rPr>
        <w:t>O</w:t>
      </w:r>
      <w:r>
        <w:rPr>
          <w:rFonts w:hint="default" w:ascii="Times New Roman Regular" w:hAnsi="Times New Roman Regular" w:cs="Times New Roman Regular"/>
          <w:sz w:val="21"/>
          <w:szCs w:val="21"/>
          <w:vertAlign w:val="subscript"/>
        </w:rPr>
        <w:t>2</w:t>
      </w:r>
      <w:r>
        <w:rPr>
          <w:rFonts w:hint="default" w:ascii="Times New Roman Regular" w:hAnsi="Times New Roman Regular" w:cs="Times New Roman Regular"/>
          <w:sz w:val="21"/>
          <w:szCs w:val="21"/>
        </w:rPr>
        <w:t xml:space="preserve"> and different concentrations of FFD (n = 3). (</w:t>
      </w:r>
      <w:r>
        <w:rPr>
          <w:rFonts w:hint="default" w:ascii="Times New Roman Regular" w:hAnsi="Times New Roman Regular" w:cs="Times New Roman Regular"/>
          <w:sz w:val="21"/>
          <w:szCs w:val="21"/>
          <w:lang w:val="en-US"/>
        </w:rPr>
        <w:t>b</w:t>
      </w: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sz w:val="21"/>
          <w:szCs w:val="21"/>
          <w:lang w:val="en-US"/>
        </w:rPr>
        <w:t>Q</w:t>
      </w:r>
      <w:r>
        <w:rPr>
          <w:rFonts w:hint="default" w:ascii="Times New Roman Regular" w:hAnsi="Times New Roman Regular" w:cs="Times New Roman Regular"/>
          <w:sz w:val="21"/>
          <w:szCs w:val="21"/>
        </w:rPr>
        <w:t>uantification of p16</w:t>
      </w:r>
      <w:r>
        <w:rPr>
          <w:rFonts w:hint="default" w:ascii="Times New Roman Regular" w:hAnsi="Times New Roman Regular" w:cs="Times New Roman Regular"/>
          <w:sz w:val="21"/>
          <w:szCs w:val="21"/>
          <w:lang w:val="en-US"/>
        </w:rPr>
        <w:t xml:space="preserve">, </w:t>
      </w:r>
      <w:r>
        <w:rPr>
          <w:rFonts w:hint="default" w:ascii="Times New Roman Regular" w:hAnsi="Times New Roman Regular" w:cs="Times New Roman Regular"/>
          <w:sz w:val="21"/>
          <w:szCs w:val="21"/>
        </w:rPr>
        <w:t>p21</w:t>
      </w:r>
      <w:r>
        <w:rPr>
          <w:rFonts w:hint="default" w:ascii="Times New Roman Regular" w:hAnsi="Times New Roman Regular" w:cs="Times New Roman Regular"/>
          <w:sz w:val="21"/>
          <w:szCs w:val="21"/>
          <w:lang w:val="en-US"/>
        </w:rPr>
        <w:t xml:space="preserve"> and</w:t>
      </w:r>
      <w:r>
        <w:rPr>
          <w:rFonts w:hint="default" w:ascii="Times New Roman Regular" w:hAnsi="Times New Roman Regular" w:cs="Times New Roman Regular"/>
          <w:sz w:val="21"/>
          <w:szCs w:val="21"/>
        </w:rPr>
        <w:t xml:space="preserve"> γH2AX expression in primary human OA chondrocytes treated with 1 ng/mL VP-16 and carying concentrations of FFD</w:t>
      </w:r>
      <w:r>
        <w:rPr>
          <w:rFonts w:hint="default" w:ascii="Times New Roman Regular" w:hAnsi="Times New Roman Regular" w:cs="Times New Roman Regular"/>
          <w:sz w:val="21"/>
          <w:szCs w:val="21"/>
          <w:lang w:val="en-US"/>
        </w:rPr>
        <w:t xml:space="preserve"> </w:t>
      </w:r>
      <w:r>
        <w:rPr>
          <w:rFonts w:hint="default" w:ascii="Times New Roman Regular" w:hAnsi="Times New Roman Regular" w:cs="Times New Roman Regular"/>
          <w:sz w:val="21"/>
          <w:szCs w:val="21"/>
        </w:rPr>
        <w:t>(n = 3).</w:t>
      </w:r>
      <w:r>
        <w:rPr>
          <w:rFonts w:hint="default" w:ascii="Times New Roman Regular" w:hAnsi="Times New Roman Regular" w:cs="Times New Roman Regular"/>
          <w:sz w:val="21"/>
          <w:szCs w:val="21"/>
          <w:lang w:val="en-US"/>
        </w:rPr>
        <w:t xml:space="preserve"> a,b</w:t>
      </w:r>
      <w:r>
        <w:rPr>
          <w:rFonts w:hint="default" w:ascii="Times New Roman Regular" w:hAnsi="Times New Roman Regular" w:cs="Times New Roman Regular"/>
          <w:sz w:val="21"/>
          <w:szCs w:val="21"/>
        </w:rPr>
        <w:t xml:space="preserve">, Data are mean±s.d., </w:t>
      </w:r>
      <w:r>
        <w:rPr>
          <w:rFonts w:hint="default" w:ascii="Times New Roman Regular" w:hAnsi="Times New Roman Regular" w:cs="Times New Roman Regular"/>
          <w:i/>
          <w:iCs/>
          <w:sz w:val="21"/>
          <w:szCs w:val="21"/>
        </w:rPr>
        <w:t xml:space="preserve">P </w:t>
      </w:r>
      <w:r>
        <w:rPr>
          <w:rFonts w:hint="default" w:ascii="Times New Roman Regular" w:hAnsi="Times New Roman Regular" w:cs="Times New Roman Regular"/>
          <w:sz w:val="21"/>
          <w:szCs w:val="21"/>
        </w:rPr>
        <w:t>values by one way ANOVA with Bonferroni post hoc test.</w:t>
      </w:r>
    </w:p>
    <w:p>
      <w:pPr>
        <w:spacing w:line="360" w:lineRule="auto"/>
        <w:rPr>
          <w:rFonts w:ascii="Times New Roman Regular" w:hAnsi="Times New Roman Regular" w:cs="Times New Roman Regular"/>
          <w:b/>
          <w:bCs/>
        </w:rPr>
      </w:pPr>
    </w:p>
    <w:p>
      <w:pPr>
        <w:spacing w:line="360" w:lineRule="auto"/>
        <w:rPr>
          <w:rFonts w:ascii="Times New Roman Regular" w:hAnsi="Times New Roman Regular" w:cs="Times New Roman Regular"/>
          <w:b/>
          <w:bCs/>
        </w:rPr>
      </w:pPr>
    </w:p>
    <w:p>
      <w:pPr>
        <w:spacing w:line="360" w:lineRule="auto"/>
        <w:rPr>
          <w:rFonts w:ascii="Times New Roman Regular" w:hAnsi="Times New Roman Regular" w:cs="Times New Roman Regular"/>
          <w:b/>
          <w:bCs/>
        </w:rPr>
      </w:pPr>
    </w:p>
    <w:p>
      <w:pPr>
        <w:spacing w:line="360" w:lineRule="auto"/>
        <w:rPr>
          <w:rFonts w:ascii="Times New Roman Regular" w:hAnsi="Times New Roman Regular" w:cs="Times New Roman Regular"/>
          <w:b/>
          <w:bCs/>
        </w:rPr>
      </w:pPr>
    </w:p>
    <w:p>
      <w:pPr>
        <w:tabs>
          <w:tab w:val="left" w:pos="312"/>
        </w:tabs>
        <w:spacing w:line="360" w:lineRule="auto"/>
        <w:rPr>
          <w:rFonts w:hint="eastAsia" w:ascii="Times New Roman Regular" w:hAnsi="Times New Roman Regular" w:cs="Times New Roman Regular" w:eastAsiaTheme="minorEastAsia"/>
          <w:lang w:eastAsia="zh-CN"/>
        </w:rPr>
      </w:pPr>
      <w:r>
        <w:rPr>
          <w:rFonts w:hint="eastAsia" w:ascii="Times New Roman Regular" w:hAnsi="Times New Roman Regular" w:cs="Times New Roman Regular" w:eastAsiaTheme="minorEastAsia"/>
          <w:lang w:eastAsia="zh-CN"/>
        </w:rPr>
        <w:drawing>
          <wp:inline distT="0" distB="0" distL="114300" distR="114300">
            <wp:extent cx="5271770" cy="7453630"/>
            <wp:effectExtent l="0" t="0" r="11430" b="13970"/>
            <wp:docPr id="3" name="图片 3" descr="Supplemental 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l Fig. 3"/>
                    <pic:cNvPicPr>
                      <a:picLocks noChangeAspect="1"/>
                    </pic:cNvPicPr>
                  </pic:nvPicPr>
                  <pic:blipFill>
                    <a:blip r:embed="rId7"/>
                    <a:stretch>
                      <a:fillRect/>
                    </a:stretch>
                  </pic:blipFill>
                  <pic:spPr>
                    <a:xfrm>
                      <a:off x="0" y="0"/>
                      <a:ext cx="5271770" cy="7453630"/>
                    </a:xfrm>
                    <a:prstGeom prst="rect">
                      <a:avLst/>
                    </a:prstGeom>
                  </pic:spPr>
                </pic:pic>
              </a:graphicData>
            </a:graphic>
          </wp:inline>
        </w:drawing>
      </w:r>
    </w:p>
    <w:p>
      <w:pPr>
        <w:tabs>
          <w:tab w:val="left" w:pos="312"/>
        </w:tabs>
        <w:spacing w:line="360" w:lineRule="auto"/>
        <w:jc w:val="center"/>
        <w:rPr>
          <w:rFonts w:ascii="Times New Roman Regular" w:hAnsi="Times New Roman Regular" w:cs="Times New Roman Regular"/>
        </w:rPr>
      </w:pPr>
    </w:p>
    <w:p>
      <w:pPr>
        <w:spacing w:line="360" w:lineRule="auto"/>
        <w:rPr>
          <w:rFonts w:ascii="Times New Roman Regular" w:hAnsi="Times New Roman Regular" w:cs="Times New Roman Regular"/>
        </w:rPr>
      </w:pPr>
      <w:r>
        <w:rPr>
          <w:rFonts w:ascii="Times New Roman Regular" w:hAnsi="Times New Roman Regular" w:cs="Times New Roman Regular"/>
          <w:b/>
          <w:bCs/>
        </w:rPr>
        <w:t xml:space="preserve">Fig. S3. FFD regulates chondrocyte metabolism and senescence depending on cPLA2 </w:t>
      </w:r>
      <w:r>
        <w:rPr>
          <w:rFonts w:ascii="Times New Roman Regular" w:hAnsi="Times New Roman Regular" w:cs="Times New Roman Regular"/>
          <w:b/>
          <w:bCs/>
          <w:i/>
          <w:iCs/>
        </w:rPr>
        <w:t>in vitro</w:t>
      </w:r>
      <w:r>
        <w:rPr>
          <w:rFonts w:ascii="Times New Roman Regular" w:hAnsi="Times New Roman Regular" w:cs="Times New Roman Regular"/>
          <w:b/>
          <w:bCs/>
        </w:rPr>
        <w:t xml:space="preserve">. </w:t>
      </w:r>
      <w:r>
        <w:rPr>
          <w:rFonts w:ascii="Times New Roman Regular" w:hAnsi="Times New Roman Regular" w:cs="Times New Roman Regular"/>
        </w:rPr>
        <w:t xml:space="preserve">(a) RT-qPCR analysis of </w:t>
      </w:r>
      <w:r>
        <w:rPr>
          <w:rFonts w:ascii="Times New Roman Regular" w:hAnsi="Times New Roman Regular" w:cs="Times New Roman Regular"/>
          <w:i/>
          <w:iCs/>
        </w:rPr>
        <w:t>COL2</w:t>
      </w:r>
      <w:r>
        <w:rPr>
          <w:rFonts w:ascii="Times New Roman Regular" w:hAnsi="Times New Roman Regular" w:cs="Times New Roman Regular"/>
        </w:rPr>
        <w:t xml:space="preserve"> and </w:t>
      </w:r>
      <w:r>
        <w:rPr>
          <w:rFonts w:ascii="Times New Roman Regular" w:hAnsi="Times New Roman Regular" w:cs="Times New Roman Regular"/>
          <w:i/>
          <w:iCs/>
        </w:rPr>
        <w:t>ACAN</w:t>
      </w:r>
      <w:r>
        <w:rPr>
          <w:rFonts w:ascii="Times New Roman Regular" w:hAnsi="Times New Roman Regular" w:cs="Times New Roman Regular"/>
        </w:rPr>
        <w:t>, mRNA levels in WT and cPLA2 KO C28/I2 cells treated with or without 10 μM FFD for 24 hrs.</w:t>
      </w:r>
      <w:r>
        <w:rPr>
          <w:rFonts w:ascii="Times New Roman Regular" w:hAnsi="Times New Roman Regular" w:cs="Times New Roman Regular"/>
          <w:i/>
          <w:iCs/>
        </w:rPr>
        <w:t xml:space="preserve"> </w:t>
      </w:r>
      <w:r>
        <w:rPr>
          <w:rFonts w:ascii="Times New Roman Regular" w:hAnsi="Times New Roman Regular" w:cs="Times New Roman Regular"/>
          <w:iCs/>
        </w:rPr>
        <w:t>mRNA levels of</w:t>
      </w:r>
      <w:r>
        <w:rPr>
          <w:rFonts w:ascii="Times New Roman Regular" w:hAnsi="Times New Roman Regular" w:cs="Times New Roman Regular"/>
          <w:i/>
          <w:iCs/>
        </w:rPr>
        <w:t xml:space="preserve"> MMP13</w:t>
      </w:r>
      <w:r>
        <w:rPr>
          <w:rFonts w:ascii="Times New Roman Regular" w:hAnsi="Times New Roman Regular" w:cs="Times New Roman Regular"/>
        </w:rPr>
        <w:t xml:space="preserve"> and </w:t>
      </w:r>
      <w:r>
        <w:rPr>
          <w:rFonts w:ascii="Times New Roman Regular" w:hAnsi="Times New Roman Regular" w:cs="Times New Roman Regular"/>
          <w:i/>
          <w:iCs/>
        </w:rPr>
        <w:t>ADAMTS5</w:t>
      </w:r>
      <w:r>
        <w:rPr>
          <w:rFonts w:ascii="Times New Roman Regular" w:hAnsi="Times New Roman Regular" w:cs="Times New Roman Regular"/>
        </w:rPr>
        <w:t xml:space="preserve"> in WT and cPLA2 KO C28/I2 cells treated with/without 10 ng/ml TNFa in the absence and presence of 10 μM FFD for 24 hrs (n = 3).</w:t>
      </w:r>
      <w:r>
        <w:rPr>
          <w:rFonts w:ascii="Times New Roman Regular" w:hAnsi="Times New Roman Regular" w:cs="Times New Roman Regular"/>
          <w:b/>
          <w:bCs/>
        </w:rPr>
        <w:t xml:space="preserve"> </w:t>
      </w:r>
      <w:r>
        <w:rPr>
          <w:rFonts w:ascii="Times New Roman Regular" w:hAnsi="Times New Roman Regular" w:cs="Times New Roman Regular"/>
        </w:rPr>
        <w:t xml:space="preserve">(b, c) Western blot analysis (b) and quantification (c) of p21, γH2AX, and p16 expression in WT and cPLA2 KO C28/I2 cells treated with/without </w:t>
      </w:r>
      <w:r>
        <w:rPr>
          <w:rFonts w:hint="eastAsia" w:ascii="Times New Roman Regular" w:hAnsi="Times New Roman Regular" w:cs="Times New Roman Regular"/>
        </w:rPr>
        <w:t>10µM</w:t>
      </w:r>
      <w:r>
        <w:rPr>
          <w:rFonts w:ascii="Times New Roman Regular" w:hAnsi="Times New Roman Regular" w:cs="Times New Roman Regular"/>
        </w:rPr>
        <w:t xml:space="preserve"> H</w:t>
      </w:r>
      <w:r>
        <w:rPr>
          <w:rFonts w:ascii="Times New Roman Regular" w:hAnsi="Times New Roman Regular" w:cs="Times New Roman Regular"/>
          <w:vertAlign w:val="subscript"/>
        </w:rPr>
        <w:t>2</w:t>
      </w:r>
      <w:r>
        <w:rPr>
          <w:rFonts w:ascii="Times New Roman Regular" w:hAnsi="Times New Roman Regular" w:cs="Times New Roman Regular"/>
        </w:rPr>
        <w:t>O</w:t>
      </w:r>
      <w:r>
        <w:rPr>
          <w:rFonts w:ascii="Times New Roman Regular" w:hAnsi="Times New Roman Regular" w:cs="Times New Roman Regular"/>
          <w:vertAlign w:val="subscript"/>
        </w:rPr>
        <w:t>2</w:t>
      </w:r>
      <w:r>
        <w:rPr>
          <w:rFonts w:ascii="Times New Roman Regular" w:hAnsi="Times New Roman Regular" w:cs="Times New Roman Regular"/>
        </w:rPr>
        <w:t>, and/or 10 μM FFD (n = 3).</w:t>
      </w:r>
      <w:r>
        <w:rPr>
          <w:rFonts w:ascii="Times New Roman Regular" w:hAnsi="Times New Roman Regular" w:cs="Times New Roman Regular"/>
          <w:b/>
          <w:bCs/>
        </w:rPr>
        <w:t xml:space="preserve"> </w:t>
      </w:r>
      <w:r>
        <w:rPr>
          <w:rFonts w:ascii="Times New Roman Regular" w:hAnsi="Times New Roman Regular" w:cs="Times New Roman Regular"/>
        </w:rPr>
        <w:t>(d, e) Western blot analysis (d) and quantification (e) of p21, γH2AX, and p16 expression in WT and cPLA2 KO C28/I2 cells treated with/without 1 ng/mL VP-16, and/or 10 μM FFD (n = 3).</w:t>
      </w:r>
      <w:r>
        <w:rPr>
          <w:rFonts w:ascii="Times New Roman Regular" w:hAnsi="Times New Roman Regular" w:cs="Times New Roman Regular"/>
          <w:b/>
          <w:bCs/>
        </w:rPr>
        <w:t xml:space="preserve"> </w:t>
      </w:r>
      <w:r>
        <w:rPr>
          <w:rFonts w:ascii="Times New Roman Regular" w:hAnsi="Times New Roman Regular" w:cs="Times New Roman Regular"/>
        </w:rPr>
        <w:t xml:space="preserve">(f, g) SA-β-gal staining (f) and quantification of SA-β-gal positive cells (g) of WT and cPLA2 KO C28/I2 cells treated with/without </w:t>
      </w:r>
      <w:r>
        <w:rPr>
          <w:rFonts w:hint="eastAsia" w:ascii="Times New Roman Regular" w:hAnsi="Times New Roman Regular" w:cs="Times New Roman Regular"/>
        </w:rPr>
        <w:t>10µM</w:t>
      </w:r>
      <w:r>
        <w:rPr>
          <w:rFonts w:ascii="Times New Roman Regular" w:hAnsi="Times New Roman Regular" w:cs="Times New Roman Regular"/>
        </w:rPr>
        <w:t xml:space="preserve"> H</w:t>
      </w:r>
      <w:r>
        <w:rPr>
          <w:rFonts w:ascii="Times New Roman Regular" w:hAnsi="Times New Roman Regular" w:cs="Times New Roman Regular"/>
          <w:vertAlign w:val="subscript"/>
        </w:rPr>
        <w:t>2</w:t>
      </w:r>
      <w:r>
        <w:rPr>
          <w:rFonts w:ascii="Times New Roman Regular" w:hAnsi="Times New Roman Regular" w:cs="Times New Roman Regular"/>
        </w:rPr>
        <w:t>O</w:t>
      </w:r>
      <w:r>
        <w:rPr>
          <w:rFonts w:ascii="Times New Roman Regular" w:hAnsi="Times New Roman Regular" w:cs="Times New Roman Regular"/>
          <w:vertAlign w:val="subscript"/>
        </w:rPr>
        <w:t>2</w:t>
      </w:r>
      <w:r>
        <w:rPr>
          <w:rFonts w:ascii="Times New Roman Regular" w:hAnsi="Times New Roman Regular" w:cs="Times New Roman Regular"/>
        </w:rPr>
        <w:t xml:space="preserve"> and/or 10 μM FFD for 48h (n = 3). Scale bar = 100 μm.</w:t>
      </w:r>
      <w:r>
        <w:rPr>
          <w:rFonts w:ascii="Times New Roman Regular" w:hAnsi="Times New Roman Regular" w:cs="Times New Roman Regular"/>
          <w:b/>
          <w:bCs/>
        </w:rPr>
        <w:t xml:space="preserve"> </w:t>
      </w:r>
      <w:r>
        <w:rPr>
          <w:rFonts w:ascii="Times New Roman Regular" w:hAnsi="Times New Roman Regular" w:cs="Times New Roman Regular"/>
        </w:rPr>
        <w:t xml:space="preserve">(h-i) SA-β-gal staining (h) and quantification of SA-β-gal positive cells (i) of WT and cPLA2 KO C28/I2 cells treated with 1 ng/mL VP-16 and/or 10 μM FFD for 48h (n = 3). Scale bar = 100 μm. a, c, e, g, i, Data are mean±s.d., </w:t>
      </w:r>
      <w:r>
        <w:rPr>
          <w:rFonts w:ascii="Times New Roman Regular" w:hAnsi="Times New Roman Regular" w:cs="Times New Roman Regular"/>
          <w:i/>
          <w:iCs/>
        </w:rPr>
        <w:t xml:space="preserve">P </w:t>
      </w:r>
      <w:r>
        <w:rPr>
          <w:rFonts w:ascii="Times New Roman Regular" w:hAnsi="Times New Roman Regular" w:cs="Times New Roman Regular"/>
        </w:rPr>
        <w:t>values by one way ANOVA with Bonferroni post hoc test.</w:t>
      </w:r>
    </w:p>
    <w:p>
      <w:pPr>
        <w:spacing w:line="360" w:lineRule="auto"/>
        <w:rPr>
          <w:rFonts w:ascii="Times New Roman Regular" w:hAnsi="Times New Roman Regular" w:cs="Times New Roman Regular"/>
        </w:rPr>
      </w:pPr>
    </w:p>
    <w:p>
      <w:pPr>
        <w:spacing w:line="360" w:lineRule="auto"/>
        <w:rPr>
          <w:rFonts w:ascii="Times New Roman Regular" w:hAnsi="Times New Roman Regular" w:cs="Times New Roman Regular"/>
        </w:rPr>
      </w:pPr>
    </w:p>
    <w:p>
      <w:pPr>
        <w:spacing w:line="360" w:lineRule="auto"/>
        <w:rPr>
          <w:rFonts w:ascii="Times New Roman Regular" w:hAnsi="Times New Roman Regular" w:cs="Times New Roman Regular"/>
        </w:rPr>
      </w:pPr>
    </w:p>
    <w:p>
      <w:pPr>
        <w:spacing w:line="360" w:lineRule="auto"/>
        <w:rPr>
          <w:rFonts w:ascii="Times New Roman Regular" w:hAnsi="Times New Roman Regular" w:cs="Times New Roman Regular"/>
        </w:rPr>
      </w:pPr>
      <w:r>
        <w:rPr>
          <w:rFonts w:hint="eastAsia" w:ascii="Times New Roman Regular" w:hAnsi="Times New Roman Regular" w:cs="Times New Roman Regular" w:eastAsiaTheme="minorEastAsia"/>
          <w:lang w:eastAsia="zh-CN"/>
        </w:rPr>
        <w:drawing>
          <wp:inline distT="0" distB="0" distL="114300" distR="114300">
            <wp:extent cx="5269230" cy="5412105"/>
            <wp:effectExtent l="0" t="0" r="13970" b="23495"/>
            <wp:docPr id="4" name="图片 4" descr="Supplemental 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l Fig. 4"/>
                    <pic:cNvPicPr>
                      <a:picLocks noChangeAspect="1"/>
                    </pic:cNvPicPr>
                  </pic:nvPicPr>
                  <pic:blipFill>
                    <a:blip r:embed="rId8"/>
                    <a:stretch>
                      <a:fillRect/>
                    </a:stretch>
                  </pic:blipFill>
                  <pic:spPr>
                    <a:xfrm>
                      <a:off x="0" y="0"/>
                      <a:ext cx="5269230" cy="5412105"/>
                    </a:xfrm>
                    <a:prstGeom prst="rect">
                      <a:avLst/>
                    </a:prstGeom>
                  </pic:spPr>
                </pic:pic>
              </a:graphicData>
            </a:graphic>
          </wp:inline>
        </w:drawing>
      </w:r>
    </w:p>
    <w:p>
      <w:pPr>
        <w:spacing w:line="360" w:lineRule="auto"/>
        <w:rPr>
          <w:rFonts w:hint="default" w:ascii="Times New Roman Regular" w:hAnsi="Times New Roman Regular" w:cs="Times New Roman Regular"/>
          <w:sz w:val="24"/>
          <w:szCs w:val="24"/>
        </w:rPr>
      </w:pPr>
      <w:r>
        <w:rPr>
          <w:rFonts w:ascii="Times New Roman Regular" w:hAnsi="Times New Roman Regular" w:cs="Times New Roman Regular"/>
          <w:b/>
          <w:bCs/>
        </w:rPr>
        <w:t xml:space="preserve">Fig. S4. Deletion of cPLA2 protects against surgically-induced OA. </w:t>
      </w:r>
      <w:r>
        <w:rPr>
          <w:rFonts w:hint="default" w:ascii="Times New Roman Regular" w:hAnsi="Times New Roman Regular" w:cs="Times New Roman Regular"/>
          <w:sz w:val="21"/>
          <w:szCs w:val="21"/>
        </w:rPr>
        <w:t>(</w:t>
      </w:r>
      <w:r>
        <w:rPr>
          <w:rFonts w:hint="default" w:ascii="Times New Roman Regular" w:hAnsi="Times New Roman Regular" w:cs="Times New Roman Regular"/>
          <w:sz w:val="21"/>
          <w:szCs w:val="21"/>
          <w:lang w:val="en-US"/>
        </w:rPr>
        <w:t>a,b</w:t>
      </w:r>
      <w:r>
        <w:rPr>
          <w:rFonts w:hint="default" w:ascii="Times New Roman Regular" w:hAnsi="Times New Roman Regular" w:cs="Times New Roman Regular"/>
          <w:sz w:val="21"/>
          <w:szCs w:val="21"/>
        </w:rPr>
        <w:t>) H&amp;E-stained knee joint sections from WT and cPLA2 KO mice, illustrating the synovium (b) and subchondral bone plate (c) with and without DMM surgery. Scale bar = 100 μm.</w:t>
      </w:r>
      <w:r>
        <w:rPr>
          <w:rFonts w:hint="default" w:ascii="Times New Roman Regular" w:hAnsi="Times New Roman Regular" w:cs="Times New Roman Regular"/>
          <w:b/>
          <w:bCs/>
          <w:sz w:val="21"/>
          <w:szCs w:val="21"/>
        </w:rPr>
        <w:t xml:space="preserve"> </w:t>
      </w:r>
      <w:r>
        <w:rPr>
          <w:rFonts w:hint="default" w:ascii="Times New Roman Regular" w:hAnsi="Times New Roman Regular" w:cs="Times New Roman Regular"/>
          <w:sz w:val="21"/>
          <w:szCs w:val="21"/>
        </w:rPr>
        <w:t>(</w:t>
      </w:r>
      <w:r>
        <w:rPr>
          <w:rFonts w:hint="default" w:ascii="Times New Roman Regular" w:hAnsi="Times New Roman Regular" w:cs="Times New Roman Regular"/>
          <w:sz w:val="21"/>
          <w:szCs w:val="21"/>
          <w:lang w:val="en-US"/>
        </w:rPr>
        <w:t>c</w:t>
      </w:r>
      <w:r>
        <w:rPr>
          <w:rFonts w:hint="default" w:ascii="Times New Roman Regular" w:hAnsi="Times New Roman Regular" w:cs="Times New Roman Regular"/>
          <w:sz w:val="21"/>
          <w:szCs w:val="21"/>
        </w:rPr>
        <w:t>) Quantification of OARSI scores, SBP thickness, osteophyte formation, and synovitis scores in knee joints from WT and cPLA2 KO mice (n = 7).</w:t>
      </w:r>
      <w:r>
        <w:rPr>
          <w:rFonts w:hint="default" w:ascii="Times New Roman Regular" w:hAnsi="Times New Roman Regular" w:cs="Times New Roman Regular"/>
          <w:b/>
          <w:bCs/>
          <w:sz w:val="21"/>
          <w:szCs w:val="21"/>
        </w:rPr>
        <w:t xml:space="preserve"> </w:t>
      </w:r>
      <w:r>
        <w:rPr>
          <w:rFonts w:hint="default" w:ascii="Times New Roman Regular" w:hAnsi="Times New Roman Regular" w:eastAsia="宋体" w:cs="Times New Roman Regular"/>
          <w:sz w:val="21"/>
          <w:szCs w:val="21"/>
          <w:lang w:bidi="ar"/>
        </w:rPr>
        <w:t>(d) Quantification of positive staining</w:t>
      </w:r>
      <w:r>
        <w:rPr>
          <w:rFonts w:hint="default" w:ascii="Times New Roman Regular" w:hAnsi="Times New Roman Regular" w:cs="Times New Roman Regular"/>
          <w:sz w:val="21"/>
          <w:szCs w:val="21"/>
        </w:rPr>
        <w:t xml:space="preserve"> of Col2, MMP13, aggrecan neoepitope, p16, and p21 in knee joint sections from WT and cPLA2 KO mice at 12 weeks after DMM surgery (n = 7). </w:t>
      </w:r>
      <w:r>
        <w:rPr>
          <w:rFonts w:hint="default" w:ascii="Times New Roman Regular" w:hAnsi="Times New Roman Regular" w:cs="Times New Roman Regular"/>
          <w:sz w:val="21"/>
          <w:szCs w:val="21"/>
          <w:lang w:val="en-US"/>
        </w:rPr>
        <w:t>c</w:t>
      </w:r>
      <w:r>
        <w:rPr>
          <w:rFonts w:hint="default" w:ascii="Times New Roman Regular" w:hAnsi="Times New Roman Regular" w:cs="Times New Roman Regular"/>
          <w:sz w:val="21"/>
          <w:szCs w:val="21"/>
        </w:rPr>
        <w:t xml:space="preserve">, </w:t>
      </w:r>
      <w:r>
        <w:rPr>
          <w:rFonts w:ascii="Times New Roman Regular" w:hAnsi="Times New Roman Regular" w:cs="Times New Roman Regular"/>
        </w:rPr>
        <w:t xml:space="preserve">Data are mean±s.d., </w:t>
      </w:r>
      <w:r>
        <w:rPr>
          <w:rFonts w:ascii="Times New Roman Regular" w:hAnsi="Times New Roman Regular" w:cs="Times New Roman Regular"/>
          <w:i/>
          <w:iCs/>
        </w:rPr>
        <w:t xml:space="preserve">P </w:t>
      </w:r>
      <w:r>
        <w:rPr>
          <w:rFonts w:ascii="Times New Roman Regular" w:hAnsi="Times New Roman Regular" w:cs="Times New Roman Regular"/>
        </w:rPr>
        <w:t>values by one way ANOVA with Bonferroni post hoc test.</w:t>
      </w:r>
      <w:r>
        <w:rPr>
          <w:rFonts w:hint="default" w:ascii="Times New Roman Regular" w:hAnsi="Times New Roman Regular" w:cs="Times New Roman Regular"/>
          <w:lang w:val="en-US"/>
        </w:rPr>
        <w:t xml:space="preserve"> </w:t>
      </w:r>
      <w:r>
        <w:rPr>
          <w:rFonts w:hint="default" w:ascii="Times New Roman Regular" w:hAnsi="Times New Roman Regular" w:cs="Times New Roman Regular"/>
          <w:sz w:val="21"/>
          <w:szCs w:val="21"/>
        </w:rPr>
        <w:t xml:space="preserve">d, Data are mean±s.d., </w:t>
      </w:r>
      <w:r>
        <w:rPr>
          <w:rFonts w:hint="default" w:ascii="Times New Roman Regular" w:hAnsi="Times New Roman Regular" w:cs="Times New Roman Regular"/>
          <w:i/>
          <w:iCs/>
          <w:sz w:val="21"/>
          <w:szCs w:val="21"/>
        </w:rPr>
        <w:t xml:space="preserve">P </w:t>
      </w:r>
      <w:r>
        <w:rPr>
          <w:rFonts w:hint="default" w:ascii="Times New Roman Regular" w:hAnsi="Times New Roman Regular" w:cs="Times New Roman Regular"/>
          <w:sz w:val="21"/>
          <w:szCs w:val="21"/>
        </w:rPr>
        <w:t xml:space="preserve">values by two-tailed unpaired Student’s </w:t>
      </w:r>
      <w:r>
        <w:rPr>
          <w:rFonts w:hint="default" w:ascii="Times New Roman Regular" w:hAnsi="Times New Roman Regular" w:cs="Times New Roman Regular"/>
          <w:i/>
          <w:iCs/>
          <w:sz w:val="21"/>
          <w:szCs w:val="21"/>
        </w:rPr>
        <w:t>t</w:t>
      </w:r>
      <w:r>
        <w:rPr>
          <w:rFonts w:hint="default" w:ascii="Times New Roman Regular" w:hAnsi="Times New Roman Regular" w:cs="Times New Roman Regular"/>
          <w:sz w:val="21"/>
          <w:szCs w:val="21"/>
        </w:rPr>
        <w:t>-test.</w:t>
      </w:r>
    </w:p>
    <w:p>
      <w:pPr>
        <w:spacing w:line="360" w:lineRule="auto"/>
        <w:rPr>
          <w:rFonts w:ascii="Times New Roman Regular" w:hAnsi="Times New Roman Regular" w:cs="Times New Roman Regular"/>
        </w:rPr>
      </w:pPr>
    </w:p>
    <w:p>
      <w:pPr>
        <w:spacing w:line="360" w:lineRule="auto"/>
        <w:rPr>
          <w:rFonts w:ascii="Times New Roman Regular" w:hAnsi="Times New Roman Regular" w:cs="Times New Roman Regular"/>
        </w:rPr>
      </w:pPr>
    </w:p>
    <w:p>
      <w:pPr>
        <w:spacing w:line="360" w:lineRule="auto"/>
        <w:jc w:val="center"/>
        <w:rPr>
          <w:rFonts w:hint="eastAsia" w:ascii="Times New Roman Regular" w:hAnsi="Times New Roman Regular" w:cs="Times New Roman Regular" w:eastAsiaTheme="minorEastAsia"/>
          <w:lang w:eastAsia="zh-CN"/>
        </w:rPr>
      </w:pPr>
      <w:r>
        <w:rPr>
          <w:rFonts w:hint="eastAsia" w:ascii="Times New Roman Regular" w:hAnsi="Times New Roman Regular" w:cs="Times New Roman Regular" w:eastAsiaTheme="minorEastAsia"/>
          <w:lang w:eastAsia="zh-CN"/>
        </w:rPr>
        <w:drawing>
          <wp:inline distT="0" distB="0" distL="114300" distR="114300">
            <wp:extent cx="5269230" cy="5225415"/>
            <wp:effectExtent l="0" t="0" r="13970" b="6985"/>
            <wp:docPr id="5" name="图片 5" descr="Supplemental 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l Fig. 5"/>
                    <pic:cNvPicPr>
                      <a:picLocks noChangeAspect="1"/>
                    </pic:cNvPicPr>
                  </pic:nvPicPr>
                  <pic:blipFill>
                    <a:blip r:embed="rId9"/>
                    <a:stretch>
                      <a:fillRect/>
                    </a:stretch>
                  </pic:blipFill>
                  <pic:spPr>
                    <a:xfrm>
                      <a:off x="0" y="0"/>
                      <a:ext cx="5269230" cy="5225415"/>
                    </a:xfrm>
                    <a:prstGeom prst="rect">
                      <a:avLst/>
                    </a:prstGeom>
                  </pic:spPr>
                </pic:pic>
              </a:graphicData>
            </a:graphic>
          </wp:inline>
        </w:drawing>
      </w:r>
    </w:p>
    <w:p>
      <w:pPr>
        <w:spacing w:line="360" w:lineRule="auto"/>
        <w:rPr>
          <w:rFonts w:ascii="Times New Roman Regular" w:hAnsi="Times New Roman Regular" w:cs="Times New Roman Regular"/>
        </w:rPr>
      </w:pPr>
      <w:r>
        <w:rPr>
          <w:rFonts w:ascii="Times New Roman Regular" w:hAnsi="Times New Roman Regular" w:cs="Times New Roman Regular"/>
          <w:b/>
          <w:bCs/>
          <w:sz w:val="21"/>
          <w:szCs w:val="21"/>
        </w:rPr>
        <w:t>Fig. S5</w:t>
      </w:r>
      <w:r>
        <w:rPr>
          <w:rFonts w:hint="eastAsia" w:ascii="Times New Roman Regular" w:hAnsi="Times New Roman Regular" w:cs="Times New Roman Regular"/>
          <w:b/>
          <w:bCs/>
          <w:sz w:val="21"/>
          <w:szCs w:val="21"/>
        </w:rPr>
        <w:t>.</w:t>
      </w:r>
      <w:r>
        <w:rPr>
          <w:sz w:val="21"/>
          <w:szCs w:val="21"/>
        </w:rPr>
        <w:t xml:space="preserve"> </w:t>
      </w:r>
      <w:r>
        <w:rPr>
          <w:rFonts w:ascii="Times New Roman Regular" w:hAnsi="Times New Roman Regular" w:cs="Times New Roman Regular"/>
          <w:b/>
          <w:bCs/>
          <w:sz w:val="21"/>
          <w:szCs w:val="21"/>
        </w:rPr>
        <w:t>cPLA</w:t>
      </w:r>
      <w:r>
        <w:rPr>
          <w:rFonts w:hint="eastAsia" w:ascii="Times New Roman Regular" w:hAnsi="Times New Roman Regular" w:cs="Times New Roman Regular"/>
          <w:b/>
          <w:bCs/>
          <w:sz w:val="21"/>
          <w:szCs w:val="21"/>
        </w:rPr>
        <w:t>2</w:t>
      </w:r>
      <w:r>
        <w:rPr>
          <w:rFonts w:ascii="Times New Roman Regular" w:hAnsi="Times New Roman Regular" w:cs="Times New Roman Regular"/>
          <w:b/>
          <w:bCs/>
          <w:sz w:val="21"/>
          <w:szCs w:val="21"/>
        </w:rPr>
        <w:t xml:space="preserve"> deficiency does not alter joint morphology in adult mice</w:t>
      </w:r>
      <w:r>
        <w:rPr>
          <w:rFonts w:hint="eastAsia" w:ascii="Times New Roman Regular" w:hAnsi="Times New Roman Regular" w:cs="Times New Roman Regular"/>
          <w:b/>
          <w:bCs/>
          <w:sz w:val="21"/>
          <w:szCs w:val="21"/>
        </w:rPr>
        <w:t>.</w:t>
      </w:r>
      <w:r>
        <w:rPr>
          <w:rFonts w:ascii="Times New Roman Regular" w:hAnsi="Times New Roman Regular" w:cs="Times New Roman Regular"/>
          <w:sz w:val="21"/>
          <w:szCs w:val="21"/>
        </w:rPr>
        <w:t xml:space="preserve"> (a) Representative Safranin O/Fast Green and H&amp;E-stained images of knee joints from 3-month-old WT and cPLA2 KO male mice (n = 6). Scale bar = 100 μm.</w:t>
      </w:r>
      <w:r>
        <w:rPr>
          <w:rFonts w:ascii="Times New Roman Regular" w:hAnsi="Times New Roman Regular" w:cs="Times New Roman Regular"/>
          <w:b/>
          <w:bCs/>
          <w:sz w:val="21"/>
          <w:szCs w:val="21"/>
        </w:rPr>
        <w:t xml:space="preserve"> </w:t>
      </w:r>
      <w:r>
        <w:rPr>
          <w:rFonts w:ascii="Times New Roman Regular" w:hAnsi="Times New Roman Regular" w:cs="Times New Roman Regular"/>
          <w:sz w:val="21"/>
          <w:szCs w:val="21"/>
        </w:rPr>
        <w:t>(b) Quantification of cartilage thickness, SBP thickness and tissue type in knee joints from 3-month-old WT and cPLA2 KO male mice (n = 6).</w:t>
      </w:r>
      <w:r>
        <w:rPr>
          <w:rFonts w:ascii="Times New Roman Regular" w:hAnsi="Times New Roman Regular" w:cs="Times New Roman Regular"/>
          <w:b/>
          <w:bCs/>
          <w:sz w:val="21"/>
          <w:szCs w:val="21"/>
        </w:rPr>
        <w:t xml:space="preserve"> </w:t>
      </w:r>
      <w:r>
        <w:rPr>
          <w:rFonts w:hint="default" w:ascii="Times New Roman Regular" w:hAnsi="Times New Roman Regular" w:cs="Times New Roman Regular"/>
          <w:b/>
          <w:bCs/>
          <w:sz w:val="21"/>
          <w:szCs w:val="21"/>
          <w:lang w:val="en-US"/>
        </w:rPr>
        <w:t xml:space="preserve">(c,d) </w:t>
      </w:r>
      <w:r>
        <w:rPr>
          <w:rFonts w:ascii="Times New Roman Regular" w:hAnsi="Times New Roman Regular" w:cs="Times New Roman Regular"/>
        </w:rPr>
        <w:t>Representative immunohistochemical staining images (</w:t>
      </w:r>
      <w:r>
        <w:rPr>
          <w:rFonts w:hint="default" w:ascii="Times New Roman Regular" w:hAnsi="Times New Roman Regular" w:cs="Times New Roman Regular"/>
          <w:lang w:val="en-US"/>
        </w:rPr>
        <w:t>c</w:t>
      </w:r>
      <w:r>
        <w:rPr>
          <w:rFonts w:ascii="Times New Roman Regular" w:hAnsi="Times New Roman Regular" w:cs="Times New Roman Regular"/>
        </w:rPr>
        <w:t>) and quantification (</w:t>
      </w:r>
      <w:r>
        <w:rPr>
          <w:rFonts w:hint="default" w:ascii="Times New Roman Regular" w:hAnsi="Times New Roman Regular" w:cs="Times New Roman Regular"/>
          <w:lang w:val="en-US"/>
        </w:rPr>
        <w:t>d</w:t>
      </w:r>
      <w:r>
        <w:rPr>
          <w:rFonts w:ascii="Times New Roman Regular" w:hAnsi="Times New Roman Regular" w:cs="Times New Roman Regular"/>
        </w:rPr>
        <w:t>) of Col2, MMP13, aggrecan neoepitope, p16, and p21 in knee joint sections from</w:t>
      </w:r>
      <w:r>
        <w:rPr>
          <w:rFonts w:hint="default" w:ascii="Times New Roman Regular" w:hAnsi="Times New Roman Regular" w:cs="Times New Roman Regular"/>
          <w:lang w:val="en-US"/>
        </w:rPr>
        <w:t xml:space="preserve"> 18</w:t>
      </w:r>
      <w:r>
        <w:rPr>
          <w:rFonts w:ascii="Times New Roman Regular" w:hAnsi="Times New Roman Regular" w:cs="Times New Roman Regular"/>
          <w:sz w:val="21"/>
          <w:szCs w:val="21"/>
        </w:rPr>
        <w:t xml:space="preserve">-month-old </w:t>
      </w:r>
      <w:r>
        <w:rPr>
          <w:rFonts w:hint="default" w:ascii="Times New Roman Regular" w:hAnsi="Times New Roman Regular" w:cs="Times New Roman Regular"/>
          <w:lang w:val="en-US"/>
        </w:rPr>
        <w:t xml:space="preserve">WT and </w:t>
      </w:r>
      <w:r>
        <w:rPr>
          <w:rFonts w:ascii="Times New Roman Regular" w:hAnsi="Times New Roman Regular" w:cs="Times New Roman Regular"/>
        </w:rPr>
        <w:t xml:space="preserve">cPLA2 KO mice (n = </w:t>
      </w:r>
      <w:r>
        <w:rPr>
          <w:rFonts w:hint="default" w:ascii="Times New Roman Regular" w:hAnsi="Times New Roman Regular" w:cs="Times New Roman Regular"/>
          <w:lang w:val="en-US"/>
        </w:rPr>
        <w:t>6</w:t>
      </w:r>
      <w:r>
        <w:rPr>
          <w:rFonts w:ascii="Times New Roman Regular" w:hAnsi="Times New Roman Regular" w:cs="Times New Roman Regular"/>
        </w:rPr>
        <w:t xml:space="preserve">). Scale bar = </w:t>
      </w:r>
      <w:r>
        <w:rPr>
          <w:rFonts w:hint="default" w:ascii="Times New Roman Regular" w:hAnsi="Times New Roman Regular" w:cs="Times New Roman Regular"/>
          <w:lang w:val="en-US"/>
        </w:rPr>
        <w:t>10</w:t>
      </w:r>
      <w:r>
        <w:rPr>
          <w:rFonts w:ascii="Times New Roman Regular" w:hAnsi="Times New Roman Regular" w:cs="Times New Roman Regular"/>
        </w:rPr>
        <w:t>0 μm.</w:t>
      </w:r>
      <w:r>
        <w:rPr>
          <w:rFonts w:ascii="Times New Roman Regular" w:hAnsi="Times New Roman Regular" w:cs="Times New Roman Regular"/>
          <w:b/>
          <w:bCs/>
        </w:rPr>
        <w:t xml:space="preserve"> </w:t>
      </w:r>
      <w:r>
        <w:rPr>
          <w:rFonts w:hint="default" w:ascii="Times New Roman Regular" w:hAnsi="Times New Roman Regular" w:cs="Times New Roman Regular"/>
          <w:lang w:val="en-US"/>
        </w:rPr>
        <w:t>b</w:t>
      </w:r>
      <w:r>
        <w:rPr>
          <w:rFonts w:ascii="Times New Roman Regular" w:hAnsi="Times New Roman Regular" w:cs="Times New Roman Regular"/>
        </w:rPr>
        <w:t xml:space="preserve">, </w:t>
      </w:r>
      <w:r>
        <w:rPr>
          <w:rFonts w:hint="default" w:ascii="Times New Roman Regular" w:hAnsi="Times New Roman Regular" w:cs="Times New Roman Regular"/>
          <w:lang w:val="en-US"/>
        </w:rPr>
        <w:t xml:space="preserve">d, </w:t>
      </w:r>
      <w:r>
        <w:rPr>
          <w:rFonts w:ascii="Times New Roman Regular" w:hAnsi="Times New Roman Regular" w:cs="Times New Roman Regular"/>
        </w:rPr>
        <w:t xml:space="preserve">Data are mean±s.d., </w:t>
      </w:r>
      <w:r>
        <w:rPr>
          <w:rFonts w:ascii="Times New Roman Regular" w:hAnsi="Times New Roman Regular" w:cs="Times New Roman Regular"/>
          <w:i/>
          <w:iCs/>
        </w:rPr>
        <w:t xml:space="preserve">P </w:t>
      </w:r>
      <w:r>
        <w:rPr>
          <w:rFonts w:ascii="Times New Roman Regular" w:hAnsi="Times New Roman Regular" w:cs="Times New Roman Regular"/>
        </w:rPr>
        <w:t xml:space="preserve">values by two-tailed unpaired Student’s </w:t>
      </w:r>
      <w:r>
        <w:rPr>
          <w:rFonts w:ascii="Times New Roman Regular" w:hAnsi="Times New Roman Regular" w:cs="Times New Roman Regular"/>
          <w:i/>
          <w:iCs/>
        </w:rPr>
        <w:t>t</w:t>
      </w:r>
      <w:r>
        <w:rPr>
          <w:rFonts w:ascii="Times New Roman Regular" w:hAnsi="Times New Roman Regular" w:cs="Times New Roman Regular"/>
        </w:rPr>
        <w:t xml:space="preserve">-test. </w:t>
      </w:r>
    </w:p>
    <w:p>
      <w:pPr>
        <w:spacing w:line="360" w:lineRule="auto"/>
        <w:rPr>
          <w:rFonts w:ascii="Times New Roman Regular" w:hAnsi="Times New Roman Regular" w:cs="Times New Roman Regular"/>
          <w:b/>
          <w:bCs/>
          <w:sz w:val="21"/>
          <w:szCs w:val="21"/>
        </w:rPr>
      </w:pPr>
    </w:p>
    <w:p>
      <w:pPr>
        <w:spacing w:line="360" w:lineRule="auto"/>
        <w:rPr>
          <w:rFonts w:ascii="Times New Roman Regular" w:hAnsi="Times New Roman Regular" w:cs="Times New Roman Regular"/>
          <w:b/>
          <w:bCs/>
          <w:sz w:val="21"/>
          <w:szCs w:val="21"/>
        </w:rPr>
      </w:pPr>
    </w:p>
    <w:p>
      <w:pPr>
        <w:spacing w:line="360" w:lineRule="auto"/>
        <w:rPr>
          <w:rFonts w:ascii="Times New Roman Regular" w:hAnsi="Times New Roman Regular" w:cs="Times New Roman Regular"/>
          <w:b/>
          <w:bCs/>
        </w:rPr>
      </w:pPr>
    </w:p>
    <w:p>
      <w:pPr>
        <w:spacing w:line="360" w:lineRule="auto"/>
        <w:rPr>
          <w:rFonts w:ascii="Times New Roman Regular" w:hAnsi="Times New Roman Regular" w:cs="Times New Roman Regular"/>
          <w:b/>
          <w:bCs/>
        </w:rPr>
      </w:pPr>
      <w:r>
        <w:rPr>
          <w:rFonts w:hint="eastAsia" w:ascii="Times New Roman Regular" w:hAnsi="Times New Roman Regular" w:cs="Times New Roman Regular" w:eastAsiaTheme="minorEastAsia"/>
          <w:b/>
          <w:bCs/>
          <w:lang w:eastAsia="zh-CN"/>
        </w:rPr>
        <w:drawing>
          <wp:inline distT="0" distB="0" distL="114300" distR="114300">
            <wp:extent cx="5269230" cy="7453630"/>
            <wp:effectExtent l="0" t="0" r="13970" b="13970"/>
            <wp:docPr id="6" name="图片 6" descr="Supplemental 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al Fig. 6"/>
                    <pic:cNvPicPr>
                      <a:picLocks noChangeAspect="1"/>
                    </pic:cNvPicPr>
                  </pic:nvPicPr>
                  <pic:blipFill>
                    <a:blip r:embed="rId10"/>
                    <a:stretch>
                      <a:fillRect/>
                    </a:stretch>
                  </pic:blipFill>
                  <pic:spPr>
                    <a:xfrm>
                      <a:off x="0" y="0"/>
                      <a:ext cx="5269230" cy="7453630"/>
                    </a:xfrm>
                    <a:prstGeom prst="rect">
                      <a:avLst/>
                    </a:prstGeom>
                  </pic:spPr>
                </pic:pic>
              </a:graphicData>
            </a:graphic>
          </wp:inline>
        </w:drawing>
      </w:r>
    </w:p>
    <w:p>
      <w:pPr>
        <w:spacing w:line="360" w:lineRule="auto"/>
        <w:rPr>
          <w:rFonts w:hint="default" w:ascii="Times New Roman Regular" w:hAnsi="Times New Roman Regular" w:cs="Times New Roman Regular"/>
          <w:sz w:val="21"/>
          <w:szCs w:val="21"/>
        </w:rPr>
      </w:pPr>
      <w:r>
        <w:rPr>
          <w:rFonts w:ascii="Times New Roman Regular" w:hAnsi="Times New Roman Regular" w:cs="Times New Roman Regular"/>
          <w:b/>
          <w:bCs/>
        </w:rPr>
        <w:t>Fig. S6</w:t>
      </w:r>
      <w:r>
        <w:rPr>
          <w:rFonts w:hint="eastAsia" w:ascii="Times New Roman Regular" w:hAnsi="Times New Roman Regular" w:cs="Times New Roman Regular"/>
          <w:b/>
          <w:bCs/>
        </w:rPr>
        <w:t>.</w:t>
      </w:r>
      <w:r>
        <w:t xml:space="preserve"> </w:t>
      </w:r>
      <w:r>
        <w:rPr>
          <w:rFonts w:ascii="Times New Roman" w:hAnsi="Times New Roman" w:cs="Times New Roman"/>
          <w:b/>
          <w:bCs/>
          <w:sz w:val="24"/>
        </w:rPr>
        <w:t xml:space="preserve">cPLA2 inhibition protects against OA in a surgically induced </w:t>
      </w:r>
      <w:r>
        <w:rPr>
          <w:rFonts w:hint="default" w:ascii="Times New Roman" w:hAnsi="Times New Roman" w:cs="Times New Roman"/>
          <w:b/>
          <w:bCs/>
          <w:sz w:val="24"/>
          <w:lang w:val="en-US"/>
        </w:rPr>
        <w:t xml:space="preserve">OA </w:t>
      </w:r>
      <w:r>
        <w:rPr>
          <w:rFonts w:ascii="Times New Roman" w:hAnsi="Times New Roman" w:cs="Times New Roman"/>
          <w:b/>
          <w:bCs/>
          <w:sz w:val="24"/>
        </w:rPr>
        <w:t>model.</w:t>
      </w:r>
      <w:r>
        <w:rPr>
          <w:rFonts w:hint="eastAsia" w:ascii="Times New Roman" w:hAnsi="Times New Roman" w:cs="Times New Roman"/>
          <w:b/>
          <w:bCs/>
          <w:sz w:val="24"/>
        </w:rPr>
        <w:t xml:space="preserve"> </w:t>
      </w:r>
      <w:r>
        <w:rPr>
          <w:rFonts w:hint="default" w:ascii="Times New Roman Regular" w:hAnsi="Times New Roman Regular" w:cs="Times New Roman Regular"/>
          <w:sz w:val="21"/>
          <w:szCs w:val="21"/>
        </w:rPr>
        <w:t>(a-b)</w:t>
      </w:r>
      <w:r>
        <w:rPr>
          <w:rFonts w:hint="default" w:ascii="Times New Roman Regular" w:hAnsi="Times New Roman Regular" w:cs="Times New Roman Regular"/>
          <w:b/>
          <w:bCs/>
          <w:sz w:val="21"/>
          <w:szCs w:val="21"/>
        </w:rPr>
        <w:t xml:space="preserve"> </w:t>
      </w:r>
      <w:r>
        <w:rPr>
          <w:rFonts w:hint="default" w:ascii="Times New Roman Regular" w:hAnsi="Times New Roman Regular" w:cs="Times New Roman Regular"/>
          <w:sz w:val="21"/>
          <w:szCs w:val="21"/>
        </w:rPr>
        <w:t>H&amp;E-stained knee joint sections from mice treated with the cPLA2 inhibitor AACOCF3 or FFD, depicting synovial tissue (a) and the subchondral bone plate (b). Scale bar = 100 μm.</w:t>
      </w:r>
      <w:r>
        <w:rPr>
          <w:rFonts w:hint="default" w:ascii="Times New Roman Regular" w:hAnsi="Times New Roman Regular" w:cs="Times New Roman Regular"/>
          <w:color w:val="000000" w:themeColor="text1"/>
          <w:sz w:val="21"/>
          <w:szCs w:val="21"/>
          <w14:textFill>
            <w14:solidFill>
              <w14:schemeClr w14:val="tx1"/>
            </w14:solidFill>
          </w14:textFill>
        </w:rPr>
        <w:t xml:space="preserve"> (c) Quantification of OARSI scores, SBP thickness, osteophyte formation, and synovitis scores in knee joints from each group </w:t>
      </w:r>
      <w:r>
        <w:rPr>
          <w:rFonts w:hint="default" w:ascii="Times New Roman Regular" w:hAnsi="Times New Roman Regular" w:cs="Times New Roman Regular"/>
          <w:sz w:val="21"/>
          <w:szCs w:val="21"/>
        </w:rPr>
        <w:t>(n = 6)</w:t>
      </w:r>
      <w:r>
        <w:rPr>
          <w:rFonts w:hint="default" w:ascii="Times New Roman Regular" w:hAnsi="Times New Roman Regular" w:cs="Times New Roman Regular"/>
          <w:color w:val="000000" w:themeColor="text1"/>
          <w:sz w:val="21"/>
          <w:szCs w:val="21"/>
          <w14:textFill>
            <w14:solidFill>
              <w14:schemeClr w14:val="tx1"/>
            </w14:solidFill>
          </w14:textFill>
        </w:rPr>
        <w:t>.</w:t>
      </w:r>
      <w:r>
        <w:rPr>
          <w:rFonts w:hint="default" w:ascii="Times New Roman Regular" w:hAnsi="Times New Roman Regular" w:cs="Times New Roman Regular"/>
          <w:b/>
          <w:bCs/>
          <w:sz w:val="21"/>
          <w:szCs w:val="21"/>
        </w:rPr>
        <w:t xml:space="preserve"> </w:t>
      </w:r>
      <w:r>
        <w:rPr>
          <w:rFonts w:hint="default" w:ascii="Times New Roman Regular" w:hAnsi="Times New Roman Regular" w:cs="Times New Roman Regular"/>
          <w:sz w:val="21"/>
          <w:szCs w:val="21"/>
        </w:rPr>
        <w:t>(</w:t>
      </w:r>
      <w:r>
        <w:rPr>
          <w:rFonts w:hint="default" w:ascii="Times New Roman Regular" w:hAnsi="Times New Roman Regular" w:cs="Times New Roman Regular"/>
          <w:sz w:val="21"/>
          <w:szCs w:val="21"/>
          <w:lang w:val="en-US"/>
        </w:rPr>
        <w:t>d</w:t>
      </w:r>
      <w:r>
        <w:rPr>
          <w:rFonts w:hint="default" w:ascii="Times New Roman Regular" w:hAnsi="Times New Roman Regular" w:cs="Times New Roman Regular"/>
          <w:sz w:val="21"/>
          <w:szCs w:val="21"/>
        </w:rPr>
        <w:t>) Representative Safranin O/Fast Green and H&amp;E-stained images of knee joints from cPLA2 KO mice treated or untreated with FFD. Scale bar = 100 μm.</w:t>
      </w:r>
      <w:r>
        <w:rPr>
          <w:rFonts w:hint="default" w:ascii="Times New Roman Regular" w:hAnsi="Times New Roman Regular" w:cs="Times New Roman Regular"/>
          <w:b/>
          <w:bCs/>
          <w:sz w:val="21"/>
          <w:szCs w:val="21"/>
        </w:rPr>
        <w:t xml:space="preserve"> </w:t>
      </w:r>
      <w:r>
        <w:rPr>
          <w:rFonts w:hint="default" w:ascii="Times New Roman Regular" w:hAnsi="Times New Roman Regular" w:cs="Times New Roman Regular"/>
          <w:sz w:val="21"/>
          <w:szCs w:val="21"/>
        </w:rPr>
        <w:t>(</w:t>
      </w:r>
      <w:r>
        <w:rPr>
          <w:rFonts w:hint="default" w:ascii="Times New Roman Regular" w:hAnsi="Times New Roman Regular" w:cs="Times New Roman Regular"/>
          <w:sz w:val="21"/>
          <w:szCs w:val="21"/>
          <w:lang w:val="en-US"/>
        </w:rPr>
        <w:t>e</w:t>
      </w:r>
      <w:r>
        <w:rPr>
          <w:rFonts w:hint="default" w:ascii="Times New Roman Regular" w:hAnsi="Times New Roman Regular" w:cs="Times New Roman Regular"/>
          <w:sz w:val="21"/>
          <w:szCs w:val="21"/>
        </w:rPr>
        <w:t>) Quantification of OARSI scores, SBP thickness, osteophyte formation, and synovitis scores in knee joints from cPLA2 KO mice treated or untreated with FFD (n = 7).</w:t>
      </w:r>
      <w:r>
        <w:rPr>
          <w:rFonts w:hint="default" w:ascii="Times New Roman Regular" w:hAnsi="Times New Roman Regular" w:cs="Times New Roman Regular"/>
          <w:b/>
          <w:bCs/>
          <w:sz w:val="21"/>
          <w:szCs w:val="21"/>
        </w:rPr>
        <w:t xml:space="preserve"> </w:t>
      </w:r>
      <w:r>
        <w:rPr>
          <w:rFonts w:hint="default" w:ascii="Times New Roman Regular" w:hAnsi="Times New Roman Regular" w:cs="Times New Roman Regular"/>
          <w:sz w:val="21"/>
          <w:szCs w:val="21"/>
        </w:rPr>
        <w:t>(</w:t>
      </w:r>
      <w:r>
        <w:rPr>
          <w:rFonts w:hint="default" w:ascii="Times New Roman Regular" w:hAnsi="Times New Roman Regular" w:cs="Times New Roman Regular"/>
          <w:sz w:val="21"/>
          <w:szCs w:val="21"/>
          <w:lang w:val="en-US"/>
        </w:rPr>
        <w:t>f-h</w:t>
      </w:r>
      <w:r>
        <w:rPr>
          <w:rFonts w:hint="default" w:ascii="Times New Roman Regular" w:hAnsi="Times New Roman Regular" w:cs="Times New Roman Regular"/>
          <w:sz w:val="21"/>
          <w:szCs w:val="21"/>
        </w:rPr>
        <w:t>) Representative trajectory plots and quantification of 2-minute distance traveled during the open field test (</w:t>
      </w:r>
      <w:r>
        <w:rPr>
          <w:rFonts w:hint="default" w:ascii="Times New Roman Regular" w:hAnsi="Times New Roman Regular" w:cs="Times New Roman Regular"/>
          <w:sz w:val="21"/>
          <w:szCs w:val="21"/>
          <w:lang w:val="en-US"/>
        </w:rPr>
        <w:t>f, g</w:t>
      </w:r>
      <w:r>
        <w:rPr>
          <w:rFonts w:hint="default" w:ascii="Times New Roman Regular" w:hAnsi="Times New Roman Regular" w:cs="Times New Roman Regular"/>
          <w:sz w:val="21"/>
          <w:szCs w:val="21"/>
        </w:rPr>
        <w:t>), and quantification of Von Frey test results (</w:t>
      </w:r>
      <w:r>
        <w:rPr>
          <w:rFonts w:hint="default" w:ascii="Times New Roman Regular" w:hAnsi="Times New Roman Regular" w:cs="Times New Roman Regular"/>
          <w:sz w:val="21"/>
          <w:szCs w:val="21"/>
          <w:lang w:val="en-US"/>
        </w:rPr>
        <w:t>h</w:t>
      </w:r>
      <w:r>
        <w:rPr>
          <w:rFonts w:hint="default" w:ascii="Times New Roman Regular" w:hAnsi="Times New Roman Regular" w:cs="Times New Roman Regular"/>
          <w:sz w:val="21"/>
          <w:szCs w:val="21"/>
        </w:rPr>
        <w:t>) (n = 7).</w:t>
      </w:r>
      <w:r>
        <w:rPr>
          <w:rFonts w:hint="default" w:ascii="Times New Roman Regular" w:hAnsi="Times New Roman Regular" w:cs="Times New Roman Regular"/>
          <w:b/>
          <w:bCs/>
          <w:sz w:val="21"/>
          <w:szCs w:val="21"/>
        </w:rPr>
        <w:t xml:space="preserve"> </w:t>
      </w:r>
      <w:r>
        <w:rPr>
          <w:rFonts w:hint="default" w:ascii="Times New Roman Regular" w:hAnsi="Times New Roman Regular" w:cs="Times New Roman Regular"/>
          <w:sz w:val="21"/>
          <w:szCs w:val="21"/>
        </w:rPr>
        <w:t>(</w:t>
      </w:r>
      <w:r>
        <w:rPr>
          <w:rFonts w:hint="default" w:ascii="Times New Roman Regular" w:hAnsi="Times New Roman Regular" w:cs="Times New Roman Regular"/>
          <w:sz w:val="21"/>
          <w:szCs w:val="21"/>
          <w:lang w:val="en-US"/>
        </w:rPr>
        <w:t>i</w:t>
      </w:r>
      <w:r>
        <w:rPr>
          <w:rFonts w:hint="default" w:ascii="Times New Roman Regular" w:hAnsi="Times New Roman Regular" w:cs="Times New Roman Regular"/>
          <w:sz w:val="21"/>
          <w:szCs w:val="21"/>
        </w:rPr>
        <w:t>,</w:t>
      </w:r>
      <w:r>
        <w:rPr>
          <w:rFonts w:hint="default" w:ascii="Times New Roman Regular" w:hAnsi="Times New Roman Regular" w:cs="Times New Roman Regular"/>
          <w:sz w:val="21"/>
          <w:szCs w:val="21"/>
          <w:lang w:val="en-US"/>
        </w:rPr>
        <w:t xml:space="preserve"> j</w:t>
      </w:r>
      <w:r>
        <w:rPr>
          <w:rFonts w:hint="default" w:ascii="Times New Roman Regular" w:hAnsi="Times New Roman Regular" w:cs="Times New Roman Regular"/>
          <w:sz w:val="21"/>
          <w:szCs w:val="21"/>
        </w:rPr>
        <w:t>) Representative immunohistochemical staining images (</w:t>
      </w:r>
      <w:r>
        <w:rPr>
          <w:rFonts w:hint="default" w:ascii="Times New Roman Regular" w:hAnsi="Times New Roman Regular" w:cs="Times New Roman Regular"/>
          <w:sz w:val="21"/>
          <w:szCs w:val="21"/>
          <w:lang w:val="en-US"/>
        </w:rPr>
        <w:t>i</w:t>
      </w:r>
      <w:r>
        <w:rPr>
          <w:rFonts w:hint="default" w:ascii="Times New Roman Regular" w:hAnsi="Times New Roman Regular" w:cs="Times New Roman Regular"/>
          <w:sz w:val="21"/>
          <w:szCs w:val="21"/>
        </w:rPr>
        <w:t>) and quantification (</w:t>
      </w:r>
      <w:r>
        <w:rPr>
          <w:rFonts w:hint="default" w:ascii="Times New Roman Regular" w:hAnsi="Times New Roman Regular" w:cs="Times New Roman Regular"/>
          <w:sz w:val="21"/>
          <w:szCs w:val="21"/>
          <w:lang w:val="en-US"/>
        </w:rPr>
        <w:t>j</w:t>
      </w:r>
      <w:r>
        <w:rPr>
          <w:rFonts w:hint="default" w:ascii="Times New Roman Regular" w:hAnsi="Times New Roman Regular" w:cs="Times New Roman Regular"/>
          <w:sz w:val="21"/>
          <w:szCs w:val="21"/>
        </w:rPr>
        <w:t xml:space="preserve">) of Col2, MMP13, aggrecan neoepitope,p16, and p21 in knee joint sections from cPLA2 KO mice treated or untreated with FFD (n = 7). Scale bar = 50 μm. </w:t>
      </w:r>
      <w:r>
        <w:rPr>
          <w:rFonts w:hint="default" w:ascii="Times New Roman Regular" w:hAnsi="Times New Roman Regular" w:cs="Times New Roman Regular"/>
          <w:sz w:val="21"/>
          <w:szCs w:val="21"/>
          <w:lang w:val="en-US"/>
        </w:rPr>
        <w:t>c</w:t>
      </w:r>
      <w:r>
        <w:rPr>
          <w:rFonts w:hint="default" w:ascii="Times New Roman Regular" w:hAnsi="Times New Roman Regular" w:cs="Times New Roman Regular"/>
          <w:sz w:val="21"/>
          <w:szCs w:val="21"/>
        </w:rPr>
        <w:t xml:space="preserve">, Data are mean±s.d., </w:t>
      </w:r>
      <w:r>
        <w:rPr>
          <w:rFonts w:hint="default" w:ascii="Times New Roman Regular" w:hAnsi="Times New Roman Regular" w:cs="Times New Roman Regular"/>
          <w:i/>
          <w:iCs/>
          <w:sz w:val="21"/>
          <w:szCs w:val="21"/>
        </w:rPr>
        <w:t xml:space="preserve">P </w:t>
      </w:r>
      <w:r>
        <w:rPr>
          <w:rFonts w:hint="default" w:ascii="Times New Roman Regular" w:hAnsi="Times New Roman Regular" w:cs="Times New Roman Regular"/>
          <w:sz w:val="21"/>
          <w:szCs w:val="21"/>
        </w:rPr>
        <w:t>values by one way ANOVA with Bonferroni post hoc test.</w:t>
      </w:r>
      <w:r>
        <w:rPr>
          <w:rFonts w:hint="default" w:ascii="Times New Roman Regular" w:hAnsi="Times New Roman Regular" w:cs="Times New Roman Regular"/>
          <w:b/>
          <w:bCs/>
          <w:sz w:val="21"/>
          <w:szCs w:val="21"/>
        </w:rPr>
        <w:t xml:space="preserve"> </w:t>
      </w:r>
      <w:r>
        <w:rPr>
          <w:rFonts w:hint="default" w:ascii="Times New Roman Regular" w:hAnsi="Times New Roman Regular" w:cs="Times New Roman Regular"/>
          <w:b/>
          <w:bCs/>
          <w:sz w:val="21"/>
          <w:szCs w:val="21"/>
          <w:lang w:val="en-US"/>
        </w:rPr>
        <w:t>e</w:t>
      </w:r>
      <w:r>
        <w:rPr>
          <w:rFonts w:hint="default" w:ascii="Times New Roman Regular" w:hAnsi="Times New Roman Regular" w:cs="Times New Roman Regular"/>
          <w:sz w:val="21"/>
          <w:szCs w:val="21"/>
        </w:rPr>
        <w:t xml:space="preserve">, </w:t>
      </w:r>
      <w:r>
        <w:rPr>
          <w:rFonts w:hint="default" w:ascii="Times New Roman Regular" w:hAnsi="Times New Roman Regular" w:cs="Times New Roman Regular"/>
          <w:sz w:val="21"/>
          <w:szCs w:val="21"/>
          <w:lang w:val="en-US"/>
        </w:rPr>
        <w:t>j</w:t>
      </w:r>
      <w:r>
        <w:rPr>
          <w:rFonts w:hint="default" w:ascii="Times New Roman Regular" w:hAnsi="Times New Roman Regular" w:cs="Times New Roman Regular"/>
          <w:sz w:val="21"/>
          <w:szCs w:val="21"/>
        </w:rPr>
        <w:t xml:space="preserve">, Data are mean±s.d., </w:t>
      </w:r>
      <w:r>
        <w:rPr>
          <w:rFonts w:hint="default" w:ascii="Times New Roman Regular" w:hAnsi="Times New Roman Regular" w:cs="Times New Roman Regular"/>
          <w:i/>
          <w:iCs/>
          <w:sz w:val="21"/>
          <w:szCs w:val="21"/>
        </w:rPr>
        <w:t xml:space="preserve">P </w:t>
      </w:r>
      <w:r>
        <w:rPr>
          <w:rFonts w:hint="default" w:ascii="Times New Roman Regular" w:hAnsi="Times New Roman Regular" w:cs="Times New Roman Regular"/>
          <w:sz w:val="21"/>
          <w:szCs w:val="21"/>
        </w:rPr>
        <w:t xml:space="preserve">values by two-tailed unpaired Student’s </w:t>
      </w:r>
      <w:r>
        <w:rPr>
          <w:rFonts w:hint="default" w:ascii="Times New Roman Regular" w:hAnsi="Times New Roman Regular" w:cs="Times New Roman Regular"/>
          <w:i/>
          <w:iCs/>
          <w:sz w:val="21"/>
          <w:szCs w:val="21"/>
        </w:rPr>
        <w:t>t</w:t>
      </w:r>
      <w:r>
        <w:rPr>
          <w:rFonts w:hint="default" w:ascii="Times New Roman Regular" w:hAnsi="Times New Roman Regular" w:cs="Times New Roman Regular"/>
          <w:sz w:val="21"/>
          <w:szCs w:val="21"/>
        </w:rPr>
        <w:t>-test.</w:t>
      </w:r>
    </w:p>
    <w:p>
      <w:pPr>
        <w:spacing w:line="360" w:lineRule="auto"/>
        <w:rPr>
          <w:rFonts w:ascii="Times New Roman Regular" w:hAnsi="Times New Roman Regular" w:cs="Times New Roman Regular"/>
          <w:b/>
          <w:bCs/>
        </w:rPr>
      </w:pPr>
    </w:p>
    <w:p>
      <w:pPr>
        <w:spacing w:line="360" w:lineRule="auto"/>
        <w:rPr>
          <w:rFonts w:ascii="Times New Roman Regular" w:hAnsi="Times New Roman Regular" w:cs="Times New Roman Regular"/>
          <w:b/>
          <w:bCs/>
        </w:rPr>
      </w:pPr>
    </w:p>
    <w:p>
      <w:pPr>
        <w:spacing w:line="360" w:lineRule="auto"/>
        <w:rPr>
          <w:rFonts w:ascii="Times New Roman Regular" w:hAnsi="Times New Roman Regular" w:cs="Times New Roman Regular"/>
          <w:b/>
          <w:bCs/>
        </w:rPr>
      </w:pPr>
    </w:p>
    <w:p>
      <w:pPr>
        <w:spacing w:line="360" w:lineRule="auto"/>
        <w:rPr>
          <w:rFonts w:ascii="Times New Roman Regular" w:hAnsi="Times New Roman Regular" w:cs="Times New Roman Regular"/>
          <w:b/>
          <w:bCs/>
        </w:rPr>
      </w:pPr>
    </w:p>
    <w:p>
      <w:pPr>
        <w:spacing w:line="360" w:lineRule="auto"/>
        <w:rPr>
          <w:rFonts w:ascii="Times New Roman Regular" w:hAnsi="Times New Roman Regular" w:cs="Times New Roman Regular"/>
          <w:b/>
          <w:bCs/>
        </w:rPr>
      </w:pPr>
    </w:p>
    <w:p>
      <w:pPr>
        <w:spacing w:line="360" w:lineRule="auto"/>
        <w:rPr>
          <w:rFonts w:ascii="Times New Roman Regular" w:hAnsi="Times New Roman Regular" w:cs="Times New Roman Regular"/>
          <w:b/>
          <w:bCs/>
        </w:rPr>
      </w:pPr>
    </w:p>
    <w:p>
      <w:pPr>
        <w:spacing w:line="360" w:lineRule="auto"/>
        <w:rPr>
          <w:rFonts w:ascii="Times New Roman Regular" w:hAnsi="Times New Roman Regular" w:cs="Times New Roman Regular"/>
          <w:b/>
          <w:bCs/>
        </w:rPr>
      </w:pPr>
      <w:r>
        <w:rPr>
          <w:rFonts w:hint="eastAsia" w:ascii="Times New Roman Regular" w:hAnsi="Times New Roman Regular" w:cs="Times New Roman Regular" w:eastAsiaTheme="minorEastAsia"/>
          <w:b/>
          <w:bCs/>
          <w:lang w:eastAsia="zh-CN"/>
        </w:rPr>
        <w:drawing>
          <wp:inline distT="0" distB="0" distL="114300" distR="114300">
            <wp:extent cx="5269230" cy="5344160"/>
            <wp:effectExtent l="0" t="0" r="13970" b="15240"/>
            <wp:docPr id="7" name="图片 7" descr="Supplemental 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al Fig. 7"/>
                    <pic:cNvPicPr>
                      <a:picLocks noChangeAspect="1"/>
                    </pic:cNvPicPr>
                  </pic:nvPicPr>
                  <pic:blipFill>
                    <a:blip r:embed="rId11"/>
                    <a:stretch>
                      <a:fillRect/>
                    </a:stretch>
                  </pic:blipFill>
                  <pic:spPr>
                    <a:xfrm>
                      <a:off x="0" y="0"/>
                      <a:ext cx="5269230" cy="5344160"/>
                    </a:xfrm>
                    <a:prstGeom prst="rect">
                      <a:avLst/>
                    </a:prstGeom>
                  </pic:spPr>
                </pic:pic>
              </a:graphicData>
            </a:graphic>
          </wp:inline>
        </w:drawing>
      </w:r>
    </w:p>
    <w:p>
      <w:pPr>
        <w:spacing w:line="360" w:lineRule="auto"/>
        <w:rPr>
          <w:rFonts w:ascii="Times New Roman Regular" w:hAnsi="Times New Roman Regular" w:cs="Times New Roman Regular"/>
        </w:rPr>
      </w:pPr>
      <w:r>
        <w:rPr>
          <w:rFonts w:ascii="Times New Roman Regular" w:hAnsi="Times New Roman Regular" w:cs="Times New Roman Regular"/>
          <w:b/>
          <w:bCs/>
        </w:rPr>
        <w:t>Fig. S</w:t>
      </w:r>
      <w:r>
        <w:rPr>
          <w:rFonts w:hint="default" w:ascii="Times New Roman Regular" w:hAnsi="Times New Roman Regular" w:cs="Times New Roman Regular"/>
          <w:b/>
          <w:bCs/>
          <w:lang w:val="en-US"/>
        </w:rPr>
        <w:t>7</w:t>
      </w:r>
      <w:r>
        <w:rPr>
          <w:rFonts w:ascii="Times New Roman Regular" w:hAnsi="Times New Roman Regular" w:cs="Times New Roman Regular"/>
          <w:b/>
          <w:bCs/>
        </w:rPr>
        <w:t>. cPLA2 is mainly expressed in preHTCs of endplate cartilage.</w:t>
      </w:r>
      <w:r>
        <w:rPr>
          <w:rFonts w:ascii="Times New Roman Regular" w:hAnsi="Times New Roman Regular" w:cs="Times New Roman Regular"/>
        </w:rPr>
        <w:t xml:space="preserve"> (a) Unbiased clustering of scRNA-seq data from human normal disc endplate revealed 8 distinct cell clusters. (b) Density scatter plot of </w:t>
      </w:r>
      <w:r>
        <w:rPr>
          <w:rFonts w:ascii="Times New Roman Regular" w:hAnsi="Times New Roman Regular" w:cs="Times New Roman Regular"/>
          <w:i/>
          <w:iCs/>
        </w:rPr>
        <w:t>PLA2G4A</w:t>
      </w:r>
      <w:r>
        <w:rPr>
          <w:rFonts w:ascii="Times New Roman Regular" w:hAnsi="Times New Roman Regular" w:cs="Times New Roman Regular"/>
        </w:rPr>
        <w:t xml:space="preserve"> expression visualized on the UMAP of disc endplate cell. (c-d) Dot plot illustrating the expression patterns of </w:t>
      </w:r>
      <w:r>
        <w:rPr>
          <w:rFonts w:ascii="Times New Roman Regular" w:hAnsi="Times New Roman Regular" w:cs="Times New Roman Regular"/>
          <w:i/>
          <w:iCs/>
        </w:rPr>
        <w:t>PLA2G4A</w:t>
      </w:r>
      <w:r>
        <w:rPr>
          <w:rFonts w:ascii="Times New Roman Regular" w:hAnsi="Times New Roman Regular" w:cs="Times New Roman Regular"/>
        </w:rPr>
        <w:t xml:space="preserve"> and </w:t>
      </w:r>
      <w:r>
        <w:rPr>
          <w:rFonts w:ascii="Times New Roman Regular" w:hAnsi="Times New Roman Regular" w:cs="Times New Roman Regular"/>
          <w:i/>
          <w:iCs/>
        </w:rPr>
        <w:t xml:space="preserve">MMP13 </w:t>
      </w:r>
      <w:r>
        <w:rPr>
          <w:rFonts w:ascii="Times New Roman Regular" w:hAnsi="Times New Roman Regular" w:cs="Times New Roman Regular"/>
        </w:rPr>
        <w:t>across diverse chondrocyte subpopulations on endplate cartilage.</w:t>
      </w:r>
    </w:p>
    <w:p>
      <w:pPr>
        <w:spacing w:line="360" w:lineRule="auto"/>
        <w:rPr>
          <w:rFonts w:ascii="Times New Roman Regular" w:hAnsi="Times New Roman Regular" w:cs="Times New Roman Regular"/>
        </w:rPr>
      </w:pPr>
    </w:p>
    <w:p>
      <w:pPr>
        <w:spacing w:line="360" w:lineRule="auto"/>
        <w:rPr>
          <w:rFonts w:ascii="Times New Roman Regular" w:hAnsi="Times New Roman Regular" w:cs="Times New Roman Regular"/>
          <w:b/>
          <w:bCs/>
        </w:rPr>
      </w:pPr>
      <w:r>
        <w:rPr>
          <w:rFonts w:hint="eastAsia" w:ascii="Times New Roman Regular" w:hAnsi="Times New Roman Regular" w:cs="Times New Roman Regular" w:eastAsiaTheme="minorEastAsia"/>
          <w:b/>
          <w:bCs/>
          <w:lang w:eastAsia="zh-CN"/>
        </w:rPr>
        <w:drawing>
          <wp:inline distT="0" distB="0" distL="114300" distR="114300">
            <wp:extent cx="5271135" cy="6746240"/>
            <wp:effectExtent l="0" t="0" r="12065" b="10160"/>
            <wp:docPr id="8" name="图片 8" descr="Supplemental Fi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l Fig. 8"/>
                    <pic:cNvPicPr>
                      <a:picLocks noChangeAspect="1"/>
                    </pic:cNvPicPr>
                  </pic:nvPicPr>
                  <pic:blipFill>
                    <a:blip r:embed="rId12"/>
                    <a:stretch>
                      <a:fillRect/>
                    </a:stretch>
                  </pic:blipFill>
                  <pic:spPr>
                    <a:xfrm>
                      <a:off x="0" y="0"/>
                      <a:ext cx="5271135" cy="6746240"/>
                    </a:xfrm>
                    <a:prstGeom prst="rect">
                      <a:avLst/>
                    </a:prstGeom>
                  </pic:spPr>
                </pic:pic>
              </a:graphicData>
            </a:graphic>
          </wp:inline>
        </w:drawing>
      </w:r>
    </w:p>
    <w:p>
      <w:pPr>
        <w:spacing w:line="360" w:lineRule="auto"/>
        <w:rPr>
          <w:rFonts w:ascii="Times New Roman" w:hAnsi="Times New Roman" w:cs="Times New Roman"/>
          <w:sz w:val="24"/>
        </w:rPr>
      </w:pPr>
      <w:r>
        <w:rPr>
          <w:rFonts w:ascii="Times New Roman Regular" w:hAnsi="Times New Roman Regular" w:cs="Times New Roman Regular"/>
          <w:b/>
          <w:bCs/>
        </w:rPr>
        <w:t>Fig. S</w:t>
      </w:r>
      <w:r>
        <w:rPr>
          <w:rFonts w:hint="default" w:ascii="Times New Roman Regular" w:hAnsi="Times New Roman Regular" w:cs="Times New Roman Regular"/>
          <w:b/>
          <w:bCs/>
          <w:lang w:val="en-US"/>
        </w:rPr>
        <w:t>8</w:t>
      </w:r>
      <w:r>
        <w:rPr>
          <w:rFonts w:ascii="Times New Roman Regular" w:hAnsi="Times New Roman Regular" w:cs="Times New Roman Regular"/>
          <w:b/>
          <w:bCs/>
        </w:rPr>
        <w:t>.</w:t>
      </w:r>
      <w:r>
        <w:rPr>
          <w:rFonts w:hint="eastAsia" w:ascii="Times New Roman Regular" w:hAnsi="Times New Roman Regular" w:cs="Times New Roman Regular"/>
          <w:b/>
          <w:bCs/>
        </w:rPr>
        <w:t xml:space="preserve"> </w:t>
      </w:r>
      <w:r>
        <w:rPr>
          <w:rFonts w:ascii="Times New Roman" w:hAnsi="Times New Roman" w:cs="Times New Roman"/>
          <w:b/>
          <w:bCs/>
          <w:sz w:val="24"/>
        </w:rPr>
        <w:t xml:space="preserve">Genetic deletion of cPLA2 alleviated surgically-induced IVDD. </w:t>
      </w:r>
      <w:r>
        <w:rPr>
          <w:rFonts w:ascii="Times New Roman" w:hAnsi="Times New Roman" w:cs="Times New Roman"/>
          <w:sz w:val="24"/>
        </w:rPr>
        <w:t xml:space="preserve">(a) </w:t>
      </w:r>
      <w:r>
        <w:rPr>
          <w:rFonts w:ascii="Times New Roman" w:hAnsi="Times New Roman" w:eastAsia="宋体" w:cs="Times New Roman"/>
          <w:color w:val="000000"/>
          <w:sz w:val="24"/>
          <w:lang w:bidi="ar"/>
        </w:rPr>
        <w:t xml:space="preserve">Schematic of the experimental outline. </w:t>
      </w:r>
      <w:r>
        <w:rPr>
          <w:rFonts w:ascii="Times New Roman" w:hAnsi="Times New Roman" w:cs="Times New Roman"/>
          <w:sz w:val="24"/>
        </w:rPr>
        <w:t>12-week-old male WT and cPLA2 KO mice underwent LSI surgery, followed by treatment with/without 10mg/kg body weight FFD daily starting at 4 weeks post-surgery and continuing for 8 weeks (n = 6).</w:t>
      </w:r>
      <w:r>
        <w:rPr>
          <w:rFonts w:ascii="Times New Roman" w:hAnsi="Times New Roman" w:cs="Times New Roman"/>
          <w:b/>
          <w:bCs/>
          <w:sz w:val="24"/>
        </w:rPr>
        <w:t xml:space="preserve"> </w:t>
      </w:r>
      <w:r>
        <w:rPr>
          <w:rFonts w:ascii="Times New Roman" w:hAnsi="Times New Roman" w:cs="Times New Roman"/>
          <w:sz w:val="24"/>
        </w:rPr>
        <w:t>(b) Representative Safranin O/Fast Green and H&amp;E-stained images and histological score/Endplate score of intervertebral discs from WT and cPLA2 KO mice (n = 6). Scale bar = 100 μm.</w:t>
      </w:r>
      <w:r>
        <w:rPr>
          <w:rFonts w:ascii="Times New Roman" w:hAnsi="Times New Roman" w:cs="Times New Roman"/>
          <w:b/>
          <w:bCs/>
          <w:sz w:val="24"/>
        </w:rPr>
        <w:t xml:space="preserve"> </w:t>
      </w:r>
      <w:r>
        <w:rPr>
          <w:rFonts w:ascii="Times New Roman" w:hAnsi="Times New Roman" w:cs="Times New Roman"/>
          <w:sz w:val="24"/>
        </w:rPr>
        <w:t>(c) Quantification of histological and endplate scores in intervertebral discs from WT and cPLA2 KO mice (n = 6).</w:t>
      </w:r>
      <w:r>
        <w:rPr>
          <w:rFonts w:ascii="Times New Roman" w:hAnsi="Times New Roman" w:cs="Times New Roman"/>
          <w:b/>
          <w:bCs/>
          <w:sz w:val="24"/>
        </w:rPr>
        <w:t xml:space="preserve"> </w:t>
      </w:r>
      <w:r>
        <w:rPr>
          <w:rFonts w:ascii="Times New Roman" w:hAnsi="Times New Roman" w:cs="Times New Roman"/>
          <w:sz w:val="24"/>
        </w:rPr>
        <w:t>(d) Representative immunohistochemical staining images and quantification of Col2, M</w:t>
      </w:r>
      <w:r>
        <w:rPr>
          <w:rFonts w:hint="eastAsia" w:ascii="Times New Roman" w:hAnsi="Times New Roman" w:cs="Times New Roman"/>
          <w:sz w:val="24"/>
        </w:rPr>
        <w:t>mp</w:t>
      </w:r>
      <w:r>
        <w:rPr>
          <w:rFonts w:ascii="Times New Roman" w:hAnsi="Times New Roman" w:cs="Times New Roman"/>
          <w:sz w:val="24"/>
        </w:rPr>
        <w:t xml:space="preserve">13, p16, and p21 in intervertebral discs sections from each group (n = 6). Scale bar = </w:t>
      </w:r>
      <w:r>
        <w:rPr>
          <w:rFonts w:hint="default" w:ascii="Times New Roman" w:hAnsi="Times New Roman" w:cs="Times New Roman"/>
          <w:sz w:val="24"/>
          <w:lang w:val="en-US"/>
        </w:rPr>
        <w:t>10</w:t>
      </w:r>
      <w:r>
        <w:rPr>
          <w:rFonts w:ascii="Times New Roman" w:hAnsi="Times New Roman" w:cs="Times New Roman"/>
          <w:sz w:val="24"/>
        </w:rPr>
        <w:t>0 μm.</w:t>
      </w:r>
      <w:r>
        <w:rPr>
          <w:rFonts w:hint="eastAsia" w:ascii="Times New Roman" w:hAnsi="Times New Roman" w:cs="Times New Roman"/>
          <w:sz w:val="24"/>
        </w:rPr>
        <w:t xml:space="preserve"> </w:t>
      </w:r>
      <w:r>
        <w:rPr>
          <w:rFonts w:ascii="Times New Roman" w:hAnsi="Times New Roman" w:cs="Times New Roman"/>
          <w:sz w:val="24"/>
        </w:rPr>
        <w:t xml:space="preserve">(e) Quantification of positive staining based on IHC images in </w:t>
      </w:r>
      <w:r>
        <w:rPr>
          <w:rFonts w:hint="default" w:ascii="Times New Roman" w:hAnsi="Times New Roman" w:cs="Times New Roman"/>
          <w:sz w:val="24"/>
          <w:lang w:val="en-US"/>
        </w:rPr>
        <w:t>d.</w:t>
      </w:r>
      <w:r>
        <w:rPr>
          <w:rFonts w:ascii="Times New Roman" w:hAnsi="Times New Roman" w:cs="Times New Roman"/>
          <w:sz w:val="24"/>
        </w:rPr>
        <w:t xml:space="preserve"> (n = 6). c, e, Data are mean±s.d., c, </w:t>
      </w:r>
      <w:r>
        <w:rPr>
          <w:rFonts w:ascii="Times New Roman" w:hAnsi="Times New Roman" w:cs="Times New Roman"/>
          <w:i/>
          <w:iCs/>
          <w:sz w:val="24"/>
        </w:rPr>
        <w:t xml:space="preserve">P </w:t>
      </w:r>
      <w:r>
        <w:rPr>
          <w:rFonts w:ascii="Times New Roman" w:hAnsi="Times New Roman" w:cs="Times New Roman"/>
          <w:sz w:val="24"/>
        </w:rPr>
        <w:t xml:space="preserve">values by one way ANOVA with Bonferroni post hoc test. e, </w:t>
      </w:r>
      <w:r>
        <w:rPr>
          <w:rFonts w:ascii="Times New Roman" w:hAnsi="Times New Roman" w:cs="Times New Roman"/>
          <w:i/>
          <w:iCs/>
          <w:sz w:val="24"/>
        </w:rPr>
        <w:t xml:space="preserve">P </w:t>
      </w:r>
      <w:r>
        <w:rPr>
          <w:rFonts w:ascii="Times New Roman" w:hAnsi="Times New Roman" w:cs="Times New Roman"/>
          <w:sz w:val="24"/>
        </w:rPr>
        <w:t xml:space="preserve">values by two-tailed unpaired Student’s </w:t>
      </w:r>
      <w:r>
        <w:rPr>
          <w:rFonts w:ascii="Times New Roman" w:hAnsi="Times New Roman" w:cs="Times New Roman"/>
          <w:i/>
          <w:iCs/>
          <w:sz w:val="24"/>
        </w:rPr>
        <w:t>t</w:t>
      </w:r>
      <w:r>
        <w:rPr>
          <w:rFonts w:ascii="Times New Roman" w:hAnsi="Times New Roman" w:cs="Times New Roman"/>
          <w:sz w:val="24"/>
        </w:rPr>
        <w:t>-test.</w:t>
      </w: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r>
        <w:rPr>
          <w:rFonts w:hint="eastAsia" w:ascii="Times New Roman" w:hAnsi="Times New Roman" w:cs="Times New Roman" w:eastAsiaTheme="minorEastAsia"/>
          <w:szCs w:val="21"/>
          <w:lang w:eastAsia="zh-CN"/>
        </w:rPr>
        <w:drawing>
          <wp:inline distT="0" distB="0" distL="114300" distR="114300">
            <wp:extent cx="5269230" cy="4008755"/>
            <wp:effectExtent l="0" t="0" r="13970" b="4445"/>
            <wp:docPr id="9" name="图片 9" descr="Supplemental Fi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al Fig. 9"/>
                    <pic:cNvPicPr>
                      <a:picLocks noChangeAspect="1"/>
                    </pic:cNvPicPr>
                  </pic:nvPicPr>
                  <pic:blipFill>
                    <a:blip r:embed="rId13"/>
                    <a:stretch>
                      <a:fillRect/>
                    </a:stretch>
                  </pic:blipFill>
                  <pic:spPr>
                    <a:xfrm>
                      <a:off x="0" y="0"/>
                      <a:ext cx="5269230" cy="4008755"/>
                    </a:xfrm>
                    <a:prstGeom prst="rect">
                      <a:avLst/>
                    </a:prstGeom>
                  </pic:spPr>
                </pic:pic>
              </a:graphicData>
            </a:graphic>
          </wp:inline>
        </w:drawing>
      </w:r>
    </w:p>
    <w:p>
      <w:pPr>
        <w:spacing w:line="360" w:lineRule="auto"/>
        <w:rPr>
          <w:rFonts w:ascii="Times New Roman Regular" w:hAnsi="Times New Roman Regular" w:cs="Times New Roman Regular"/>
        </w:rPr>
      </w:pPr>
      <w:r>
        <w:rPr>
          <w:rFonts w:ascii="Times New Roman Regular" w:hAnsi="Times New Roman Regular" w:cs="Times New Roman Regular"/>
          <w:b/>
          <w:bCs/>
          <w:szCs w:val="21"/>
        </w:rPr>
        <w:t>Fig. S</w:t>
      </w:r>
      <w:r>
        <w:rPr>
          <w:rFonts w:hint="default" w:ascii="Times New Roman Regular" w:hAnsi="Times New Roman Regular" w:cs="Times New Roman Regular"/>
          <w:b/>
          <w:bCs/>
          <w:szCs w:val="21"/>
          <w:lang w:val="en-US"/>
        </w:rPr>
        <w:t>9</w:t>
      </w:r>
      <w:r>
        <w:rPr>
          <w:rFonts w:ascii="Times New Roman Regular" w:hAnsi="Times New Roman Regular" w:cs="Times New Roman Regular"/>
          <w:b/>
          <w:bCs/>
          <w:szCs w:val="21"/>
        </w:rPr>
        <w:t xml:space="preserve">. </w:t>
      </w:r>
      <w:r>
        <w:rPr>
          <w:rFonts w:hint="eastAsia" w:ascii="Times New Roman Regular" w:hAnsi="Times New Roman Regular" w:cs="Times New Roman Regular"/>
          <w:b/>
          <w:bCs/>
          <w:szCs w:val="21"/>
        </w:rPr>
        <w:t xml:space="preserve">FFD protects against IVDD </w:t>
      </w:r>
      <w:r>
        <w:rPr>
          <w:rFonts w:ascii="Times New Roman Regular" w:hAnsi="Times New Roman Regular" w:cs="Times New Roman Regular"/>
          <w:b/>
          <w:bCs/>
          <w:i/>
          <w:iCs/>
          <w:szCs w:val="21"/>
        </w:rPr>
        <w:t>in vivo</w:t>
      </w:r>
      <w:r>
        <w:rPr>
          <w:rFonts w:hint="eastAsia" w:ascii="Times New Roman Regular" w:hAnsi="Times New Roman Regular" w:cs="Times New Roman Regular"/>
          <w:b/>
          <w:bCs/>
          <w:szCs w:val="21"/>
        </w:rPr>
        <w:t xml:space="preserve"> </w:t>
      </w:r>
      <w:r>
        <w:rPr>
          <w:rFonts w:ascii="Times New Roman Regular" w:hAnsi="Times New Roman Regular" w:cs="Times New Roman Regular"/>
          <w:b/>
          <w:bCs/>
          <w:szCs w:val="21"/>
        </w:rPr>
        <w:t>depending on</w:t>
      </w:r>
      <w:r>
        <w:rPr>
          <w:rFonts w:hint="eastAsia" w:ascii="Times New Roman Regular" w:hAnsi="Times New Roman Regular" w:cs="Times New Roman Regular"/>
          <w:b/>
          <w:bCs/>
          <w:szCs w:val="21"/>
        </w:rPr>
        <w:t xml:space="preserve"> the cPla2 pathway</w:t>
      </w:r>
      <w:r>
        <w:rPr>
          <w:rFonts w:ascii="Times New Roman Regular" w:hAnsi="Times New Roman Regular" w:cs="Times New Roman Regular"/>
          <w:b/>
          <w:bCs/>
          <w:szCs w:val="21"/>
        </w:rPr>
        <w:t xml:space="preserve">. </w:t>
      </w:r>
      <w:r>
        <w:rPr>
          <w:rFonts w:ascii="Times New Roman Regular" w:hAnsi="Times New Roman Regular" w:cs="Times New Roman Regular"/>
          <w:szCs w:val="21"/>
        </w:rPr>
        <w:t xml:space="preserve">(a) Representative Safranin O/Fast Green and H&amp;E-stained images and histological score/Endplate score of intervertebral discs from cPLA2 KO mice treated or untreated with FFD (n = 6). Scale bar = 100 μm. Bottom panel is the magnified view of the highlighted area on the left. (b) Quantification of histological and endplate scores in intervertebral discs from cPLA2 KO mice treated or untreated with FFD (n = 6). </w:t>
      </w:r>
      <w:r>
        <w:rPr>
          <w:rFonts w:ascii="Times New Roman Regular" w:hAnsi="Times New Roman Regular" w:cs="Times New Roman Regular"/>
        </w:rPr>
        <w:t xml:space="preserve">(c) Representative immunohistochemical staining images and quantification of Col2, MMP13, p16, and p21 in IVD intervertebral discsfrom each group (n = 6). Right panel is the magnified view of the highlighted area on the left. Scale bar = 100 μm. </w:t>
      </w:r>
      <w:r>
        <w:rPr>
          <w:rFonts w:hint="eastAsia" w:ascii="Times New Roman Regular" w:hAnsi="Times New Roman Regular" w:cs="Times New Roman Regular"/>
        </w:rPr>
        <w:t>(</w:t>
      </w:r>
      <w:r>
        <w:rPr>
          <w:rFonts w:ascii="Times New Roman Regular" w:hAnsi="Times New Roman Regular" w:cs="Times New Roman Regular"/>
        </w:rPr>
        <w:t>d</w:t>
      </w:r>
      <w:r>
        <w:rPr>
          <w:rFonts w:hint="eastAsia" w:ascii="Times New Roman Regular" w:hAnsi="Times New Roman Regular" w:cs="Times New Roman Regular"/>
        </w:rPr>
        <w:t xml:space="preserve">) Quantification of positive staining based on IHC images in </w:t>
      </w:r>
      <w:r>
        <w:rPr>
          <w:rFonts w:hint="default" w:ascii="Times New Roman Regular" w:hAnsi="Times New Roman Regular" w:cs="Times New Roman Regular"/>
          <w:lang w:val="en-US"/>
        </w:rPr>
        <w:t>c.</w:t>
      </w:r>
      <w:r>
        <w:rPr>
          <w:rFonts w:hint="eastAsia" w:ascii="Times New Roman Regular" w:hAnsi="Times New Roman Regular" w:cs="Times New Roman Regular"/>
        </w:rPr>
        <w:t xml:space="preserve"> (n = 6).</w:t>
      </w:r>
      <w:r>
        <w:rPr>
          <w:rFonts w:ascii="Times New Roman Regular" w:hAnsi="Times New Roman Regular" w:cs="Times New Roman Regular"/>
        </w:rPr>
        <w:t xml:space="preserve"> b, d, Data are mean±s.d., </w:t>
      </w:r>
      <w:r>
        <w:rPr>
          <w:rFonts w:ascii="Times New Roman Regular" w:hAnsi="Times New Roman Regular" w:cs="Times New Roman Regular"/>
          <w:i/>
          <w:iCs/>
        </w:rPr>
        <w:t xml:space="preserve">P </w:t>
      </w:r>
      <w:r>
        <w:rPr>
          <w:rFonts w:ascii="Times New Roman Regular" w:hAnsi="Times New Roman Regular" w:cs="Times New Roman Regular"/>
        </w:rPr>
        <w:t xml:space="preserve">values by two-tailed unpaired Student’s </w:t>
      </w:r>
      <w:r>
        <w:rPr>
          <w:rFonts w:ascii="Times New Roman Regular" w:hAnsi="Times New Roman Regular" w:cs="Times New Roman Regular"/>
          <w:i/>
          <w:iCs/>
        </w:rPr>
        <w:t>t</w:t>
      </w:r>
      <w:r>
        <w:rPr>
          <w:rFonts w:ascii="Times New Roman Regular" w:hAnsi="Times New Roman Regular" w:cs="Times New Roman Regular"/>
        </w:rPr>
        <w:t>-test.</w:t>
      </w:r>
    </w:p>
    <w:p>
      <w:pPr>
        <w:spacing w:line="360" w:lineRule="auto"/>
        <w:rPr>
          <w:rFonts w:ascii="Times New Roman Regular" w:hAnsi="Times New Roman Regular" w:cs="Times New Roman Regular"/>
        </w:rPr>
      </w:pPr>
    </w:p>
    <w:p>
      <w:pPr>
        <w:spacing w:line="360" w:lineRule="auto"/>
        <w:jc w:val="center"/>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1135" cy="5772150"/>
            <wp:effectExtent l="0" t="0" r="12065" b="19050"/>
            <wp:docPr id="10" name="图片 10" descr="Supplemental Fi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mental Fig. 10"/>
                    <pic:cNvPicPr>
                      <a:picLocks noChangeAspect="1"/>
                    </pic:cNvPicPr>
                  </pic:nvPicPr>
                  <pic:blipFill>
                    <a:blip r:embed="rId14"/>
                    <a:stretch>
                      <a:fillRect/>
                    </a:stretch>
                  </pic:blipFill>
                  <pic:spPr>
                    <a:xfrm>
                      <a:off x="0" y="0"/>
                      <a:ext cx="5271135" cy="5772150"/>
                    </a:xfrm>
                    <a:prstGeom prst="rect">
                      <a:avLst/>
                    </a:prstGeom>
                  </pic:spPr>
                </pic:pic>
              </a:graphicData>
            </a:graphic>
          </wp:inline>
        </w:drawing>
      </w:r>
    </w:p>
    <w:p>
      <w:pPr>
        <w:spacing w:line="360" w:lineRule="auto"/>
        <w:rPr>
          <w:rFonts w:ascii="Times New Roman Regular" w:hAnsi="Times New Roman Regular" w:cs="Times New Roman Regular"/>
          <w:b/>
          <w:bCs/>
        </w:rPr>
      </w:pPr>
      <w:r>
        <w:rPr>
          <w:rFonts w:ascii="Times New Roman" w:hAnsi="Times New Roman" w:cs="Times New Roman"/>
          <w:b/>
          <w:bCs/>
          <w:szCs w:val="21"/>
        </w:rPr>
        <w:t>Fig. S10. Genetic deletion of cPLA2 alleviated age-associated IVDD.</w:t>
      </w:r>
      <w:r>
        <w:rPr>
          <w:rFonts w:ascii="Times New Roman" w:hAnsi="Times New Roman" w:cs="Times New Roman"/>
          <w:szCs w:val="21"/>
        </w:rPr>
        <w:t xml:space="preserve"> (a) Representative Safranin O/Fast Green and H&amp;E-stained images of intervertebral discs from 3-month-old WT and cPLA2 KO male mice (n = 6). Scale bar = 100 μm.</w:t>
      </w:r>
      <w:r>
        <w:rPr>
          <w:rFonts w:ascii="Times New Roman" w:hAnsi="Times New Roman" w:cs="Times New Roman"/>
          <w:b/>
          <w:bCs/>
          <w:szCs w:val="21"/>
        </w:rPr>
        <w:t xml:space="preserve"> </w:t>
      </w:r>
      <w:r>
        <w:rPr>
          <w:rFonts w:ascii="Times New Roman" w:hAnsi="Times New Roman" w:cs="Times New Roman"/>
          <w:szCs w:val="21"/>
        </w:rPr>
        <w:t>(b) Quantification of histological and endplate scores in intervertebral discs from 3-month-old WT and cPLA2 KO male mice (n = 6).</w:t>
      </w:r>
      <w:r>
        <w:rPr>
          <w:rFonts w:ascii="Times New Roman" w:hAnsi="Times New Roman" w:cs="Times New Roman"/>
          <w:b/>
          <w:bCs/>
          <w:szCs w:val="21"/>
        </w:rPr>
        <w:t xml:space="preserve"> </w:t>
      </w:r>
      <w:r>
        <w:rPr>
          <w:rFonts w:ascii="Times New Roman" w:hAnsi="Times New Roman" w:cs="Times New Roman"/>
          <w:szCs w:val="21"/>
        </w:rPr>
        <w:t xml:space="preserve">(c) Representative Safranin O/Fast Green and H&amp;E-stained images of intervertebral discs from 18-month-old WT and cPLA2 KO male mice (n = 6). Scale bar = 100 μm. (d) Quantification of histological and endplate scores in intervertebral discs from 18-month-old WT and cPLA2 KO male mice (n = 6). (e) </w:t>
      </w:r>
      <w:r>
        <w:rPr>
          <w:rFonts w:ascii="Times New Roman" w:hAnsi="Times New Roman" w:cs="Times New Roman"/>
          <w:color w:val="000000" w:themeColor="text1"/>
          <w:szCs w:val="21"/>
          <w14:textFill>
            <w14:solidFill>
              <w14:schemeClr w14:val="tx1"/>
            </w14:solidFill>
          </w14:textFill>
        </w:rPr>
        <w:t xml:space="preserve">Representative immunohistochemical staining images of Col2, MMP13, p16, and p21 </w:t>
      </w:r>
      <w:r>
        <w:rPr>
          <w:rFonts w:ascii="Times New Roman" w:hAnsi="Times New Roman" w:cs="Times New Roman"/>
          <w:szCs w:val="21"/>
        </w:rPr>
        <w:t>from 18-month-old WT and cPLA2 KO male mice</w:t>
      </w:r>
      <w:r>
        <w:rPr>
          <w:rFonts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szCs w:val="21"/>
        </w:rPr>
        <w:t>(n = 6)</w:t>
      </w:r>
      <w:r>
        <w:rPr>
          <w:rFonts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szCs w:val="21"/>
        </w:rPr>
        <w:t xml:space="preserve">Scale bar = </w:t>
      </w:r>
      <w:r>
        <w:rPr>
          <w:rFonts w:hint="default" w:ascii="Times New Roman" w:hAnsi="Times New Roman" w:cs="Times New Roman"/>
          <w:szCs w:val="21"/>
          <w:lang w:val="en-US"/>
        </w:rPr>
        <w:t>10</w:t>
      </w:r>
      <w:r>
        <w:rPr>
          <w:rFonts w:ascii="Times New Roman" w:hAnsi="Times New Roman" w:cs="Times New Roman"/>
          <w:szCs w:val="21"/>
        </w:rPr>
        <w:t>0 μm.</w:t>
      </w:r>
      <w:r>
        <w:rPr>
          <w:rFonts w:ascii="Times New Roman" w:hAnsi="Times New Roman" w:cs="Times New Roman"/>
          <w:b/>
          <w:bCs/>
          <w:szCs w:val="21"/>
        </w:rPr>
        <w:t xml:space="preserve"> </w:t>
      </w:r>
      <w:r>
        <w:rPr>
          <w:rFonts w:ascii="Times New Roman" w:hAnsi="Times New Roman" w:cs="Times New Roman"/>
          <w:szCs w:val="21"/>
        </w:rPr>
        <w:t>(</w:t>
      </w:r>
      <w:r>
        <w:rPr>
          <w:rFonts w:hint="default" w:ascii="Times New Roman" w:hAnsi="Times New Roman" w:cs="Times New Roman"/>
          <w:szCs w:val="21"/>
          <w:lang w:val="en-US"/>
        </w:rPr>
        <w:t>f</w:t>
      </w:r>
      <w:r>
        <w:rPr>
          <w:rFonts w:ascii="Times New Roman" w:hAnsi="Times New Roman" w:cs="Times New Roman"/>
          <w:szCs w:val="21"/>
        </w:rPr>
        <w:t xml:space="preserve">) </w:t>
      </w:r>
      <w:r>
        <w:rPr>
          <w:rFonts w:ascii="Times New Roman" w:hAnsi="Times New Roman" w:eastAsia="宋体" w:cs="Times New Roman"/>
          <w:szCs w:val="21"/>
          <w:lang w:bidi="ar"/>
        </w:rPr>
        <w:t>Quantification of positive staining</w:t>
      </w:r>
      <w:r>
        <w:rPr>
          <w:rFonts w:ascii="Times New Roman" w:hAnsi="Times New Roman" w:cs="Times New Roman"/>
          <w:szCs w:val="21"/>
        </w:rPr>
        <w:t xml:space="preserve"> of COl2, MMP13, p16, and p21 in knee joint sections in </w:t>
      </w:r>
      <w:r>
        <w:rPr>
          <w:rFonts w:hint="default" w:ascii="Times New Roman" w:hAnsi="Times New Roman" w:cs="Times New Roman"/>
          <w:szCs w:val="21"/>
          <w:lang w:val="en-US"/>
        </w:rPr>
        <w:t>e</w:t>
      </w:r>
      <w:r>
        <w:rPr>
          <w:rFonts w:ascii="Times New Roman" w:hAnsi="Times New Roman" w:cs="Times New Roman"/>
          <w:szCs w:val="21"/>
        </w:rPr>
        <w:t xml:space="preserve"> (n = 6). (</w:t>
      </w:r>
      <w:r>
        <w:rPr>
          <w:rFonts w:hint="default" w:ascii="Times New Roman" w:hAnsi="Times New Roman" w:cs="Times New Roman"/>
          <w:szCs w:val="21"/>
          <w:lang w:val="en-US"/>
        </w:rPr>
        <w:t>g</w:t>
      </w:r>
      <w:r>
        <w:rPr>
          <w:rFonts w:ascii="Times New Roman" w:hAnsi="Times New Roman" w:cs="Times New Roman"/>
          <w:szCs w:val="21"/>
        </w:rPr>
        <w:t xml:space="preserve">) Representative Safranin O/Fast Green and H&amp;E-stained images of intervertebral discs from 18-month-old WT and cPLA2 KO </w:t>
      </w:r>
      <w:r>
        <w:rPr>
          <w:rFonts w:hint="default" w:ascii="Times New Roman" w:hAnsi="Times New Roman" w:cs="Times New Roman"/>
          <w:szCs w:val="21"/>
          <w:lang w:val="en-US"/>
        </w:rPr>
        <w:t>fe</w:t>
      </w:r>
      <w:r>
        <w:rPr>
          <w:rFonts w:ascii="Times New Roman" w:hAnsi="Times New Roman" w:cs="Times New Roman"/>
          <w:szCs w:val="21"/>
        </w:rPr>
        <w:t>male mice (n = 6). Scale bar = 100 μm. (</w:t>
      </w:r>
      <w:r>
        <w:rPr>
          <w:rFonts w:hint="default" w:ascii="Times New Roman" w:hAnsi="Times New Roman" w:cs="Times New Roman"/>
          <w:szCs w:val="21"/>
          <w:lang w:val="en-US"/>
        </w:rPr>
        <w:t>h</w:t>
      </w:r>
      <w:bookmarkStart w:id="1" w:name="_GoBack"/>
      <w:bookmarkEnd w:id="1"/>
      <w:r>
        <w:rPr>
          <w:rFonts w:ascii="Times New Roman" w:hAnsi="Times New Roman" w:cs="Times New Roman"/>
          <w:szCs w:val="21"/>
        </w:rPr>
        <w:t>) Quantification of histological and endplate scores in intervertebral discs from 18-month-old WT and cPLA2 KO female mice (n = 6). b,</w:t>
      </w:r>
      <w:r>
        <w:rPr>
          <w:rFonts w:hint="default" w:ascii="Times New Roman" w:hAnsi="Times New Roman" w:cs="Times New Roman"/>
          <w:szCs w:val="21"/>
          <w:lang w:val="en-US"/>
        </w:rPr>
        <w:t>d,f,h,</w:t>
      </w:r>
      <w:r>
        <w:rPr>
          <w:rFonts w:ascii="Times New Roman" w:hAnsi="Times New Roman" w:cs="Times New Roman"/>
          <w:szCs w:val="21"/>
        </w:rPr>
        <w:t xml:space="preserve"> Data are mean±s.d., </w:t>
      </w:r>
      <w:r>
        <w:rPr>
          <w:rFonts w:ascii="Times New Roman" w:hAnsi="Times New Roman" w:cs="Times New Roman"/>
          <w:i/>
          <w:iCs/>
          <w:szCs w:val="21"/>
        </w:rPr>
        <w:t xml:space="preserve">P </w:t>
      </w:r>
      <w:r>
        <w:rPr>
          <w:rFonts w:ascii="Times New Roman" w:hAnsi="Times New Roman" w:cs="Times New Roman"/>
          <w:szCs w:val="21"/>
        </w:rPr>
        <w:t xml:space="preserve">values by two-tailed unpaired Student’s </w:t>
      </w:r>
      <w:r>
        <w:rPr>
          <w:rFonts w:ascii="Times New Roman" w:hAnsi="Times New Roman" w:cs="Times New Roman"/>
          <w:i/>
          <w:iCs/>
          <w:szCs w:val="21"/>
        </w:rPr>
        <w:t>t</w:t>
      </w:r>
      <w:r>
        <w:rPr>
          <w:rFonts w:ascii="Times New Roman" w:hAnsi="Times New Roman" w:cs="Times New Roman"/>
          <w:szCs w:val="21"/>
        </w:rPr>
        <w:t>-test.</w:t>
      </w:r>
      <w:r>
        <w:rPr>
          <w:rFonts w:ascii="Times New Roman Regular" w:hAnsi="Times New Roman Regular" w:cs="Times New Roman Regular"/>
          <w:b/>
          <w:bCs/>
        </w:rPr>
        <w:br w:type="page"/>
      </w:r>
    </w:p>
    <w:p>
      <w:pPr>
        <w:pStyle w:val="7"/>
        <w:rPr>
          <w:rFonts w:ascii="Times New Roman Regular" w:hAnsi="Times New Roman Regular" w:cs="Times New Roman Regular"/>
          <w:spacing w:val="2"/>
        </w:rPr>
      </w:pPr>
      <w:r>
        <w:rPr>
          <w:rFonts w:ascii="Times New Roman Regular" w:hAnsi="Times New Roman Regular" w:cs="Times New Roman Regular"/>
          <w:b/>
          <w:bCs/>
          <w:spacing w:val="2"/>
        </w:rPr>
        <w:t xml:space="preserve">Supplemental Table 1. </w:t>
      </w:r>
      <w:r>
        <w:rPr>
          <w:rFonts w:ascii="Times New Roman Regular" w:hAnsi="Times New Roman Regular" w:cs="Times New Roman Regular"/>
          <w:spacing w:val="2"/>
        </w:rPr>
        <w:t>OA- and senescence-associated secretory phenotype (SASP)-related gene sets</w:t>
      </w:r>
      <w:r>
        <w:rPr>
          <w:rFonts w:hint="eastAsia" w:ascii="Times New Roman Regular" w:hAnsi="Times New Roman Regular" w:cs="Times New Roman Regular"/>
          <w:spacing w:val="2"/>
          <w:lang w:val="en-US" w:eastAsia="zh-CN"/>
        </w:rPr>
        <w:t xml:space="preserve"> </w:t>
      </w:r>
      <w:r>
        <w:rPr>
          <w:rFonts w:ascii="Times New Roman Regular" w:hAnsi="Times New Roman Regular" w:cs="Times New Roman Regular"/>
          <w:spacing w:val="2"/>
        </w:rPr>
        <w:fldChar w:fldCharType="begin">
          <w:fldData xml:space="preserve">PEVuZE5vdGU+PENpdGU+PEF1dGhvcj5Td2FobjwvQXV0aG9yPjxZZWFyPjIwMjM8L1llYXI+PFJl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</w:fldData>
        </w:fldChar>
      </w:r>
      <w:r>
        <w:rPr>
          <w:rFonts w:ascii="Times New Roman Regular" w:hAnsi="Times New Roman Regular" w:cs="Times New Roman Regular"/>
          <w:spacing w:val="2"/>
        </w:rPr>
        <w:instrText xml:space="preserve"> ADDIN EN.CITE </w:instrText>
      </w:r>
      <w:r>
        <w:rPr>
          <w:rFonts w:ascii="Times New Roman Regular" w:hAnsi="Times New Roman Regular" w:cs="Times New Roman Regular"/>
          <w:spacing w:val="2"/>
        </w:rPr>
        <w:fldChar w:fldCharType="begin">
          <w:fldData xml:space="preserve">PEVuZE5vdGU+PENpdGU+PEF1dGhvcj5Td2FobjwvQXV0aG9yPjxZZWFyPjIwMjM8L1llYXI+PFJl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</w:fldData>
        </w:fldChar>
      </w:r>
      <w:r>
        <w:rPr>
          <w:rFonts w:ascii="Times New Roman Regular" w:hAnsi="Times New Roman Regular" w:cs="Times New Roman Regular"/>
          <w:spacing w:val="2"/>
        </w:rPr>
        <w:instrText xml:space="preserve"> ADDIN EN.CITE.DATA </w:instrText>
      </w:r>
      <w:r>
        <w:rPr>
          <w:rFonts w:ascii="Times New Roman Regular" w:hAnsi="Times New Roman Regular" w:cs="Times New Roman Regular"/>
          <w:spacing w:val="2"/>
        </w:rPr>
        <w:fldChar w:fldCharType="end"/>
      </w:r>
      <w:r>
        <w:rPr>
          <w:rFonts w:ascii="Times New Roman Regular" w:hAnsi="Times New Roman Regular" w:cs="Times New Roman Regular"/>
          <w:spacing w:val="2"/>
        </w:rPr>
        <w:fldChar w:fldCharType="separate"/>
      </w:r>
      <w:r>
        <w:rPr>
          <w:rFonts w:ascii="Times New Roman Regular" w:hAnsi="Times New Roman Regular" w:cs="Times New Roman Regular"/>
          <w:spacing w:val="2"/>
        </w:rPr>
        <w:t>(1)</w:t>
      </w:r>
      <w:r>
        <w:rPr>
          <w:rFonts w:ascii="Times New Roman Regular" w:hAnsi="Times New Roman Regular" w:cs="Times New Roman Regular"/>
          <w:spacing w:val="2"/>
        </w:rPr>
        <w:fldChar w:fldCharType="end"/>
      </w:r>
      <w:r>
        <w:rPr>
          <w:rFonts w:ascii="Times New Roman Regular" w:hAnsi="Times New Roman Regular" w:cs="Times New Roman Regular"/>
          <w:spacing w:val="2"/>
        </w:rPr>
        <w:t xml:space="preserve"> </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7"/>
        <w:gridCol w:w="4855"/>
      </w:tblGrid>
      <w:tr>
        <w:tc>
          <w:tcPr>
            <w:tcW w:w="0" w:type="auto"/>
          </w:tcPr>
          <w:p>
            <w:pPr>
              <w:pStyle w:val="7"/>
              <w:rPr>
                <w:rFonts w:ascii="Times New Roman Regular" w:hAnsi="Times New Roman Regular" w:cs="Times New Roman Regular"/>
                <w:spacing w:val="2"/>
              </w:rPr>
            </w:pPr>
            <w:r>
              <w:rPr>
                <w:rFonts w:ascii="Times New Roman Regular" w:hAnsi="Times New Roman Regular" w:cs="Times New Roman Regular"/>
                <w:spacing w:val="2"/>
              </w:rPr>
              <w:t>OA-related gene sets</w:t>
            </w:r>
          </w:p>
        </w:tc>
        <w:tc>
          <w:tcPr>
            <w:tcW w:w="0" w:type="auto"/>
          </w:tcPr>
          <w:p>
            <w:pPr>
              <w:pStyle w:val="7"/>
              <w:rPr>
                <w:rFonts w:ascii="Times New Roman Regular" w:hAnsi="Times New Roman Regular" w:cs="Times New Roman Regular"/>
                <w:spacing w:val="2"/>
              </w:rPr>
            </w:pPr>
            <w:r>
              <w:rPr>
                <w:rFonts w:ascii="Times New Roman Regular" w:hAnsi="Times New Roman Regular" w:cs="Times New Roman Regular"/>
                <w:spacing w:val="2"/>
              </w:rPr>
              <w:t xml:space="preserve">senescence-associated secretory phenotype (SASP)-related gene sets </w:t>
            </w:r>
          </w:p>
        </w:tc>
      </w:tr>
      <w:tr>
        <w:tc>
          <w:tcPr>
            <w:tcW w:w="0" w:type="auto"/>
          </w:tcPr>
          <w:p>
            <w:pPr>
              <w:pStyle w:val="7"/>
              <w:rPr>
                <w:rFonts w:ascii="Times New Roman Regular" w:hAnsi="Times New Roman Regular" w:cs="Times New Roman Regular"/>
                <w:spacing w:val="2"/>
              </w:rPr>
            </w:pPr>
            <w:r>
              <w:rPr>
                <w:rFonts w:ascii="Times New Roman Regular" w:hAnsi="Times New Roman Regular" w:cs="Times New Roman Regular"/>
                <w:spacing w:val="2"/>
              </w:rPr>
              <w:t>AREG, EREG, NRG1, HGF, TNFRSF1A, SERPINE2, ANG, CCL4, SERPINE1, TIMP2, PLAT, PNG, MIF, MMP14, MMP13, MMP12, IL6, IL1B, IL18, IL15, IGFBP7, IGFBP6, IGFBP5, IGFBP4, IGFBP3, IGFBP2, ICAM1, HMGB1, CXCL16, CXCL12, CXCL2, CXCL1, CTNNB1, CCL5, CCL3, CCL2</w:t>
            </w:r>
          </w:p>
        </w:tc>
        <w:tc>
          <w:tcPr>
            <w:tcW w:w="0" w:type="auto"/>
          </w:tcPr>
          <w:p>
            <w:pPr>
              <w:pStyle w:val="7"/>
              <w:rPr>
                <w:rFonts w:ascii="Times New Roman Regular" w:hAnsi="Times New Roman Regular" w:cs="Times New Roman Regular"/>
                <w:spacing w:val="2"/>
              </w:rPr>
            </w:pPr>
            <w:r>
              <w:rPr>
                <w:rFonts w:ascii="Times New Roman Regular" w:hAnsi="Times New Roman Regular" w:cs="Times New Roman Regular"/>
                <w:spacing w:val="2"/>
              </w:rPr>
              <w:t>HLADRA, ITGB2, NOV, TUBB3, GPR68, CYR61, TGFBI, CDH11, COL2A1, ANLN, ANPEP, PART1, MEX3D, PREX2, PENK, NPR3, MKI67, RSPO2, OGN, LRRC15, P4HA3, COL8A1, NPTX2, MMP13, ITGB8, MXRA5, COL1A2, FAP, KIAA1644, TNR, TMEM59L, ARHGAP9, SMOC2, SHC4, DIO2, CDH10, FAT3, CACNA1A, ST6GAL2, NOTCH3, TTC9, PDGFC, RRM2, MYO3A, SFRP4, ECT2, SEMA3C, CDH2, HTRA1, C4BPA, AMTN, FLRT2, ADAMTS7, TREM1, POSTN, THY1, CSN1S1, MMP11, LOC441666, SNX10, KCNN4, FRMD7, COL1A1, GJB2, RUNX1IT1, SYNDIG1, ADAMTS14, TPPP3, PRSS23, THBS2, CEP55, TOP2A, KCNS3, IGFBP3, CRLF1, GFRA2, TYMP, BUB1, WNT5A, NELL1, HMGA2, NCAM1, ST6GALNAC5, SULF1, BASP1, MMP19, INSC, TLL1, TNC, ISM1AS1, SPOCK1, CDK1, CLEC3B, THEMIS2, COL3A1, GRIA2, FNDC1, CFI, MME, TMEM119, PPP1R14C, NAT2, PAQR4, CCND1, SPP1, DOCK10, KIF20A, SLC9C1, SERPINE2, TNFSF15, SEZ6L2, CENPF, ADAMTS2, CTHRC1, LOC400940, EFEMP1, KIF5C, MATN3, SOX11, CHI3L2, S100A4, TNFAIP6, TNFSF11, RARRES1, DIAPH3, ASPM, DMBT1, EPDR1, IGFBP1, GRIN2A, RAMP3, OLFML2B, ENC1, CTSC</w:t>
            </w:r>
          </w:p>
        </w:tc>
      </w:tr>
    </w:tbl>
    <w:p>
      <w:pPr>
        <w:rPr>
          <w:rFonts w:ascii="Times New Roman Regular" w:hAnsi="Times New Roman Regular" w:cs="Times New Roman Regular"/>
          <w:b/>
          <w:bCs/>
          <w:spacing w:val="2"/>
          <w:szCs w:val="21"/>
        </w:rPr>
      </w:pPr>
      <w:r>
        <w:rPr>
          <w:rFonts w:ascii="Times New Roman Regular" w:hAnsi="Times New Roman Regular" w:cs="Times New Roman Regular"/>
          <w:b/>
          <w:bCs/>
          <w:spacing w:val="2"/>
        </w:rPr>
        <w:t>Supplemental Table 2. Primer sequences used for quantitative real-time</w:t>
      </w:r>
      <w:r>
        <w:rPr>
          <w:rFonts w:ascii="Times New Roman Regular" w:hAnsi="Times New Roman Regular" w:cs="Times New Roman Regular"/>
          <w:b/>
          <w:bCs/>
          <w:spacing w:val="29"/>
        </w:rPr>
        <w:t xml:space="preserve"> </w:t>
      </w:r>
      <w:r>
        <w:rPr>
          <w:rFonts w:ascii="Times New Roman Regular" w:hAnsi="Times New Roman Regular" w:cs="Times New Roman Regular"/>
          <w:b/>
          <w:bCs/>
          <w:spacing w:val="2"/>
        </w:rPr>
        <w:t>PCR</w:t>
      </w:r>
    </w:p>
    <w:tbl>
      <w:tblPr>
        <w:tblStyle w:val="28"/>
        <w:tblW w:w="5000" w:type="pct"/>
        <w:tblInd w:w="0" w:type="dxa"/>
        <w:tblBorders>
          <w:top w:val="single" w:color="000000" w:sz="6" w:space="0"/>
          <w:left w:val="single" w:color="auto" w:sz="4" w:space="0"/>
          <w:bottom w:val="single" w:color="000000" w:sz="2" w:space="0"/>
          <w:right w:val="single" w:color="auto" w:sz="4" w:space="0"/>
          <w:insideH w:val="single" w:color="000000" w:sz="2" w:space="0"/>
          <w:insideV w:val="single" w:color="000000" w:sz="2" w:space="0"/>
        </w:tblBorders>
        <w:tblLayout w:type="autofit"/>
        <w:tblCellMar>
          <w:top w:w="0" w:type="dxa"/>
          <w:left w:w="0" w:type="dxa"/>
          <w:bottom w:w="0" w:type="dxa"/>
          <w:right w:w="0" w:type="dxa"/>
        </w:tblCellMar>
      </w:tblPr>
      <w:tblGrid>
        <w:gridCol w:w="1092"/>
        <w:gridCol w:w="3625"/>
        <w:gridCol w:w="3599"/>
      </w:tblGrid>
      <w:tr>
        <w:trPr>
          <w:trHeight w:val="428" w:hRule="atLeast"/>
        </w:trPr>
        <w:tc>
          <w:tcPr>
            <w:tcW w:w="636" w:type="pct"/>
          </w:tcPr>
          <w:p>
            <w:pPr>
              <w:pStyle w:val="27"/>
              <w:spacing w:before="142"/>
              <w:ind w:left="105"/>
              <w:rPr>
                <w:rFonts w:ascii="Times New Roman Regular" w:hAnsi="Times New Roman Regular" w:cs="Times New Roman Regular"/>
              </w:rPr>
            </w:pPr>
            <w:r>
              <w:rPr>
                <w:rFonts w:ascii="Times New Roman Regular" w:hAnsi="Times New Roman Regular" w:cs="Times New Roman Regular"/>
              </w:rPr>
              <w:t>Gene</w:t>
            </w:r>
          </w:p>
        </w:tc>
        <w:tc>
          <w:tcPr>
            <w:tcW w:w="2190" w:type="pct"/>
          </w:tcPr>
          <w:p>
            <w:pPr>
              <w:pStyle w:val="27"/>
              <w:spacing w:before="138"/>
              <w:ind w:left="97"/>
              <w:rPr>
                <w:rFonts w:ascii="Times New Roman Regular" w:hAnsi="Times New Roman Regular" w:cs="Times New Roman Regular"/>
              </w:rPr>
            </w:pPr>
            <w:r>
              <w:rPr>
                <w:rFonts w:ascii="Times New Roman Regular" w:hAnsi="Times New Roman Regular" w:cs="Times New Roman Regular"/>
                <w:spacing w:val="2"/>
              </w:rPr>
              <w:t>Forward primer</w:t>
            </w:r>
          </w:p>
        </w:tc>
        <w:tc>
          <w:tcPr>
            <w:tcW w:w="2174" w:type="pct"/>
          </w:tcPr>
          <w:p>
            <w:pPr>
              <w:pStyle w:val="27"/>
              <w:spacing w:before="138"/>
              <w:ind w:left="99"/>
              <w:rPr>
                <w:rFonts w:ascii="Times New Roman Regular" w:hAnsi="Times New Roman Regular" w:cs="Times New Roman Regular"/>
              </w:rPr>
            </w:pPr>
            <w:r>
              <w:rPr>
                <w:rFonts w:ascii="Times New Roman Regular" w:hAnsi="Times New Roman Regular" w:cs="Times New Roman Regular"/>
                <w:spacing w:val="2"/>
              </w:rPr>
              <w:t>Reverse primer</w:t>
            </w:r>
          </w:p>
        </w:tc>
      </w:tr>
      <w:tr>
        <w:trPr>
          <w:trHeight w:val="434" w:hRule="atLeast"/>
        </w:trPr>
        <w:tc>
          <w:tcPr>
            <w:tcW w:w="636" w:type="pct"/>
          </w:tcPr>
          <w:p>
            <w:pPr>
              <w:pStyle w:val="27"/>
              <w:spacing w:before="138"/>
              <w:ind w:left="112"/>
              <w:jc w:val="center"/>
              <w:rPr>
                <w:rFonts w:ascii="Times New Roman Regular" w:hAnsi="Times New Roman Regular" w:cs="Times New Roman Regular"/>
              </w:rPr>
            </w:pPr>
            <w:r>
              <w:rPr>
                <w:rFonts w:ascii="Times New Roman Regular" w:hAnsi="Times New Roman Regular" w:cs="Times New Roman Regular"/>
                <w:i/>
                <w:iCs/>
                <w:spacing w:val="4"/>
              </w:rPr>
              <w:t>GAPDH</w:t>
            </w:r>
          </w:p>
        </w:tc>
        <w:tc>
          <w:tcPr>
            <w:tcW w:w="2190" w:type="pct"/>
          </w:tcPr>
          <w:p>
            <w:pPr>
              <w:pStyle w:val="27"/>
              <w:spacing w:before="150"/>
              <w:ind w:left="96"/>
              <w:rPr>
                <w:rFonts w:ascii="Times New Roman Regular" w:hAnsi="Times New Roman Regular" w:cs="Times New Roman Regular"/>
              </w:rPr>
            </w:pPr>
            <w:r>
              <w:rPr>
                <w:rFonts w:ascii="Times New Roman Regular" w:hAnsi="Times New Roman Regular" w:cs="Times New Roman Regular"/>
                <w:spacing w:val="2"/>
              </w:rPr>
              <w:t>ACGGGAAGCTTGTCATCAAT</w:t>
            </w:r>
          </w:p>
        </w:tc>
        <w:tc>
          <w:tcPr>
            <w:tcW w:w="2174" w:type="pct"/>
          </w:tcPr>
          <w:p>
            <w:pPr>
              <w:pStyle w:val="27"/>
              <w:spacing w:before="150"/>
              <w:ind w:left="102"/>
              <w:rPr>
                <w:rFonts w:ascii="Times New Roman Regular" w:hAnsi="Times New Roman Regular" w:cs="Times New Roman Regular"/>
              </w:rPr>
            </w:pPr>
            <w:r>
              <w:rPr>
                <w:rFonts w:ascii="Times New Roman Regular" w:hAnsi="Times New Roman Regular" w:cs="Times New Roman Regular"/>
                <w:spacing w:val="2"/>
              </w:rPr>
              <w:t>TGGACTCCTCGACGTACTCA</w:t>
            </w:r>
          </w:p>
        </w:tc>
      </w:tr>
      <w:tr>
        <w:trPr>
          <w:trHeight w:val="425" w:hRule="atLeast"/>
        </w:trPr>
        <w:tc>
          <w:tcPr>
            <w:tcW w:w="636" w:type="pct"/>
          </w:tcPr>
          <w:p>
            <w:pPr>
              <w:pStyle w:val="27"/>
              <w:spacing w:before="141"/>
              <w:ind w:left="87"/>
              <w:jc w:val="center"/>
              <w:rPr>
                <w:rFonts w:ascii="Times New Roman Regular" w:hAnsi="Times New Roman Regular" w:cs="Times New Roman Regular"/>
                <w:i/>
                <w:iCs/>
                <w:spacing w:val="11"/>
              </w:rPr>
            </w:pPr>
            <w:r>
              <w:rPr>
                <w:rFonts w:hint="eastAsia" w:ascii="Times New Roman Regular" w:hAnsi="Times New Roman Regular" w:cs="Times New Roman Regular"/>
                <w:i/>
                <w:iCs/>
                <w:spacing w:val="11"/>
              </w:rPr>
              <w:t>cPLA2</w:t>
            </w:r>
          </w:p>
        </w:tc>
        <w:tc>
          <w:tcPr>
            <w:tcW w:w="2190" w:type="pct"/>
          </w:tcPr>
          <w:p>
            <w:pPr>
              <w:pStyle w:val="27"/>
              <w:spacing w:before="141"/>
              <w:ind w:left="102"/>
              <w:rPr>
                <w:rFonts w:ascii="Times New Roman Regular" w:hAnsi="Times New Roman Regular" w:cs="Times New Roman Regular"/>
                <w:spacing w:val="1"/>
              </w:rPr>
            </w:pPr>
            <w:r>
              <w:rPr>
                <w:rFonts w:hint="eastAsia" w:ascii="Times New Roman Regular" w:hAnsi="Times New Roman Regular" w:cs="Times New Roman Regular"/>
                <w:spacing w:val="1"/>
              </w:rPr>
              <w:t>CCTTTCTCTGGAAAATCAGGGTG</w:t>
            </w:r>
          </w:p>
        </w:tc>
        <w:tc>
          <w:tcPr>
            <w:tcW w:w="2174" w:type="pct"/>
          </w:tcPr>
          <w:p>
            <w:pPr>
              <w:pStyle w:val="27"/>
              <w:spacing w:before="141"/>
              <w:ind w:left="97"/>
              <w:rPr>
                <w:rFonts w:ascii="Times New Roman Regular" w:hAnsi="Times New Roman Regular" w:cs="Times New Roman Regular"/>
                <w:spacing w:val="2"/>
              </w:rPr>
            </w:pPr>
            <w:r>
              <w:rPr>
                <w:rFonts w:hint="eastAsia" w:ascii="Times New Roman Regular" w:hAnsi="Times New Roman Regular" w:cs="Times New Roman Regular"/>
                <w:spacing w:val="2"/>
              </w:rPr>
              <w:t>GGATTCTCTGGTGTGATGAAGGC</w:t>
            </w:r>
          </w:p>
        </w:tc>
      </w:tr>
      <w:tr>
        <w:trPr>
          <w:trHeight w:val="425" w:hRule="atLeast"/>
        </w:trPr>
        <w:tc>
          <w:tcPr>
            <w:tcW w:w="636" w:type="pct"/>
          </w:tcPr>
          <w:p>
            <w:pPr>
              <w:pStyle w:val="27"/>
              <w:spacing w:before="141"/>
              <w:ind w:left="87"/>
              <w:jc w:val="center"/>
              <w:rPr>
                <w:rFonts w:ascii="Times New Roman Regular" w:hAnsi="Times New Roman Regular" w:cs="Times New Roman Regular"/>
              </w:rPr>
            </w:pPr>
            <w:r>
              <w:rPr>
                <w:rFonts w:ascii="Times New Roman Regular" w:hAnsi="Times New Roman Regular" w:cs="Times New Roman Regular"/>
                <w:i/>
                <w:iCs/>
                <w:spacing w:val="11"/>
              </w:rPr>
              <w:t>ACAN</w:t>
            </w:r>
          </w:p>
        </w:tc>
        <w:tc>
          <w:tcPr>
            <w:tcW w:w="2190" w:type="pct"/>
          </w:tcPr>
          <w:p>
            <w:pPr>
              <w:pStyle w:val="27"/>
              <w:spacing w:before="141"/>
              <w:ind w:left="102"/>
              <w:rPr>
                <w:rFonts w:ascii="Times New Roman Regular" w:hAnsi="Times New Roman Regular" w:cs="Times New Roman Regular"/>
              </w:rPr>
            </w:pPr>
            <w:r>
              <w:rPr>
                <w:rFonts w:ascii="Times New Roman Regular" w:hAnsi="Times New Roman Regular" w:cs="Times New Roman Regular"/>
                <w:spacing w:val="1"/>
              </w:rPr>
              <w:t>GGGAAGGCTGCTATGGAGAC</w:t>
            </w:r>
          </w:p>
        </w:tc>
        <w:tc>
          <w:tcPr>
            <w:tcW w:w="2174" w:type="pct"/>
          </w:tcPr>
          <w:p>
            <w:pPr>
              <w:pStyle w:val="27"/>
              <w:spacing w:before="141"/>
              <w:ind w:left="97"/>
              <w:rPr>
                <w:rFonts w:ascii="Times New Roman Regular" w:hAnsi="Times New Roman Regular" w:cs="Times New Roman Regular"/>
              </w:rPr>
            </w:pPr>
            <w:r>
              <w:rPr>
                <w:rFonts w:ascii="Times New Roman Regular" w:hAnsi="Times New Roman Regular" w:cs="Times New Roman Regular"/>
                <w:spacing w:val="2"/>
              </w:rPr>
              <w:t>ACCTCACCCTCCATCTCCTC</w:t>
            </w:r>
          </w:p>
        </w:tc>
      </w:tr>
      <w:tr>
        <w:trPr>
          <w:trHeight w:val="425" w:hRule="atLeast"/>
        </w:trPr>
        <w:tc>
          <w:tcPr>
            <w:tcW w:w="636" w:type="pct"/>
          </w:tcPr>
          <w:p>
            <w:pPr>
              <w:pStyle w:val="27"/>
              <w:spacing w:before="140"/>
              <w:ind w:left="112"/>
              <w:jc w:val="center"/>
              <w:rPr>
                <w:rFonts w:ascii="Times New Roman Regular" w:hAnsi="Times New Roman Regular" w:cs="Times New Roman Regular"/>
              </w:rPr>
            </w:pPr>
            <w:r>
              <w:rPr>
                <w:rFonts w:ascii="Times New Roman Regular" w:hAnsi="Times New Roman Regular" w:cs="Times New Roman Regular"/>
                <w:i/>
                <w:iCs/>
              </w:rPr>
              <w:t>COL</w:t>
            </w:r>
            <w:r>
              <w:rPr>
                <w:rFonts w:ascii="Times New Roman Regular" w:hAnsi="Times New Roman Regular" w:cs="Times New Roman Regular"/>
                <w:i/>
                <w:iCs/>
                <w:spacing w:val="2"/>
              </w:rPr>
              <w:t>2A1</w:t>
            </w:r>
          </w:p>
        </w:tc>
        <w:tc>
          <w:tcPr>
            <w:tcW w:w="2190" w:type="pct"/>
          </w:tcPr>
          <w:p>
            <w:pPr>
              <w:pStyle w:val="27"/>
              <w:spacing w:before="140"/>
              <w:ind w:left="102"/>
              <w:rPr>
                <w:rFonts w:ascii="Times New Roman Regular" w:hAnsi="Times New Roman Regular" w:cs="Times New Roman Regular"/>
              </w:rPr>
            </w:pPr>
            <w:r>
              <w:rPr>
                <w:rFonts w:ascii="Times New Roman Regular" w:hAnsi="Times New Roman Regular" w:cs="Times New Roman Regular"/>
                <w:spacing w:val="3"/>
              </w:rPr>
              <w:t>CTGGAAAAGCTGGTGAAAGG</w:t>
            </w:r>
          </w:p>
        </w:tc>
        <w:tc>
          <w:tcPr>
            <w:tcW w:w="2174" w:type="pct"/>
          </w:tcPr>
          <w:p>
            <w:pPr>
              <w:pStyle w:val="27"/>
              <w:spacing w:before="140"/>
              <w:ind w:left="103"/>
              <w:rPr>
                <w:rFonts w:ascii="Times New Roman Regular" w:hAnsi="Times New Roman Regular" w:cs="Times New Roman Regular"/>
              </w:rPr>
            </w:pPr>
            <w:r>
              <w:rPr>
                <w:rFonts w:ascii="Times New Roman Regular" w:hAnsi="Times New Roman Regular" w:cs="Times New Roman Regular"/>
                <w:spacing w:val="1"/>
              </w:rPr>
              <w:t>GGCCTGGATAACCTCTGTGA</w:t>
            </w:r>
          </w:p>
        </w:tc>
      </w:tr>
      <w:tr>
        <w:trPr>
          <w:trHeight w:val="425" w:hRule="atLeast"/>
        </w:trPr>
        <w:tc>
          <w:tcPr>
            <w:tcW w:w="636" w:type="pct"/>
          </w:tcPr>
          <w:p>
            <w:pPr>
              <w:pStyle w:val="27"/>
              <w:spacing w:before="140"/>
              <w:ind w:left="90"/>
              <w:jc w:val="center"/>
              <w:rPr>
                <w:rFonts w:ascii="Times New Roman Regular" w:hAnsi="Times New Roman Regular" w:cs="Times New Roman Regular"/>
              </w:rPr>
            </w:pPr>
            <w:r>
              <w:rPr>
                <w:rFonts w:ascii="Times New Roman Regular" w:hAnsi="Times New Roman Regular" w:cs="Times New Roman Regular"/>
                <w:i/>
                <w:iCs/>
              </w:rPr>
              <w:t>MMP</w:t>
            </w:r>
            <w:r>
              <w:rPr>
                <w:rFonts w:ascii="Times New Roman Regular" w:hAnsi="Times New Roman Regular" w:cs="Times New Roman Regular"/>
                <w:i/>
                <w:iCs/>
                <w:spacing w:val="12"/>
              </w:rPr>
              <w:t>13</w:t>
            </w:r>
          </w:p>
        </w:tc>
        <w:tc>
          <w:tcPr>
            <w:tcW w:w="2190" w:type="pct"/>
          </w:tcPr>
          <w:p>
            <w:pPr>
              <w:pStyle w:val="27"/>
              <w:spacing w:before="140"/>
              <w:ind w:left="100"/>
              <w:rPr>
                <w:rFonts w:ascii="Times New Roman Regular" w:hAnsi="Times New Roman Regular" w:cs="Times New Roman Regular"/>
              </w:rPr>
            </w:pPr>
            <w:r>
              <w:rPr>
                <w:rFonts w:ascii="Times New Roman Regular" w:hAnsi="Times New Roman Regular" w:cs="Times New Roman Regular"/>
              </w:rPr>
              <w:t>TGACCCTTCCTTATCCCTTG</w:t>
            </w:r>
          </w:p>
        </w:tc>
        <w:tc>
          <w:tcPr>
            <w:tcW w:w="2174" w:type="pct"/>
          </w:tcPr>
          <w:p>
            <w:pPr>
              <w:pStyle w:val="27"/>
              <w:spacing w:before="140"/>
              <w:ind w:left="97"/>
              <w:rPr>
                <w:rFonts w:ascii="Times New Roman Regular" w:hAnsi="Times New Roman Regular" w:cs="Times New Roman Regular"/>
              </w:rPr>
            </w:pPr>
            <w:r>
              <w:rPr>
                <w:rFonts w:ascii="Times New Roman Regular" w:hAnsi="Times New Roman Regular" w:cs="Times New Roman Regular"/>
              </w:rPr>
              <w:t>ATACGGTTGGGAAGTTCTGG</w:t>
            </w:r>
          </w:p>
        </w:tc>
      </w:tr>
      <w:tr>
        <w:trPr>
          <w:trHeight w:val="425" w:hRule="atLeast"/>
        </w:trPr>
        <w:tc>
          <w:tcPr>
            <w:tcW w:w="636" w:type="pct"/>
          </w:tcPr>
          <w:p>
            <w:pPr>
              <w:pStyle w:val="27"/>
              <w:spacing w:before="140"/>
              <w:ind w:left="90"/>
              <w:jc w:val="center"/>
              <w:rPr>
                <w:rFonts w:ascii="Times New Roman Regular" w:hAnsi="Times New Roman Regular" w:cs="Times New Roman Regular"/>
                <w:i/>
                <w:iCs/>
              </w:rPr>
            </w:pPr>
            <w:r>
              <w:rPr>
                <w:rFonts w:ascii="Times New Roman Regular" w:hAnsi="Times New Roman Regular" w:cs="Times New Roman Regular"/>
                <w:i/>
                <w:iCs/>
                <w:spacing w:val="12"/>
              </w:rPr>
              <w:t>ADAMTS5</w:t>
            </w:r>
          </w:p>
        </w:tc>
        <w:tc>
          <w:tcPr>
            <w:tcW w:w="2190" w:type="pct"/>
          </w:tcPr>
          <w:p>
            <w:pPr>
              <w:pStyle w:val="27"/>
              <w:spacing w:before="140"/>
              <w:ind w:left="100"/>
              <w:rPr>
                <w:rFonts w:ascii="Times New Roman Regular" w:hAnsi="Times New Roman Regular" w:cs="Times New Roman Regular"/>
              </w:rPr>
            </w:pPr>
            <w:r>
              <w:rPr>
                <w:rFonts w:ascii="Times New Roman Regular" w:hAnsi="Times New Roman Regular" w:cs="Times New Roman Regular"/>
              </w:rPr>
              <w:t>TTTGGACCAGGGCTTAGATG</w:t>
            </w:r>
          </w:p>
        </w:tc>
        <w:tc>
          <w:tcPr>
            <w:tcW w:w="2174" w:type="pct"/>
          </w:tcPr>
          <w:p>
            <w:pPr>
              <w:pStyle w:val="27"/>
              <w:spacing w:before="140"/>
              <w:ind w:left="97"/>
              <w:rPr>
                <w:rFonts w:ascii="Times New Roman Regular" w:hAnsi="Times New Roman Regular" w:cs="Times New Roman Regular"/>
              </w:rPr>
            </w:pPr>
            <w:r>
              <w:rPr>
                <w:rFonts w:ascii="Times New Roman Regular" w:hAnsi="Times New Roman Regular" w:cs="Times New Roman Regular"/>
              </w:rPr>
              <w:t>CTTCACTGTGGCTCACGAAA</w:t>
            </w:r>
          </w:p>
        </w:tc>
      </w:tr>
    </w:tbl>
    <w:p>
      <w:pPr>
        <w:pStyle w:val="7"/>
        <w:rPr>
          <w:rFonts w:ascii="Times New Roman Regular" w:hAnsi="Times New Roman Regular" w:cs="Times New Roman Regular"/>
        </w:rPr>
      </w:pPr>
      <w:r>
        <w:rPr>
          <w:rFonts w:ascii="Times New Roman Regular" w:hAnsi="Times New Roman Regular" w:cs="Times New Roman Regular"/>
        </w:rPr>
        <w:t xml:space="preserve">Abbreviations: GAPDH, glyceraldehyde-3-phosphate dehydrogenase; </w:t>
      </w:r>
      <w:r>
        <w:rPr>
          <w:rFonts w:hint="eastAsia" w:ascii="Times New Roman Regular" w:hAnsi="Times New Roman Regular" w:cs="Times New Roman Regular"/>
          <w:i/>
          <w:iCs/>
          <w:spacing w:val="11"/>
        </w:rPr>
        <w:t>cPLA2</w:t>
      </w:r>
      <w:r>
        <w:rPr>
          <w:rFonts w:hint="eastAsia" w:ascii="Times New Roman Regular" w:hAnsi="Times New Roman Regular" w:cs="Times New Roman Regular"/>
          <w:spacing w:val="11"/>
        </w:rPr>
        <w:t>,</w:t>
      </w:r>
      <w:r>
        <w:t xml:space="preserve"> </w:t>
      </w:r>
      <w:r>
        <w:rPr>
          <w:rFonts w:ascii="Times New Roman Regular" w:hAnsi="Times New Roman Regular" w:cs="Times New Roman Regular"/>
          <w:spacing w:val="11"/>
        </w:rPr>
        <w:t>Cytosolic phospholipase A2</w:t>
      </w:r>
      <w:r>
        <w:rPr>
          <w:rFonts w:hint="eastAsia" w:ascii="Times New Roman Regular" w:hAnsi="Times New Roman Regular" w:cs="Times New Roman Regular"/>
          <w:spacing w:val="11"/>
        </w:rPr>
        <w:t xml:space="preserve">; </w:t>
      </w:r>
      <w:r>
        <w:rPr>
          <w:rFonts w:ascii="Times New Roman Regular" w:hAnsi="Times New Roman Regular" w:cs="Times New Roman Regular"/>
        </w:rPr>
        <w:t>ACAN, aggrecan; COL2A1, collagen type II alpha 1 chain; ADAMTS5, ADAM metallopeptidase with thrombospondin type 1 motif 5; MMP13, matrix metallopeptidase 13.</w:t>
      </w:r>
    </w:p>
    <w:p>
      <w:pPr>
        <w:spacing w:line="360" w:lineRule="auto"/>
        <w:rPr>
          <w:rFonts w:ascii="Times New Roman Regular" w:hAnsi="Times New Roman Regular" w:cs="Times New Roman Regular"/>
          <w:b/>
          <w:bCs/>
        </w:rPr>
      </w:pPr>
      <w:r>
        <w:rPr>
          <w:rFonts w:ascii="Times New Roman Regular" w:hAnsi="Times New Roman Regular" w:cs="Times New Roman Regular"/>
          <w:b/>
          <w:bCs/>
        </w:rPr>
        <w:t>Reference</w:t>
      </w:r>
    </w:p>
    <w:p>
      <w:pPr>
        <w:pStyle w:val="24"/>
        <w:rPr>
          <w:rFonts w:ascii="Times New Roman" w:hAnsi="Times New Roman" w:cs="Times New Roman"/>
          <w:sz w:val="24"/>
        </w:rPr>
      </w:pPr>
      <w:r>
        <w:rPr>
          <w:rFonts w:ascii="Times New Roman" w:hAnsi="Times New Roman" w:cs="Times New Roman"/>
          <w:b/>
          <w:bCs/>
          <w:sz w:val="24"/>
        </w:rPr>
        <w:fldChar w:fldCharType="begin"/>
      </w:r>
      <w:r>
        <w:rPr>
          <w:rFonts w:ascii="Times New Roman" w:hAnsi="Times New Roman" w:cs="Times New Roman"/>
          <w:b/>
          <w:bCs/>
          <w:sz w:val="24"/>
        </w:rPr>
        <w:instrText xml:space="preserve"> ADDIN EN.REFLIST </w:instrText>
      </w:r>
      <w:r>
        <w:rPr>
          <w:rFonts w:ascii="Times New Roman" w:hAnsi="Times New Roman" w:cs="Times New Roman"/>
          <w:b/>
          <w:bCs/>
          <w:sz w:val="24"/>
        </w:rPr>
        <w:fldChar w:fldCharType="separate"/>
      </w: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Swahn H, Li K, Duffy T, Olmer M, D'Lima DD, Mondala TS, et al. Senescent cell population with ZEB1 transcription factor as its main regulator promotes osteoarthritis in cartilage and meniscus. Ann Rheum Dis. 2023;82(3):403-15.</w:t>
      </w:r>
    </w:p>
    <w:p>
      <w:pPr>
        <w:spacing w:line="360" w:lineRule="auto"/>
        <w:rPr>
          <w:rFonts w:ascii="Times New Roman Regular" w:hAnsi="Times New Roman Regular" w:cs="Times New Roman Regular"/>
          <w:b/>
          <w:bCs/>
        </w:rPr>
      </w:pPr>
      <w:r>
        <w:rPr>
          <w:rFonts w:ascii="Times New Roman" w:hAnsi="Times New Roman" w:cs="Times New Roman"/>
          <w:b/>
          <w:bCs/>
          <w:sz w:val="24"/>
        </w:rPr>
        <w:fldChar w:fldCharType="end"/>
      </w: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libri Light">
    <w:altName w:val="Helvetica Neue"/>
    <w:panose1 w:val="020F0302020204030204"/>
    <w:charset w:val="00"/>
    <w:family w:val="swiss"/>
    <w:pitch w:val="default"/>
    <w:sig w:usb0="00000000" w:usb1="00000000" w:usb2="00000009" w:usb3="00000000" w:csb0="000001FF" w:csb1="00000000"/>
  </w:font>
  <w:font w:name="Tahoma">
    <w:panose1 w:val="020B0804030504040204"/>
    <w:charset w:val="00"/>
    <w:family w:val="swiss"/>
    <w:pitch w:val="default"/>
    <w:sig w:usb0="E1002AFF" w:usb1="C000605B" w:usb2="00000029" w:usb3="00000000" w:csb0="200101FF" w:csb1="20280000"/>
  </w:font>
  <w:font w:name=".applesystemuifont">
    <w:altName w:val="苹方-简"/>
    <w:panose1 w:val="020B0604020202020204"/>
    <w:charset w:val="00"/>
    <w:family w:val="auto"/>
    <w:pitch w:val="default"/>
    <w:sig w:usb0="00000000" w:usb1="00000000" w:usb2="00000000" w:usb3="00000000" w:csb0="00000000" w:csb1="00000000"/>
  </w:font>
  <w:font w:name="Times New Roman Regular">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9"/>
          <w:jc w:val="center"/>
        </w:pPr>
        <w:r>
          <w:fldChar w:fldCharType="begin"/>
        </w:r>
        <w:r>
          <w:instrText xml:space="preserve"> PAGE   \* MERGEFORMAT </w:instrText>
        </w:r>
        <w:r>
          <w:fldChar w:fldCharType="separate"/>
        </w:r>
        <w:r>
          <w:t>2</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72AB4"/>
    <w:multiLevelType w:val="multilevel"/>
    <w:tmpl w:val="14972AB4"/>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1BF60C2C"/>
    <w:rsid w:val="00005198"/>
    <w:rsid w:val="00027C01"/>
    <w:rsid w:val="000627DB"/>
    <w:rsid w:val="00067505"/>
    <w:rsid w:val="00071C27"/>
    <w:rsid w:val="00073649"/>
    <w:rsid w:val="000C4D06"/>
    <w:rsid w:val="00106CD1"/>
    <w:rsid w:val="00122FA4"/>
    <w:rsid w:val="00137C91"/>
    <w:rsid w:val="001450AA"/>
    <w:rsid w:val="00152651"/>
    <w:rsid w:val="001561D8"/>
    <w:rsid w:val="00157860"/>
    <w:rsid w:val="00191418"/>
    <w:rsid w:val="00192B2E"/>
    <w:rsid w:val="00195033"/>
    <w:rsid w:val="001951C3"/>
    <w:rsid w:val="001B026F"/>
    <w:rsid w:val="001B33B0"/>
    <w:rsid w:val="001B7AE6"/>
    <w:rsid w:val="001C24F8"/>
    <w:rsid w:val="001C3B4E"/>
    <w:rsid w:val="001D5166"/>
    <w:rsid w:val="001E4469"/>
    <w:rsid w:val="00201203"/>
    <w:rsid w:val="002141AA"/>
    <w:rsid w:val="00216DDB"/>
    <w:rsid w:val="00231289"/>
    <w:rsid w:val="0023710B"/>
    <w:rsid w:val="00295187"/>
    <w:rsid w:val="002969F7"/>
    <w:rsid w:val="002A6243"/>
    <w:rsid w:val="002B54E8"/>
    <w:rsid w:val="002F2D33"/>
    <w:rsid w:val="002F4981"/>
    <w:rsid w:val="003045E2"/>
    <w:rsid w:val="00317D59"/>
    <w:rsid w:val="00321579"/>
    <w:rsid w:val="00332E0C"/>
    <w:rsid w:val="00333F92"/>
    <w:rsid w:val="00350084"/>
    <w:rsid w:val="00377692"/>
    <w:rsid w:val="00382AD1"/>
    <w:rsid w:val="003919BB"/>
    <w:rsid w:val="003B6AF0"/>
    <w:rsid w:val="003D3480"/>
    <w:rsid w:val="003D38EB"/>
    <w:rsid w:val="00401665"/>
    <w:rsid w:val="00411A66"/>
    <w:rsid w:val="004142CE"/>
    <w:rsid w:val="004170B6"/>
    <w:rsid w:val="00422111"/>
    <w:rsid w:val="00446E88"/>
    <w:rsid w:val="00487E44"/>
    <w:rsid w:val="00497B07"/>
    <w:rsid w:val="004A5E84"/>
    <w:rsid w:val="004A62F6"/>
    <w:rsid w:val="004C6D79"/>
    <w:rsid w:val="004E4951"/>
    <w:rsid w:val="00515160"/>
    <w:rsid w:val="00516CA7"/>
    <w:rsid w:val="00522400"/>
    <w:rsid w:val="00536EB6"/>
    <w:rsid w:val="00542AA0"/>
    <w:rsid w:val="005901D2"/>
    <w:rsid w:val="005965FC"/>
    <w:rsid w:val="005A4ED8"/>
    <w:rsid w:val="005A6728"/>
    <w:rsid w:val="005B795F"/>
    <w:rsid w:val="005C6182"/>
    <w:rsid w:val="005E555F"/>
    <w:rsid w:val="005F09C5"/>
    <w:rsid w:val="005F792E"/>
    <w:rsid w:val="00677E33"/>
    <w:rsid w:val="00677FF2"/>
    <w:rsid w:val="00683FC1"/>
    <w:rsid w:val="00694DE8"/>
    <w:rsid w:val="00695604"/>
    <w:rsid w:val="006C3DBC"/>
    <w:rsid w:val="006E0F02"/>
    <w:rsid w:val="006F2D24"/>
    <w:rsid w:val="00702EB8"/>
    <w:rsid w:val="007121AA"/>
    <w:rsid w:val="00732964"/>
    <w:rsid w:val="00735B7A"/>
    <w:rsid w:val="00750D75"/>
    <w:rsid w:val="00753D97"/>
    <w:rsid w:val="00755A4C"/>
    <w:rsid w:val="00757BBA"/>
    <w:rsid w:val="00761B1C"/>
    <w:rsid w:val="007879BB"/>
    <w:rsid w:val="00792141"/>
    <w:rsid w:val="00813E49"/>
    <w:rsid w:val="00816FE2"/>
    <w:rsid w:val="00823C4B"/>
    <w:rsid w:val="00855509"/>
    <w:rsid w:val="008E5FE4"/>
    <w:rsid w:val="00904FC4"/>
    <w:rsid w:val="00916B52"/>
    <w:rsid w:val="00921AAD"/>
    <w:rsid w:val="00926601"/>
    <w:rsid w:val="009314C4"/>
    <w:rsid w:val="009C1FF3"/>
    <w:rsid w:val="009C56D1"/>
    <w:rsid w:val="009F05EC"/>
    <w:rsid w:val="009F4E6C"/>
    <w:rsid w:val="009F6CCB"/>
    <w:rsid w:val="00A20747"/>
    <w:rsid w:val="00A31165"/>
    <w:rsid w:val="00A3500B"/>
    <w:rsid w:val="00A527A8"/>
    <w:rsid w:val="00A6255B"/>
    <w:rsid w:val="00A82572"/>
    <w:rsid w:val="00A858AC"/>
    <w:rsid w:val="00A964B7"/>
    <w:rsid w:val="00AA05C9"/>
    <w:rsid w:val="00AB4A83"/>
    <w:rsid w:val="00AB6E93"/>
    <w:rsid w:val="00B25039"/>
    <w:rsid w:val="00B32829"/>
    <w:rsid w:val="00B50C8E"/>
    <w:rsid w:val="00B54950"/>
    <w:rsid w:val="00B5770E"/>
    <w:rsid w:val="00BA13EF"/>
    <w:rsid w:val="00BA2742"/>
    <w:rsid w:val="00BD4714"/>
    <w:rsid w:val="00C13BCA"/>
    <w:rsid w:val="00C22C04"/>
    <w:rsid w:val="00C52814"/>
    <w:rsid w:val="00C6586C"/>
    <w:rsid w:val="00C92B93"/>
    <w:rsid w:val="00CC044B"/>
    <w:rsid w:val="00CC1FB1"/>
    <w:rsid w:val="00CE320A"/>
    <w:rsid w:val="00CE442B"/>
    <w:rsid w:val="00CF27D4"/>
    <w:rsid w:val="00CF29D8"/>
    <w:rsid w:val="00CF75B2"/>
    <w:rsid w:val="00D020C3"/>
    <w:rsid w:val="00D02114"/>
    <w:rsid w:val="00D05E0A"/>
    <w:rsid w:val="00D15A87"/>
    <w:rsid w:val="00D339A2"/>
    <w:rsid w:val="00D5204F"/>
    <w:rsid w:val="00D56093"/>
    <w:rsid w:val="00D7272C"/>
    <w:rsid w:val="00D85048"/>
    <w:rsid w:val="00DC21FA"/>
    <w:rsid w:val="00E24254"/>
    <w:rsid w:val="00E36185"/>
    <w:rsid w:val="00E65498"/>
    <w:rsid w:val="00E748C4"/>
    <w:rsid w:val="00E76EC8"/>
    <w:rsid w:val="00E81E6F"/>
    <w:rsid w:val="00E90891"/>
    <w:rsid w:val="00E92CF3"/>
    <w:rsid w:val="00E94ACF"/>
    <w:rsid w:val="00E97E07"/>
    <w:rsid w:val="00EB1E05"/>
    <w:rsid w:val="00EB489A"/>
    <w:rsid w:val="00EB499D"/>
    <w:rsid w:val="00EB4E86"/>
    <w:rsid w:val="00EC75BA"/>
    <w:rsid w:val="00ED130C"/>
    <w:rsid w:val="00ED327C"/>
    <w:rsid w:val="00EE2797"/>
    <w:rsid w:val="00EF2137"/>
    <w:rsid w:val="00F059D2"/>
    <w:rsid w:val="00F323F7"/>
    <w:rsid w:val="00F556EE"/>
    <w:rsid w:val="00F64CC7"/>
    <w:rsid w:val="00F71D6B"/>
    <w:rsid w:val="00F740E4"/>
    <w:rsid w:val="00F81D02"/>
    <w:rsid w:val="00F84F99"/>
    <w:rsid w:val="00FD3856"/>
    <w:rsid w:val="00FE47E8"/>
    <w:rsid w:val="00FF63D5"/>
    <w:rsid w:val="064C44F6"/>
    <w:rsid w:val="07EC2E3C"/>
    <w:rsid w:val="0E282D8E"/>
    <w:rsid w:val="0F0576A4"/>
    <w:rsid w:val="17FF0CD7"/>
    <w:rsid w:val="1BF60C2C"/>
    <w:rsid w:val="1BFE39AF"/>
    <w:rsid w:val="1C2D50A4"/>
    <w:rsid w:val="1C7F72BE"/>
    <w:rsid w:val="1D775102"/>
    <w:rsid w:val="26190A7D"/>
    <w:rsid w:val="266D3259"/>
    <w:rsid w:val="2DBD4204"/>
    <w:rsid w:val="2EFF1B11"/>
    <w:rsid w:val="31592A40"/>
    <w:rsid w:val="38804D57"/>
    <w:rsid w:val="39F75472"/>
    <w:rsid w:val="3B0C0B24"/>
    <w:rsid w:val="3EDF5E49"/>
    <w:rsid w:val="3EE031C1"/>
    <w:rsid w:val="3FA1705E"/>
    <w:rsid w:val="3FBE76FA"/>
    <w:rsid w:val="4CFD9810"/>
    <w:rsid w:val="5147420C"/>
    <w:rsid w:val="55FC673B"/>
    <w:rsid w:val="5A105AE3"/>
    <w:rsid w:val="5DDBBD7F"/>
    <w:rsid w:val="5F6F560B"/>
    <w:rsid w:val="622B3AA0"/>
    <w:rsid w:val="6AC4C3CB"/>
    <w:rsid w:val="6F3E8839"/>
    <w:rsid w:val="74B10CE3"/>
    <w:rsid w:val="75EB95EE"/>
    <w:rsid w:val="76B37ACA"/>
    <w:rsid w:val="7B9B6279"/>
    <w:rsid w:val="7BF7D03D"/>
    <w:rsid w:val="7D0D5B75"/>
    <w:rsid w:val="7D77229B"/>
    <w:rsid w:val="7E8F215B"/>
    <w:rsid w:val="7EFB4299"/>
    <w:rsid w:val="7F7E81A5"/>
    <w:rsid w:val="7FF52488"/>
    <w:rsid w:val="7FFFADFA"/>
    <w:rsid w:val="9BFCFF95"/>
    <w:rsid w:val="BDF94DFF"/>
    <w:rsid w:val="DBBFEF55"/>
    <w:rsid w:val="DEBF1681"/>
    <w:rsid w:val="DEFDC66F"/>
    <w:rsid w:val="F9F1B4D0"/>
    <w:rsid w:val="FCFD6AFC"/>
    <w:rsid w:val="FDCD5C7F"/>
    <w:rsid w:val="FEB7FA4B"/>
    <w:rsid w:val="FFEB8DFF"/>
    <w:rsid w:val="FFFE9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4"/>
    <w:qFormat/>
    <w:uiPriority w:val="0"/>
    <w:pPr>
      <w:keepNext/>
      <w:keepLines/>
      <w:spacing w:before="240"/>
      <w:outlineLvl w:val="0"/>
    </w:pPr>
    <w:rPr>
      <w:rFonts w:asciiTheme="majorHAnsi" w:hAnsiTheme="majorHAnsi" w:eastAsiaTheme="majorEastAsia" w:cstheme="majorBidi"/>
      <w:color w:val="2E54A1" w:themeColor="accent1" w:themeShade="BF"/>
      <w:sz w:val="32"/>
      <w:szCs w:val="32"/>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link w:val="32"/>
    <w:semiHidden/>
    <w:unhideWhenUsed/>
    <w:qFormat/>
    <w:uiPriority w:val="0"/>
    <w:pPr>
      <w:keepNext/>
      <w:keepLines/>
      <w:spacing w:before="40"/>
      <w:outlineLvl w:val="2"/>
    </w:pPr>
    <w:rPr>
      <w:rFonts w:asciiTheme="majorHAnsi" w:hAnsiTheme="majorHAnsi" w:eastAsiaTheme="majorEastAsia" w:cstheme="majorBidi"/>
      <w:color w:val="1E386B" w:themeColor="accent1" w:themeShade="80"/>
      <w:sz w:val="24"/>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link w:val="26"/>
    <w:unhideWhenUsed/>
    <w:qFormat/>
    <w:uiPriority w:val="99"/>
    <w:rPr>
      <w:rFonts w:ascii="Times New Roman" w:hAnsi="Times New Roman" w:eastAsia="宋体" w:cs="Times New Roman"/>
      <w:szCs w:val="21"/>
    </w:rPr>
  </w:style>
  <w:style w:type="paragraph" w:styleId="8">
    <w:name w:val="Balloon Text"/>
    <w:basedOn w:val="1"/>
    <w:link w:val="21"/>
    <w:qFormat/>
    <w:uiPriority w:val="0"/>
    <w:rPr>
      <w:rFonts w:ascii="Tahoma" w:hAnsi="Tahoma" w:cs="Tahoma"/>
      <w:sz w:val="16"/>
      <w:szCs w:val="16"/>
    </w:rPr>
  </w:style>
  <w:style w:type="paragraph" w:styleId="9">
    <w:name w:val="footer"/>
    <w:basedOn w:val="1"/>
    <w:link w:val="31"/>
    <w:qFormat/>
    <w:uiPriority w:val="99"/>
    <w:pPr>
      <w:tabs>
        <w:tab w:val="center" w:pos="4680"/>
        <w:tab w:val="right" w:pos="9360"/>
      </w:tabs>
    </w:pPr>
  </w:style>
  <w:style w:type="paragraph" w:styleId="10">
    <w:name w:val="header"/>
    <w:basedOn w:val="1"/>
    <w:link w:val="30"/>
    <w:qFormat/>
    <w:uiPriority w:val="0"/>
    <w:pPr>
      <w:tabs>
        <w:tab w:val="center" w:pos="4680"/>
        <w:tab w:val="right" w:pos="9360"/>
      </w:tabs>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2">
    <w:name w:val="Normal (Web)"/>
    <w:basedOn w:val="1"/>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Emphasis"/>
    <w:basedOn w:val="15"/>
    <w:qFormat/>
    <w:uiPriority w:val="0"/>
    <w:rPr>
      <w:i/>
    </w:rPr>
  </w:style>
  <w:style w:type="character" w:styleId="18">
    <w:name w:val="line number"/>
    <w:basedOn w:val="15"/>
    <w:qFormat/>
    <w:uiPriority w:val="0"/>
  </w:style>
  <w:style w:type="character" w:styleId="19">
    <w:name w:val="Hyperlink"/>
    <w:basedOn w:val="15"/>
    <w:qFormat/>
    <w:uiPriority w:val="0"/>
    <w:rPr>
      <w:color w:val="0000FF"/>
      <w:u w:val="single"/>
    </w:rPr>
  </w:style>
  <w:style w:type="paragraph" w:customStyle="1" w:styleId="20">
    <w:name w:val="p1"/>
    <w:basedOn w:val="1"/>
    <w:qFormat/>
    <w:uiPriority w:val="0"/>
    <w:pPr>
      <w:jc w:val="left"/>
    </w:pPr>
    <w:rPr>
      <w:rFonts w:ascii=".applesystemuifont" w:hAnsi=".applesystemuifont" w:eastAsia=".applesystemuifont" w:cs="Times New Roman"/>
      <w:color w:val="0E0E0E"/>
      <w:kern w:val="0"/>
      <w:sz w:val="28"/>
      <w:szCs w:val="28"/>
    </w:rPr>
  </w:style>
  <w:style w:type="character" w:customStyle="1" w:styleId="21">
    <w:name w:val="批注框文本 字符"/>
    <w:basedOn w:val="15"/>
    <w:link w:val="8"/>
    <w:qFormat/>
    <w:uiPriority w:val="0"/>
    <w:rPr>
      <w:rFonts w:ascii="Tahoma" w:hAnsi="Tahoma" w:cs="Tahoma" w:eastAsiaTheme="minorEastAsia"/>
      <w:kern w:val="2"/>
      <w:sz w:val="16"/>
      <w:szCs w:val="16"/>
    </w:rPr>
  </w:style>
  <w:style w:type="paragraph" w:customStyle="1" w:styleId="22">
    <w:name w:val="EndNote Bibliography Title"/>
    <w:basedOn w:val="1"/>
    <w:link w:val="23"/>
    <w:qFormat/>
    <w:uiPriority w:val="0"/>
    <w:pPr>
      <w:jc w:val="center"/>
    </w:pPr>
    <w:rPr>
      <w:rFonts w:ascii="Calibri" w:hAnsi="Calibri" w:cs="Calibri"/>
      <w:sz w:val="20"/>
    </w:rPr>
  </w:style>
  <w:style w:type="character" w:customStyle="1" w:styleId="23">
    <w:name w:val="EndNote Bibliography Title 字符"/>
    <w:basedOn w:val="15"/>
    <w:link w:val="22"/>
    <w:qFormat/>
    <w:uiPriority w:val="0"/>
    <w:rPr>
      <w:rFonts w:ascii="Calibri" w:hAnsi="Calibri" w:cs="Calibri" w:eastAsiaTheme="minorEastAsia"/>
      <w:kern w:val="2"/>
      <w:szCs w:val="24"/>
    </w:rPr>
  </w:style>
  <w:style w:type="paragraph" w:customStyle="1" w:styleId="24">
    <w:name w:val="EndNote Bibliography"/>
    <w:basedOn w:val="1"/>
    <w:link w:val="25"/>
    <w:qFormat/>
    <w:uiPriority w:val="0"/>
    <w:rPr>
      <w:rFonts w:ascii="Calibri" w:hAnsi="Calibri" w:cs="Calibri"/>
      <w:sz w:val="20"/>
    </w:rPr>
  </w:style>
  <w:style w:type="character" w:customStyle="1" w:styleId="25">
    <w:name w:val="EndNote Bibliography 字符"/>
    <w:basedOn w:val="15"/>
    <w:link w:val="24"/>
    <w:qFormat/>
    <w:uiPriority w:val="0"/>
    <w:rPr>
      <w:rFonts w:ascii="Calibri" w:hAnsi="Calibri" w:cs="Calibri" w:eastAsiaTheme="minorEastAsia"/>
      <w:kern w:val="2"/>
      <w:szCs w:val="24"/>
    </w:rPr>
  </w:style>
  <w:style w:type="character" w:customStyle="1" w:styleId="26">
    <w:name w:val="正文文本 字符"/>
    <w:basedOn w:val="15"/>
    <w:link w:val="7"/>
    <w:qFormat/>
    <w:uiPriority w:val="99"/>
    <w:rPr>
      <w:rFonts w:eastAsia="宋体"/>
      <w:kern w:val="2"/>
      <w:sz w:val="21"/>
      <w:szCs w:val="21"/>
    </w:rPr>
  </w:style>
  <w:style w:type="paragraph" w:customStyle="1" w:styleId="27">
    <w:name w:val="Table Text"/>
    <w:basedOn w:val="1"/>
    <w:semiHidden/>
    <w:qFormat/>
    <w:uiPriority w:val="0"/>
    <w:rPr>
      <w:rFonts w:ascii="Times New Roman" w:hAnsi="Times New Roman" w:eastAsia="宋体" w:cs="Times New Roman"/>
      <w:szCs w:val="21"/>
    </w:rPr>
  </w:style>
  <w:style w:type="table" w:customStyle="1" w:styleId="28">
    <w:name w:val="Table Normal1"/>
    <w:basedOn w:val="13"/>
    <w:qFormat/>
    <w:uiPriority w:val="0"/>
    <w:rPr>
      <w:rFonts w:eastAsia="Times New Roman"/>
    </w:rPr>
    <w:tblPr>
      <w:tblCellMar>
        <w:left w:w="0" w:type="dxa"/>
        <w:right w:w="0" w:type="dxa"/>
      </w:tblCellMar>
    </w:tblPr>
  </w:style>
  <w:style w:type="character" w:customStyle="1" w:styleId="29">
    <w:name w:val="Unresolved Mention1"/>
    <w:basedOn w:val="15"/>
    <w:semiHidden/>
    <w:unhideWhenUsed/>
    <w:qFormat/>
    <w:uiPriority w:val="99"/>
    <w:rPr>
      <w:color w:val="605E5C"/>
      <w:shd w:val="clear" w:color="auto" w:fill="E1DFDD"/>
    </w:rPr>
  </w:style>
  <w:style w:type="character" w:customStyle="1" w:styleId="30">
    <w:name w:val="页眉 字符"/>
    <w:basedOn w:val="15"/>
    <w:link w:val="10"/>
    <w:qFormat/>
    <w:uiPriority w:val="0"/>
    <w:rPr>
      <w:rFonts w:asciiTheme="minorHAnsi" w:hAnsiTheme="minorHAnsi" w:eastAsiaTheme="minorEastAsia" w:cstheme="minorBidi"/>
      <w:kern w:val="2"/>
      <w:sz w:val="21"/>
      <w:szCs w:val="24"/>
    </w:rPr>
  </w:style>
  <w:style w:type="character" w:customStyle="1" w:styleId="31">
    <w:name w:val="页脚 字符"/>
    <w:basedOn w:val="15"/>
    <w:link w:val="9"/>
    <w:qFormat/>
    <w:uiPriority w:val="99"/>
    <w:rPr>
      <w:rFonts w:asciiTheme="minorHAnsi" w:hAnsiTheme="minorHAnsi" w:eastAsiaTheme="minorEastAsia" w:cstheme="minorBidi"/>
      <w:kern w:val="2"/>
      <w:sz w:val="21"/>
      <w:szCs w:val="24"/>
    </w:rPr>
  </w:style>
  <w:style w:type="character" w:customStyle="1" w:styleId="32">
    <w:name w:val="标题 3 字符"/>
    <w:basedOn w:val="15"/>
    <w:link w:val="4"/>
    <w:semiHidden/>
    <w:qFormat/>
    <w:uiPriority w:val="0"/>
    <w:rPr>
      <w:rFonts w:asciiTheme="majorHAnsi" w:hAnsiTheme="majorHAnsi" w:eastAsiaTheme="majorEastAsia" w:cstheme="majorBidi"/>
      <w:color w:val="1E386B" w:themeColor="accent1" w:themeShade="80"/>
      <w:kern w:val="2"/>
      <w:sz w:val="24"/>
      <w:szCs w:val="24"/>
    </w:rPr>
  </w:style>
  <w:style w:type="paragraph" w:customStyle="1" w:styleId="33">
    <w:name w:val="Revision1"/>
    <w:hidden/>
    <w:unhideWhenUsed/>
    <w:uiPriority w:val="99"/>
    <w:rPr>
      <w:rFonts w:asciiTheme="minorHAnsi" w:hAnsiTheme="minorHAnsi" w:eastAsiaTheme="minorEastAsia" w:cstheme="minorBidi"/>
      <w:kern w:val="2"/>
      <w:sz w:val="21"/>
      <w:szCs w:val="24"/>
      <w:lang w:val="en-US" w:eastAsia="zh-CN" w:bidi="ar-SA"/>
    </w:rPr>
  </w:style>
  <w:style w:type="character" w:customStyle="1" w:styleId="34">
    <w:name w:val="标题 1 字符"/>
    <w:basedOn w:val="15"/>
    <w:link w:val="2"/>
    <w:uiPriority w:val="0"/>
    <w:rPr>
      <w:rFonts w:asciiTheme="majorHAnsi" w:hAnsiTheme="majorHAnsi" w:eastAsiaTheme="majorEastAsia" w:cstheme="majorBidi"/>
      <w:color w:val="2E54A1" w:themeColor="accent1" w:themeShade="BF"/>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Yale University</Company>
  <Pages>20</Pages>
  <Words>2199</Words>
  <Characters>12535</Characters>
  <Lines>104</Lines>
  <Paragraphs>29</Paragraphs>
  <TotalTime>32</TotalTime>
  <ScaleCrop>false</ScaleCrop>
  <LinksUpToDate>false</LinksUpToDate>
  <CharactersWithSpaces>14705</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2025-05-20T17:45:00Z</dcterms:created>
  <dc:creator>ChipHe</dc:creator>
  <cp:lastModifiedBy>Night-Alsen</cp:lastModifiedBy>
  <dcterms:modified xsi:type="dcterms:W3CDTF">2025-07-26T15:20:26Z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96C223F7AF5145C5BB5709946D621C4C_13</vt:lpwstr>
  </property>
  <property fmtid="{D5CDD505-2E9C-101B-9397-08002B2CF9AE}" pid="4" name="KSOTemplateDocerSaveRecord">
    <vt:lpwstr>eyJoZGlkIjoiZGRmM2FkOWUzN2MzOGQ5ZDk2OTczYjllZTVhMjkzZTQiLCJ1c2VySWQiOiIzOTMyNzc4ODgifQ==</vt:lpwstr>
  </property>
</Properties>
</file>