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EF1" w:rsidRPr="00294771" w:rsidRDefault="00081EF1" w:rsidP="00081EF1">
      <w:pPr>
        <w:pStyle w:val="Paragraph"/>
        <w:suppressLineNumbers/>
        <w:spacing w:before="0"/>
        <w:ind w:firstLine="0"/>
        <w:jc w:val="center"/>
        <w:rPr>
          <w:rFonts w:eastAsiaTheme="minorEastAsia"/>
          <w:b/>
          <w:bCs/>
          <w:kern w:val="2"/>
          <w:sz w:val="28"/>
          <w:szCs w:val="28"/>
          <w:lang w:eastAsia="zh-CN"/>
        </w:rPr>
      </w:pPr>
      <w:r w:rsidRPr="00294771">
        <w:rPr>
          <w:rFonts w:eastAsiaTheme="minorEastAsia"/>
          <w:b/>
          <w:bCs/>
          <w:kern w:val="2"/>
          <w:sz w:val="28"/>
          <w:szCs w:val="28"/>
          <w:lang w:eastAsia="zh-CN"/>
        </w:rPr>
        <w:t>Supplementary Information</w:t>
      </w:r>
    </w:p>
    <w:p w:rsidR="00081EF1" w:rsidRPr="00294771" w:rsidRDefault="00081EF1" w:rsidP="00081EF1">
      <w:pPr>
        <w:pStyle w:val="Paragraph"/>
        <w:suppressLineNumbers/>
        <w:spacing w:before="0"/>
        <w:ind w:firstLine="0"/>
        <w:jc w:val="center"/>
        <w:rPr>
          <w:rFonts w:eastAsiaTheme="minorEastAsia"/>
          <w:b/>
          <w:bCs/>
          <w:kern w:val="2"/>
          <w:sz w:val="28"/>
          <w:szCs w:val="28"/>
          <w:lang w:eastAsia="zh-CN"/>
        </w:rPr>
      </w:pPr>
      <w:r w:rsidRPr="00294771">
        <w:rPr>
          <w:rFonts w:eastAsiaTheme="minorEastAsia"/>
          <w:b/>
          <w:bCs/>
          <w:kern w:val="2"/>
          <w:sz w:val="28"/>
          <w:szCs w:val="28"/>
          <w:lang w:eastAsia="zh-CN"/>
        </w:rPr>
        <w:t xml:space="preserve">TGF-β-Induced Fibrotic Scar Formation Limits Recovery of Spinal Cord Injury </w:t>
      </w:r>
    </w:p>
    <w:p w:rsidR="00081EF1" w:rsidRPr="00294771" w:rsidRDefault="00081EF1" w:rsidP="00081EF1">
      <w:pPr>
        <w:pStyle w:val="Paragraph"/>
        <w:suppressLineNumbers/>
        <w:spacing w:before="0"/>
        <w:ind w:firstLine="0"/>
        <w:jc w:val="center"/>
        <w:rPr>
          <w:rFonts w:eastAsiaTheme="minorEastAsia"/>
          <w:b/>
          <w:bCs/>
          <w:kern w:val="2"/>
          <w:sz w:val="28"/>
          <w:szCs w:val="28"/>
          <w:lang w:eastAsia="zh-CN"/>
        </w:rPr>
      </w:pPr>
      <w:proofErr w:type="spellStart"/>
      <w:r w:rsidRPr="00294771">
        <w:rPr>
          <w:rFonts w:eastAsiaTheme="minorEastAsia"/>
          <w:lang w:eastAsia="zh-CN"/>
        </w:rPr>
        <w:t>Dayu</w:t>
      </w:r>
      <w:proofErr w:type="spellEnd"/>
      <w:r w:rsidRPr="00294771">
        <w:rPr>
          <w:rFonts w:eastAsiaTheme="minorEastAsia"/>
          <w:lang w:eastAsia="zh-CN"/>
        </w:rPr>
        <w:t xml:space="preserve"> Pan</w:t>
      </w:r>
      <w:r w:rsidRPr="00294771">
        <w:rPr>
          <w:rFonts w:eastAsiaTheme="minorEastAsia"/>
          <w:vertAlign w:val="superscript"/>
          <w:lang w:eastAsia="zh-CN"/>
        </w:rPr>
        <w:t>a</w:t>
      </w:r>
      <w:r w:rsidRPr="00294771">
        <w:rPr>
          <w:rFonts w:eastAsiaTheme="minorEastAsia"/>
          <w:lang w:eastAsia="zh-CN"/>
        </w:rPr>
        <w:t xml:space="preserve">, </w:t>
      </w:r>
      <w:proofErr w:type="spellStart"/>
      <w:r w:rsidRPr="00294771">
        <w:rPr>
          <w:rFonts w:eastAsiaTheme="minorEastAsia"/>
          <w:lang w:eastAsia="zh-CN"/>
        </w:rPr>
        <w:t>Panfeng</w:t>
      </w:r>
      <w:proofErr w:type="spellEnd"/>
      <w:r w:rsidRPr="00294771">
        <w:rPr>
          <w:rFonts w:eastAsiaTheme="minorEastAsia"/>
          <w:lang w:eastAsia="zh-CN"/>
        </w:rPr>
        <w:t xml:space="preserve"> </w:t>
      </w:r>
      <w:proofErr w:type="spellStart"/>
      <w:r w:rsidRPr="00294771">
        <w:rPr>
          <w:rFonts w:eastAsiaTheme="minorEastAsia"/>
          <w:lang w:eastAsia="zh-CN"/>
        </w:rPr>
        <w:t>Wu</w:t>
      </w:r>
      <w:r w:rsidRPr="00294771">
        <w:rPr>
          <w:rFonts w:eastAsiaTheme="minorEastAsia"/>
          <w:vertAlign w:val="superscript"/>
          <w:lang w:eastAsia="zh-CN"/>
        </w:rPr>
        <w:t>a</w:t>
      </w:r>
      <w:proofErr w:type="spellEnd"/>
      <w:r w:rsidRPr="00294771">
        <w:rPr>
          <w:rFonts w:eastAsiaTheme="minorEastAsia"/>
          <w:lang w:eastAsia="zh-CN"/>
        </w:rPr>
        <w:t xml:space="preserve">, Kathleen </w:t>
      </w:r>
      <w:proofErr w:type="spellStart"/>
      <w:r w:rsidRPr="00294771">
        <w:rPr>
          <w:rFonts w:eastAsiaTheme="minorEastAsia"/>
          <w:lang w:eastAsia="zh-CN"/>
        </w:rPr>
        <w:t>Noller</w:t>
      </w:r>
      <w:r w:rsidRPr="00294771">
        <w:rPr>
          <w:rFonts w:eastAsiaTheme="minorEastAsia"/>
          <w:vertAlign w:val="superscript"/>
          <w:lang w:eastAsia="zh-CN"/>
        </w:rPr>
        <w:t>a,</w:t>
      </w:r>
      <w:r w:rsidRPr="00294771">
        <w:rPr>
          <w:rFonts w:eastAsiaTheme="minorEastAsia" w:hint="eastAsia"/>
          <w:vertAlign w:val="superscript"/>
          <w:lang w:eastAsia="zh-CN"/>
        </w:rPr>
        <w:t>b</w:t>
      </w:r>
      <w:proofErr w:type="spellEnd"/>
      <w:r w:rsidRPr="00294771">
        <w:rPr>
          <w:rFonts w:eastAsiaTheme="minorEastAsia"/>
          <w:lang w:eastAsia="zh-CN"/>
        </w:rPr>
        <w:t xml:space="preserve">, Patrick </w:t>
      </w:r>
      <w:proofErr w:type="spellStart"/>
      <w:r w:rsidRPr="00294771">
        <w:rPr>
          <w:rFonts w:eastAsiaTheme="minorEastAsia"/>
          <w:lang w:eastAsia="zh-CN"/>
        </w:rPr>
        <w:t>Cahan</w:t>
      </w:r>
      <w:r w:rsidRPr="00294771">
        <w:rPr>
          <w:rFonts w:eastAsiaTheme="minorEastAsia" w:hint="eastAsia"/>
          <w:vertAlign w:val="superscript"/>
          <w:lang w:eastAsia="zh-CN"/>
        </w:rPr>
        <w:t>b</w:t>
      </w:r>
      <w:r w:rsidRPr="00294771">
        <w:rPr>
          <w:rFonts w:eastAsiaTheme="minorEastAsia"/>
          <w:vertAlign w:val="superscript"/>
          <w:lang w:eastAsia="zh-CN"/>
        </w:rPr>
        <w:t>,</w:t>
      </w:r>
      <w:r w:rsidRPr="00294771">
        <w:rPr>
          <w:rFonts w:eastAsiaTheme="minorEastAsia" w:hint="eastAsia"/>
          <w:vertAlign w:val="superscript"/>
          <w:lang w:eastAsia="zh-CN"/>
        </w:rPr>
        <w:t>c</w:t>
      </w:r>
      <w:proofErr w:type="spellEnd"/>
      <w:r w:rsidRPr="00294771">
        <w:rPr>
          <w:rFonts w:eastAsiaTheme="minorEastAsia" w:hint="eastAsia"/>
          <w:vertAlign w:val="superscript"/>
          <w:lang w:eastAsia="zh-CN"/>
        </w:rPr>
        <w:t>,</w:t>
      </w:r>
      <w:r w:rsidRPr="00294771">
        <w:rPr>
          <w:rFonts w:eastAsiaTheme="minorEastAsia"/>
          <w:lang w:eastAsia="zh-CN"/>
        </w:rPr>
        <w:t xml:space="preserve">, and Xu </w:t>
      </w:r>
      <w:proofErr w:type="spellStart"/>
      <w:r w:rsidRPr="00294771">
        <w:rPr>
          <w:rFonts w:eastAsiaTheme="minorEastAsia"/>
          <w:lang w:eastAsia="zh-CN"/>
        </w:rPr>
        <w:t>Cao</w:t>
      </w:r>
      <w:r w:rsidRPr="00294771">
        <w:rPr>
          <w:rFonts w:eastAsiaTheme="minorEastAsia"/>
          <w:vertAlign w:val="superscript"/>
          <w:lang w:eastAsia="zh-CN"/>
        </w:rPr>
        <w:t>a,</w:t>
      </w:r>
      <w:r w:rsidRPr="00294771">
        <w:rPr>
          <w:rFonts w:eastAsiaTheme="minorEastAsia" w:hint="eastAsia"/>
          <w:vertAlign w:val="superscript"/>
          <w:lang w:eastAsia="zh-CN"/>
        </w:rPr>
        <w:t>b,c</w:t>
      </w:r>
      <w:proofErr w:type="spellEnd"/>
      <w:r w:rsidRPr="00294771">
        <w:rPr>
          <w:rFonts w:eastAsiaTheme="minorEastAsia"/>
          <w:lang w:eastAsia="zh-CN"/>
        </w:rPr>
        <w:t>*</w:t>
      </w:r>
    </w:p>
    <w:p w:rsidR="00081EF1" w:rsidRPr="00294771" w:rsidRDefault="00081EF1" w:rsidP="00081EF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81EF1" w:rsidRPr="00294771" w:rsidRDefault="00081EF1" w:rsidP="00081EF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94771">
        <w:rPr>
          <w:rFonts w:ascii="Times New Roman" w:hAnsi="Times New Roman" w:cs="Times New Roman"/>
          <w:b/>
          <w:sz w:val="24"/>
          <w:szCs w:val="24"/>
        </w:rPr>
        <w:t>Extended Data Figure Legends</w:t>
      </w:r>
    </w:p>
    <w:p w:rsidR="00081EF1" w:rsidRPr="00294771" w:rsidRDefault="00081EF1" w:rsidP="00081EF1">
      <w:pPr>
        <w:spacing w:line="480" w:lineRule="auto"/>
        <w:rPr>
          <w:sz w:val="24"/>
          <w:szCs w:val="24"/>
        </w:rPr>
      </w:pPr>
    </w:p>
    <w:p w:rsidR="00081EF1" w:rsidRPr="00294771" w:rsidRDefault="00081EF1" w:rsidP="00081E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Extended Data Fig. 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294771">
        <w:rPr>
          <w:rFonts w:ascii="Times New Roman" w:hAnsi="Times New Roman" w:cs="Times New Roman"/>
          <w:b/>
          <w:sz w:val="24"/>
          <w:szCs w:val="24"/>
        </w:rPr>
        <w:t>:</w:t>
      </w:r>
      <w:r w:rsidRPr="00294771">
        <w:rPr>
          <w:rFonts w:ascii="Times New Roman" w:hAnsi="Times New Roman" w:cs="Times New Roman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Experimental design of treatment timelines and SCI procedure.</w:t>
      </w:r>
      <w:r w:rsidRPr="00294771">
        <w:rPr>
          <w:rFonts w:ascii="Times New Roman" w:hAnsi="Times New Roman" w:cs="Times New Roman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Pr="00294771">
        <w:rPr>
          <w:rFonts w:ascii="Times New Roman" w:hAnsi="Times New Roman" w:cs="Times New Roman"/>
          <w:bCs/>
          <w:sz w:val="24"/>
          <w:szCs w:val="24"/>
        </w:rPr>
        <w:t xml:space="preserve">Representative images showing the surgical procedures. </w:t>
      </w:r>
      <w:r w:rsidRPr="00294771">
        <w:rPr>
          <w:rFonts w:ascii="Times New Roman" w:hAnsi="Times New Roman" w:cs="Times New Roman"/>
          <w:b/>
          <w:sz w:val="24"/>
          <w:szCs w:val="24"/>
        </w:rPr>
        <w:t>(B)</w:t>
      </w:r>
      <w:r w:rsidRPr="00294771">
        <w:rPr>
          <w:rFonts w:ascii="Times New Roman" w:hAnsi="Times New Roman" w:cs="Times New Roman"/>
          <w:bCs/>
          <w:sz w:val="24"/>
          <w:szCs w:val="24"/>
        </w:rPr>
        <w:t xml:space="preserve"> A schematic diagram illustrating the experimental procedures for treatment for SCI in the mouse model or lineage tracing. Specifically, for experiments involving the effects of macrophage depletion on SCI recovery,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</w:rPr>
        <w:t>iDTR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LysM-cre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-/- </w:t>
      </w:r>
      <w:r w:rsidRPr="00294771">
        <w:rPr>
          <w:rFonts w:ascii="Times New Roman" w:hAnsi="Times New Roman" w:cs="Times New Roman"/>
          <w:sz w:val="24"/>
          <w:szCs w:val="24"/>
        </w:rPr>
        <w:t xml:space="preserve">mice were treated with 100 ng/0.2 mL of diphtheria toxin (DT) to knock out macrophages for 3 days before SCI and 3 times a week after surgery until the mice were humanely killed at 1, 3, 5, 7, 14, 28, or 56 days. For experiments involving antibody-based treatment of SCI, mice were treated with 5 mg/kg body weight of the TGF-β–neutralizing antibody 1D11 3 times a week until the mice were humanely killed. For experiments involving lineage tracing,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</w:rPr>
        <w:t>TdTomato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Glast-cre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-/- </w:t>
      </w:r>
      <w:r w:rsidRPr="00294771">
        <w:rPr>
          <w:rFonts w:ascii="Times New Roman" w:hAnsi="Times New Roman" w:cs="Times New Roman"/>
          <w:sz w:val="24"/>
          <w:szCs w:val="24"/>
        </w:rPr>
        <w:t>mice were treated with tamoxifen for 2 mg of 20 mg/mL per mouse for 5 consecutive days. Vehicle mice received the same number of injections of the solvent without DT, 1D11, and tamoxifen.</w:t>
      </w:r>
    </w:p>
    <w:p w:rsidR="00081EF1" w:rsidRPr="00294771" w:rsidRDefault="00081EF1" w:rsidP="00081EF1">
      <w:pPr>
        <w:spacing w:line="480" w:lineRule="auto"/>
        <w:rPr>
          <w:sz w:val="24"/>
          <w:szCs w:val="24"/>
        </w:rPr>
      </w:pPr>
    </w:p>
    <w:p w:rsidR="00081EF1" w:rsidRPr="00294771" w:rsidRDefault="00081EF1" w:rsidP="00081E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Extended Data Fig. 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294771">
        <w:rPr>
          <w:rFonts w:ascii="Times New Roman" w:hAnsi="Times New Roman" w:cs="Times New Roman"/>
          <w:b/>
          <w:sz w:val="24"/>
          <w:szCs w:val="24"/>
        </w:rPr>
        <w:t>:</w:t>
      </w:r>
      <w:r w:rsidRPr="00294771">
        <w:rPr>
          <w:rFonts w:ascii="Times New Roman" w:hAnsi="Times New Roman" w:cs="Times New Roman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Elimination of macrophage lineage cells reduces TGF-β activity in SCI mice</w:t>
      </w:r>
      <w:r w:rsidRPr="00294771">
        <w:rPr>
          <w:rFonts w:ascii="Times New Roman" w:hAnsi="Times New Roman" w:cs="Times New Roman"/>
          <w:sz w:val="24"/>
          <w:szCs w:val="24"/>
        </w:rPr>
        <w:t xml:space="preserve">. 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(A. B) </w:t>
      </w:r>
      <w:r w:rsidRPr="00294771">
        <w:rPr>
          <w:rFonts w:ascii="Times New Roman" w:hAnsi="Times New Roman" w:cs="Times New Roman"/>
          <w:bCs/>
          <w:sz w:val="24"/>
          <w:szCs w:val="24"/>
        </w:rPr>
        <w:t>A schematic diagram illustrating the timeline of diphtheria toxin (DT) injection and sample collection (left), and an illustration indicating the location of the experimentally-induced SCI (right).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294771">
        <w:rPr>
          <w:rFonts w:ascii="Times New Roman" w:hAnsi="Times New Roman" w:cs="Times New Roman"/>
          <w:sz w:val="24"/>
          <w:szCs w:val="24"/>
        </w:rPr>
        <w:t xml:space="preserve"> Representative images of immunofluorescent analysis of PGP9.5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(red) nerve fibers, fibronectin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294771">
        <w:rPr>
          <w:rFonts w:ascii="Times New Roman" w:hAnsi="Times New Roman" w:cs="Times New Roman"/>
          <w:sz w:val="24"/>
          <w:szCs w:val="24"/>
        </w:rPr>
        <w:t xml:space="preserve">(green) fibrotic scar, and DAPI (blue) staining of nuclei at 4 weeks after SCI. Scale bar, 200 µm.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(D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>, E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the intensity values of fibronecti</w:t>
      </w:r>
      <w:r w:rsidRPr="00294771">
        <w:rPr>
          <w:rFonts w:ascii="Times New Roman" w:hAnsi="Times New Roman" w:cs="Times New Roman" w:hint="eastAsia"/>
          <w:sz w:val="24"/>
          <w:szCs w:val="24"/>
        </w:rPr>
        <w:t xml:space="preserve">n and </w:t>
      </w:r>
      <w:r w:rsidRPr="00294771">
        <w:rPr>
          <w:rFonts w:ascii="Times New Roman" w:hAnsi="Times New Roman" w:cs="Times New Roman"/>
          <w:sz w:val="24"/>
          <w:szCs w:val="24"/>
        </w:rPr>
        <w:t>PGP9.5 (*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0.05, 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0.01,</w:t>
      </w:r>
      <w:r w:rsidRPr="002947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n=6).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ELISA analysis showing the concentration of TGF-β in spinal cord and serum after SCI (*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0.05, 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0.01, n=4).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Representative Western blots showing the activation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pSmad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signaling. Statistical significance was determined by multifactorial ANOVA, and all data are shown as means ± standard deviations. Source data are provided as a Source Data file.</w:t>
      </w:r>
    </w:p>
    <w:p w:rsidR="00081EF1" w:rsidRPr="00294771" w:rsidRDefault="00081EF1" w:rsidP="00081E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EF1" w:rsidRPr="00294771" w:rsidRDefault="00081EF1" w:rsidP="00081EF1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Extended Data Fig. 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294771">
        <w:rPr>
          <w:rFonts w:ascii="Times New Roman" w:hAnsi="Times New Roman" w:cs="Times New Roman"/>
          <w:b/>
          <w:sz w:val="24"/>
          <w:szCs w:val="24"/>
        </w:rPr>
        <w:t>:</w:t>
      </w:r>
      <w:r w:rsidRPr="00294771">
        <w:rPr>
          <w:rFonts w:ascii="Times New Roman" w:hAnsi="Times New Roman" w:cs="Times New Roman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Elimination of macrophage lineage cells promotes functional recovery in SCI mice</w:t>
      </w:r>
      <w:r w:rsidRPr="00294771">
        <w:rPr>
          <w:rFonts w:ascii="Times New Roman" w:hAnsi="Times New Roman" w:cs="Times New Roman"/>
          <w:sz w:val="24"/>
          <w:szCs w:val="24"/>
        </w:rPr>
        <w:t xml:space="preserve">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294771">
        <w:rPr>
          <w:rFonts w:ascii="Times New Roman" w:hAnsi="Times New Roman" w:cs="Times New Roman"/>
          <w:sz w:val="24"/>
          <w:szCs w:val="24"/>
        </w:rPr>
        <w:t>Representative images of immunofluorescent analysis of neurotransmitter marker 5-HT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(red), nerve axon–specific β-III-tubulin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(green), and DAPI (blue) staining of nuclei in the spinal cord lesion site of T10 in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</w:rPr>
        <w:t>iDTR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LysM-cre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294771">
        <w:rPr>
          <w:rFonts w:ascii="Times New Roman" w:hAnsi="Times New Roman" w:cs="Times New Roman"/>
          <w:sz w:val="24"/>
          <w:szCs w:val="24"/>
        </w:rPr>
        <w:t xml:space="preserve"> knockout mic</w:t>
      </w:r>
      <w:r w:rsidRPr="00294771">
        <w:rPr>
          <w:rFonts w:ascii="Times New Roman" w:hAnsi="Times New Roman" w:cs="Times New Roman"/>
          <w:bCs/>
          <w:sz w:val="24"/>
          <w:szCs w:val="24"/>
        </w:rPr>
        <w:t xml:space="preserve">e and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</w:rPr>
        <w:t>iDTR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/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control mice at 4 weeks after SCI. Scale bar, 50 µm.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 xml:space="preserve">(B, C) </w:t>
      </w:r>
      <w:r w:rsidRPr="00294771">
        <w:rPr>
          <w:rFonts w:ascii="Times New Roman" w:hAnsi="Times New Roman" w:cs="Times New Roman"/>
          <w:sz w:val="24"/>
          <w:szCs w:val="24"/>
        </w:rPr>
        <w:t>Quantitative analysis of the intensity values of 5-HT and β-III-tubulin (*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0.05, **</w:t>
      </w:r>
      <w:r w:rsidRPr="00294771">
        <w:rPr>
          <w:rFonts w:ascii="Times New Roman" w:hAnsi="Times New Roman" w:cs="Times New Roman" w:hint="eastAsia"/>
          <w:sz w:val="24"/>
          <w:szCs w:val="24"/>
        </w:rPr>
        <w:t>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</w:t>
      </w:r>
      <w:r w:rsidRPr="00294771">
        <w:rPr>
          <w:rFonts w:ascii="Times New Roman" w:hAnsi="Times New Roman" w:cs="Times New Roman" w:hint="eastAsia"/>
          <w:sz w:val="24"/>
          <w:szCs w:val="24"/>
        </w:rPr>
        <w:t>00</w:t>
      </w:r>
      <w:r w:rsidRPr="00294771">
        <w:rPr>
          <w:rFonts w:ascii="Times New Roman" w:hAnsi="Times New Roman" w:cs="Times New Roman"/>
          <w:sz w:val="24"/>
          <w:szCs w:val="24"/>
        </w:rPr>
        <w:t>1,</w:t>
      </w:r>
      <w:r w:rsidRPr="002947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n=6).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 xml:space="preserve">(D, E) </w:t>
      </w:r>
      <w:r w:rsidRPr="00294771">
        <w:rPr>
          <w:rFonts w:ascii="Times New Roman" w:hAnsi="Times New Roman" w:cs="Times New Roman"/>
          <w:sz w:val="24"/>
          <w:szCs w:val="24"/>
        </w:rPr>
        <w:t xml:space="preserve">Schematic diagram of the hot plate test and the von Frey test.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withdrawal time responding to temperature (hot plate test, 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0.05, 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0.01, n=8). </w:t>
      </w:r>
      <w:r w:rsidRPr="00294771">
        <w:rPr>
          <w:rFonts w:ascii="Times New Roman" w:hAnsi="Times New Roman" w:cs="Times New Roman"/>
          <w:b/>
          <w:sz w:val="24"/>
          <w:szCs w:val="24"/>
        </w:rPr>
        <w:t>(G, H)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withdrawal frequency responding to mechanical </w:t>
      </w:r>
      <w:r w:rsidRPr="00294771">
        <w:rPr>
          <w:rFonts w:ascii="Times New Roman" w:hAnsi="Times New Roman" w:cs="Times New Roman"/>
          <w:sz w:val="24"/>
          <w:szCs w:val="24"/>
        </w:rPr>
        <w:lastRenderedPageBreak/>
        <w:t xml:space="preserve">stimulation (von Frey test, 0.07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and 0.4mN, 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0.05, 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0.01, n=8). </w:t>
      </w:r>
      <w:r w:rsidRPr="00294771">
        <w:rPr>
          <w:rFonts w:ascii="Times New Roman" w:hAnsi="Times New Roman" w:cs="Times New Roman"/>
          <w:b/>
          <w:sz w:val="24"/>
          <w:szCs w:val="24"/>
        </w:rPr>
        <w:t>(I)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BMS score between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</w:rPr>
        <w:t>iDTR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/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control mice after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SCI,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</w:rPr>
        <w:t>iDTR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LysM-cre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294771">
        <w:rPr>
          <w:rFonts w:ascii="Times New Roman" w:hAnsi="Times New Roman" w:cs="Times New Roman"/>
          <w:sz w:val="24"/>
          <w:szCs w:val="24"/>
        </w:rPr>
        <w:t xml:space="preserve"> knockout mic</w:t>
      </w:r>
      <w:r w:rsidRPr="00294771">
        <w:rPr>
          <w:rFonts w:ascii="Times New Roman" w:hAnsi="Times New Roman" w:cs="Times New Roman"/>
          <w:bCs/>
          <w:sz w:val="24"/>
          <w:szCs w:val="24"/>
        </w:rPr>
        <w:t>e after SCI, and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</w:rPr>
        <w:t>iDTR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/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control mice without SCI (*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0.05, n=8). PWF: paw withdrawal frequency. LF: left forepaw, RF: right forepaw, RH: right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>. Statistical significance was determined by multifactorial ANOVA, and all data are shown as means ± standard deviations. Source data are provided as a Source Data file.</w:t>
      </w:r>
    </w:p>
    <w:p w:rsidR="00081EF1" w:rsidRPr="00294771" w:rsidRDefault="00081EF1" w:rsidP="00081E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81EF1" w:rsidRPr="00294771" w:rsidRDefault="00081EF1" w:rsidP="00081EF1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Extended Data Fig. 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294771">
        <w:rPr>
          <w:rFonts w:ascii="Times New Roman" w:hAnsi="Times New Roman" w:cs="Times New Roman"/>
          <w:b/>
          <w:sz w:val="24"/>
          <w:szCs w:val="24"/>
        </w:rPr>
        <w:t>: Glial fibrillary acidic protein (GFAP), collagen III, and fibronectin immunostaining of mouse SCI in genetic and pharmacological models to inhibit TGF-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β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 signaling. (A)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Representative images of immunofluorescent analysis of collagen III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(red) fibrotic scar, GFAP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(green) glial scar, and DAPI (blue) staining of nuclei in the spinal cord lesion site of T10 in </w:t>
      </w:r>
      <w:r w:rsidRPr="00294771">
        <w:rPr>
          <w:rFonts w:ascii="Times New Roman" w:hAnsi="Times New Roman" w:cs="Times New Roman"/>
          <w:i/>
          <w:iCs/>
          <w:sz w:val="24"/>
          <w:szCs w:val="24"/>
        </w:rPr>
        <w:t>Tgfb1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flox/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control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mice </w:t>
      </w:r>
      <w:r w:rsidRPr="00294771">
        <w:rPr>
          <w:rFonts w:ascii="Times New Roman" w:hAnsi="Times New Roman" w:cs="Times New Roman"/>
          <w:bCs/>
          <w:sz w:val="24"/>
          <w:szCs w:val="24"/>
        </w:rPr>
        <w:t>and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i/>
          <w:iCs/>
          <w:sz w:val="24"/>
          <w:szCs w:val="24"/>
        </w:rPr>
        <w:t>Tgfb1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LysM-cre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294771">
        <w:rPr>
          <w:rFonts w:ascii="Times New Roman" w:hAnsi="Times New Roman" w:cs="Times New Roman"/>
          <w:sz w:val="24"/>
          <w:szCs w:val="24"/>
        </w:rPr>
        <w:t xml:space="preserve"> mice at 4 weeks after SCI. Scale bar, 20 µm.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294771">
        <w:rPr>
          <w:rFonts w:ascii="Times New Roman" w:hAnsi="Times New Roman" w:cs="Times New Roman"/>
          <w:sz w:val="24"/>
          <w:szCs w:val="24"/>
        </w:rPr>
        <w:t>Quantitative analysis of the intensity values of collagen III and GFAP (***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0.001, n=6). </w:t>
      </w:r>
      <w:r w:rsidRPr="00294771">
        <w:rPr>
          <w:rFonts w:ascii="Times New Roman" w:hAnsi="Times New Roman" w:cs="Times New Roman"/>
          <w:b/>
          <w:sz w:val="24"/>
          <w:szCs w:val="24"/>
        </w:rPr>
        <w:t>(C)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Representative images of immunofluorescent analysis of fibronectin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(red) fibrotic scar, GFAP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(green) glial scar and DAPI (blue) staining of nuclei in 13C4 group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control mice </w:t>
      </w:r>
      <w:r w:rsidRPr="00294771">
        <w:rPr>
          <w:rFonts w:ascii="Times New Roman" w:hAnsi="Times New Roman" w:cs="Times New Roman"/>
          <w:bCs/>
          <w:sz w:val="24"/>
          <w:szCs w:val="24"/>
        </w:rPr>
        <w:t>and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1D11 group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mice at 4 weeks after SCI. Scale bars, 20 µm.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Pr="00294771">
        <w:rPr>
          <w:rFonts w:ascii="Times New Roman" w:hAnsi="Times New Roman" w:cs="Times New Roman"/>
          <w:sz w:val="24"/>
          <w:szCs w:val="24"/>
        </w:rPr>
        <w:t>Quantitative analysis of the intensity value of fibronectin and GFAP (*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</w:t>
      </w:r>
      <w:r w:rsidRPr="00294771">
        <w:rPr>
          <w:rFonts w:ascii="Times New Roman" w:hAnsi="Times New Roman" w:cs="Times New Roman" w:hint="eastAsia"/>
          <w:sz w:val="24"/>
          <w:szCs w:val="24"/>
        </w:rPr>
        <w:t>5</w:t>
      </w:r>
      <w:r w:rsidRPr="00294771">
        <w:rPr>
          <w:rFonts w:ascii="Times New Roman" w:hAnsi="Times New Roman" w:cs="Times New Roman"/>
          <w:sz w:val="24"/>
          <w:szCs w:val="24"/>
        </w:rPr>
        <w:t>, n=6). Statistical significance was determined by multifactorial ANOVA, and all data are shown as means ± standard deviations. Source data are provided as a Source Data file.</w:t>
      </w:r>
    </w:p>
    <w:p w:rsidR="00081EF1" w:rsidRPr="00294771" w:rsidRDefault="00081EF1" w:rsidP="00081EF1">
      <w:pPr>
        <w:autoSpaceDE w:val="0"/>
        <w:autoSpaceDN w:val="0"/>
        <w:adjustRightInd w:val="0"/>
        <w:spacing w:line="480" w:lineRule="auto"/>
        <w:jc w:val="both"/>
        <w:rPr>
          <w:noProof/>
          <w:sz w:val="24"/>
          <w:szCs w:val="24"/>
        </w:rPr>
      </w:pPr>
    </w:p>
    <w:p w:rsidR="00081EF1" w:rsidRPr="00294771" w:rsidRDefault="00081EF1" w:rsidP="00081E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Extended Data Fig. 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 xml:space="preserve">Functional recovery in </w:t>
      </w:r>
      <w:r w:rsidRPr="002947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Tgfbr2</w:t>
      </w:r>
      <w:r w:rsidRPr="0029477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 xml:space="preserve"> </w:t>
      </w:r>
      <w:proofErr w:type="spellStart"/>
      <w:r w:rsidRPr="0029477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Glast-creER</w:t>
      </w:r>
      <w:proofErr w:type="spellEnd"/>
      <w:r w:rsidRPr="0029477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-/-</w:t>
      </w:r>
      <w:r w:rsidRPr="0029477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mice</w:t>
      </w:r>
      <w:r w:rsidRPr="00294771">
        <w:rPr>
          <w:rFonts w:ascii="Times New Roman" w:hAnsi="Times New Roman" w:cs="Times New Roman"/>
          <w:sz w:val="24"/>
          <w:szCs w:val="24"/>
        </w:rPr>
        <w:t>.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 (A) </w:t>
      </w:r>
      <w:r w:rsidRPr="00294771">
        <w:rPr>
          <w:rFonts w:ascii="Times New Roman" w:hAnsi="Times New Roman" w:cs="Times New Roman"/>
          <w:sz w:val="24"/>
          <w:szCs w:val="24"/>
        </w:rPr>
        <w:t xml:space="preserve">Quantitative analysis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withdrawal time responding to temperature (hot plate test, 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0.05, n=8). 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(B, C) </w:t>
      </w:r>
      <w:r w:rsidRPr="00294771">
        <w:rPr>
          <w:rFonts w:ascii="Times New Roman" w:hAnsi="Times New Roman" w:cs="Times New Roman"/>
          <w:sz w:val="24"/>
          <w:szCs w:val="24"/>
        </w:rPr>
        <w:t xml:space="preserve">Quantitative analysis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withdrawal frequency responding to mechanical stimulation (von Frey test, 0.7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(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94771">
        <w:rPr>
          <w:rFonts w:ascii="Times New Roman" w:hAnsi="Times New Roman" w:cs="Times New Roman"/>
          <w:sz w:val="24"/>
          <w:szCs w:val="24"/>
        </w:rPr>
        <w:t xml:space="preserve">) and 3.9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(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94771">
        <w:rPr>
          <w:rFonts w:ascii="Times New Roman" w:hAnsi="Times New Roman" w:cs="Times New Roman"/>
          <w:sz w:val="24"/>
          <w:szCs w:val="24"/>
        </w:rPr>
        <w:t>), 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0.05, 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0.01, n=8). </w:t>
      </w:r>
      <w:r w:rsidRPr="00294771">
        <w:rPr>
          <w:rFonts w:ascii="Times New Roman" w:hAnsi="Times New Roman" w:cs="Times New Roman"/>
          <w:b/>
          <w:sz w:val="24"/>
          <w:szCs w:val="24"/>
        </w:rPr>
        <w:t>(D)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BMS score between </w:t>
      </w:r>
      <w:r w:rsidRPr="00294771">
        <w:rPr>
          <w:rFonts w:ascii="Times New Roman" w:hAnsi="Times New Roman" w:cs="Times New Roman"/>
          <w:i/>
          <w:iCs/>
          <w:sz w:val="24"/>
          <w:szCs w:val="24"/>
        </w:rPr>
        <w:t>Tgfbr2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flox/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control mice after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SCI, </w:t>
      </w:r>
      <w:r w:rsidRPr="00294771">
        <w:rPr>
          <w:rFonts w:ascii="Times New Roman" w:hAnsi="Times New Roman" w:cs="Times New Roman"/>
          <w:i/>
          <w:iCs/>
          <w:sz w:val="24"/>
          <w:szCs w:val="24"/>
        </w:rPr>
        <w:t>Tgfbr2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Glast-creER</w:t>
      </w:r>
      <w:proofErr w:type="spellEnd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mice </w:t>
      </w:r>
      <w:r w:rsidRPr="00294771">
        <w:rPr>
          <w:rFonts w:ascii="Times New Roman" w:hAnsi="Times New Roman" w:cs="Times New Roman"/>
          <w:bCs/>
          <w:sz w:val="24"/>
          <w:szCs w:val="24"/>
        </w:rPr>
        <w:t xml:space="preserve">after SCI, and </w:t>
      </w:r>
      <w:r w:rsidRPr="00294771">
        <w:rPr>
          <w:rFonts w:ascii="Times New Roman" w:hAnsi="Times New Roman" w:cs="Times New Roman"/>
          <w:i/>
          <w:iCs/>
          <w:sz w:val="24"/>
          <w:szCs w:val="24"/>
        </w:rPr>
        <w:t>Tgfbr2</w:t>
      </w:r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flox/</w:t>
      </w:r>
      <w:proofErr w:type="spellStart"/>
      <w:r w:rsidRPr="0029477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flox</w:t>
      </w:r>
      <w:proofErr w:type="spellEnd"/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control mice without SCI (n=8). PWF: paw withdrawal frequency. LF: left forepaw, RF: right forepaw, RH: right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>. Statistical significance was determined by multifactorial ANOVA, and all data are shown as means ± standard deviations. Source data are provided as a Source Data file.</w:t>
      </w:r>
    </w:p>
    <w:p w:rsidR="00081EF1" w:rsidRPr="00294771" w:rsidRDefault="00081EF1" w:rsidP="00081EF1">
      <w:pPr>
        <w:spacing w:line="480" w:lineRule="auto"/>
        <w:rPr>
          <w:sz w:val="24"/>
          <w:szCs w:val="24"/>
        </w:rPr>
      </w:pPr>
    </w:p>
    <w:p w:rsidR="00081EF1" w:rsidRPr="00294771" w:rsidRDefault="00081EF1" w:rsidP="00081EF1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Extended Data Fig. 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294771">
        <w:rPr>
          <w:rFonts w:ascii="Times New Roman" w:hAnsi="Times New Roman" w:cs="Times New Roman"/>
          <w:b/>
          <w:sz w:val="24"/>
          <w:szCs w:val="24"/>
        </w:rPr>
        <w:t>:</w:t>
      </w:r>
      <w:r w:rsidRPr="00294771">
        <w:rPr>
          <w:rFonts w:ascii="Times New Roman" w:hAnsi="Times New Roman" w:cs="Times New Roman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Functional recovery after antibody neutralization of TGF-β. (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Representative images of immunofluorescent analysis of pSmad2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(red), PDGFR-β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+ </w:t>
      </w:r>
      <w:r w:rsidRPr="00294771">
        <w:rPr>
          <w:rFonts w:ascii="Times New Roman" w:hAnsi="Times New Roman" w:cs="Times New Roman"/>
          <w:sz w:val="24"/>
          <w:szCs w:val="24"/>
        </w:rPr>
        <w:t xml:space="preserve">(green) pericytes, and DAPI (blue) staining of nuclei at 7 days after SCI. Scale bar, 10 µm.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>B, C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the intensity mean value of PDGFR-β and the number of pSmad2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94771">
        <w:rPr>
          <w:rFonts w:ascii="Times New Roman" w:hAnsi="Times New Roman" w:cs="Times New Roman"/>
          <w:sz w:val="24"/>
          <w:szCs w:val="24"/>
        </w:rPr>
        <w:t xml:space="preserve"> cells (*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0.05, **</w:t>
      </w:r>
      <w:r w:rsidRPr="00294771">
        <w:rPr>
          <w:rFonts w:ascii="Times New Roman" w:hAnsi="Times New Roman" w:cs="Times New Roman" w:hint="eastAsia"/>
          <w:sz w:val="24"/>
          <w:szCs w:val="24"/>
        </w:rPr>
        <w:t>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</w:t>
      </w:r>
      <w:r w:rsidRPr="00294771">
        <w:rPr>
          <w:rFonts w:ascii="Times New Roman" w:hAnsi="Times New Roman" w:cs="Times New Roman" w:hint="eastAsia"/>
          <w:sz w:val="24"/>
          <w:szCs w:val="24"/>
        </w:rPr>
        <w:t>0</w:t>
      </w:r>
      <w:r w:rsidRPr="00294771">
        <w:rPr>
          <w:rFonts w:ascii="Times New Roman" w:hAnsi="Times New Roman" w:cs="Times New Roman"/>
          <w:sz w:val="24"/>
          <w:szCs w:val="24"/>
        </w:rPr>
        <w:t xml:space="preserve">1, n=6). 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29477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Representative Western blots showing the activation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pSmad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signaling. </w:t>
      </w:r>
      <w:r w:rsidRPr="00294771">
        <w:rPr>
          <w:rFonts w:ascii="Times New Roman" w:hAnsi="Times New Roman" w:cs="Times New Roman"/>
          <w:b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294771">
        <w:rPr>
          <w:rFonts w:ascii="Times New Roman" w:hAnsi="Times New Roman" w:cs="Times New Roman"/>
          <w:sz w:val="24"/>
          <w:szCs w:val="24"/>
        </w:rPr>
        <w:t>Quantitative analysis of BMS score between 13C4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control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mice after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SCI, 1D11 mice</w:t>
      </w:r>
      <w:r w:rsidRPr="00294771">
        <w:rPr>
          <w:rFonts w:ascii="Times New Roman" w:hAnsi="Times New Roman" w:cs="Times New Roman"/>
          <w:bCs/>
          <w:sz w:val="24"/>
          <w:szCs w:val="24"/>
        </w:rPr>
        <w:t xml:space="preserve"> after SCI, and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13C4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control</w:t>
      </w:r>
      <w:r w:rsidRPr="002947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>mice without SCI.</w:t>
      </w:r>
      <w:r w:rsidRPr="002947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294771">
        <w:rPr>
          <w:rFonts w:ascii="Times New Roman" w:hAnsi="Times New Roman" w:cs="Times New Roman"/>
          <w:b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withdrawal time responding to temperature (hot plate test, *</w:t>
      </w:r>
      <w:r w:rsidRPr="00294771">
        <w:rPr>
          <w:rFonts w:ascii="Times New Roman" w:hAnsi="Times New Roman" w:cs="Times New Roman"/>
          <w:i/>
          <w:sz w:val="24"/>
          <w:szCs w:val="24"/>
        </w:rPr>
        <w:t>P</w:t>
      </w:r>
      <w:r w:rsidRPr="00294771">
        <w:rPr>
          <w:rFonts w:ascii="Times New Roman" w:hAnsi="Times New Roman" w:cs="Times New Roman"/>
          <w:sz w:val="24"/>
          <w:szCs w:val="24"/>
        </w:rPr>
        <w:t>&lt;0.05, **</w:t>
      </w:r>
      <w:r w:rsidRPr="00294771">
        <w:rPr>
          <w:rFonts w:ascii="Times New Roman" w:hAnsi="Times New Roman" w:cs="Times New Roman"/>
          <w:i/>
          <w:sz w:val="24"/>
          <w:szCs w:val="24"/>
        </w:rPr>
        <w:t>P</w:t>
      </w:r>
      <w:r w:rsidRPr="00294771">
        <w:rPr>
          <w:rFonts w:ascii="Times New Roman" w:hAnsi="Times New Roman" w:cs="Times New Roman"/>
          <w:sz w:val="24"/>
          <w:szCs w:val="24"/>
        </w:rPr>
        <w:t>&lt;0.01, **</w:t>
      </w:r>
      <w:r w:rsidRPr="00294771">
        <w:rPr>
          <w:rFonts w:ascii="Times New Roman" w:hAnsi="Times New Roman" w:cs="Times New Roman" w:hint="eastAsia"/>
          <w:sz w:val="24"/>
          <w:szCs w:val="24"/>
        </w:rPr>
        <w:t>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</w:t>
      </w:r>
      <w:r w:rsidRPr="00294771">
        <w:rPr>
          <w:rFonts w:ascii="Times New Roman" w:hAnsi="Times New Roman" w:cs="Times New Roman" w:hint="eastAsia"/>
          <w:sz w:val="24"/>
          <w:szCs w:val="24"/>
        </w:rPr>
        <w:t>0</w:t>
      </w:r>
      <w:r w:rsidRPr="00294771">
        <w:rPr>
          <w:rFonts w:ascii="Times New Roman" w:hAnsi="Times New Roman" w:cs="Times New Roman"/>
          <w:sz w:val="24"/>
          <w:szCs w:val="24"/>
        </w:rPr>
        <w:t>1,</w:t>
      </w:r>
      <w:r w:rsidRPr="002947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sz w:val="24"/>
          <w:szCs w:val="24"/>
        </w:rPr>
        <w:t xml:space="preserve">n=8). </w:t>
      </w:r>
      <w:r w:rsidRPr="00294771">
        <w:rPr>
          <w:rFonts w:ascii="Times New Roman" w:hAnsi="Times New Roman" w:cs="Times New Roman"/>
          <w:b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G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294771">
        <w:rPr>
          <w:rFonts w:ascii="Times New Roman" w:hAnsi="Times New Roman" w:cs="Times New Roman"/>
          <w:sz w:val="24"/>
          <w:szCs w:val="24"/>
        </w:rPr>
        <w:t xml:space="preserve">Quantitative analysis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withdrawal frequency responding to mechanical stimulation (von Frey test, 0.7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>, 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>&lt; 0.01, ***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0.001, n=8). </w:t>
      </w:r>
      <w:r w:rsidRPr="00294771">
        <w:rPr>
          <w:rFonts w:ascii="Times New Roman" w:hAnsi="Times New Roman" w:cs="Times New Roman"/>
          <w:b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H</w:t>
      </w:r>
      <w:r w:rsidRPr="00294771">
        <w:rPr>
          <w:rFonts w:ascii="Times New Roman" w:hAnsi="Times New Roman" w:cs="Times New Roman"/>
          <w:b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withdrawal frequency responding to mechanical stimulation (von Frey test, 3.9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>, 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lastRenderedPageBreak/>
        <w:t>&lt; 0.05, 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0.01, n=8). </w:t>
      </w:r>
      <w:r w:rsidRPr="00294771">
        <w:rPr>
          <w:rFonts w:ascii="Times New Roman" w:hAnsi="Times New Roman" w:cs="Times New Roman"/>
          <w:b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294771">
        <w:rPr>
          <w:rFonts w:ascii="Times New Roman" w:hAnsi="Times New Roman" w:cs="Times New Roman"/>
          <w:b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Representative footprints of animal walking 8 weeks after SCI. PWF: paw withdrawal frequency. LF: left forepaw, RF: right forepaw, RH: right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hindpaw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>.</w:t>
      </w:r>
      <w:r w:rsidRPr="002947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sz w:val="24"/>
          <w:szCs w:val="24"/>
        </w:rPr>
        <w:t>(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J</w:t>
      </w:r>
      <w:r w:rsidRPr="00294771">
        <w:rPr>
          <w:rFonts w:ascii="Times New Roman" w:hAnsi="Times New Roman" w:cs="Times New Roman"/>
          <w:b/>
          <w:sz w:val="24"/>
          <w:szCs w:val="24"/>
        </w:rPr>
        <w:t>-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L</w:t>
      </w:r>
      <w:r w:rsidRPr="00294771">
        <w:rPr>
          <w:rFonts w:ascii="Times New Roman" w:hAnsi="Times New Roman" w:cs="Times New Roman"/>
          <w:b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t xml:space="preserve"> Quantitative analysis of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CatWalk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>, including print length (</w:t>
      </w:r>
      <w:r w:rsidRPr="00294771">
        <w:rPr>
          <w:rFonts w:ascii="Times New Roman" w:hAnsi="Times New Roman" w:cs="Times New Roman" w:hint="eastAsia"/>
          <w:sz w:val="24"/>
          <w:szCs w:val="24"/>
        </w:rPr>
        <w:t>J</w:t>
      </w:r>
      <w:r w:rsidRPr="00294771">
        <w:rPr>
          <w:rFonts w:ascii="Times New Roman" w:hAnsi="Times New Roman" w:cs="Times New Roman"/>
          <w:sz w:val="24"/>
          <w:szCs w:val="24"/>
        </w:rPr>
        <w:t>), stride length (</w:t>
      </w:r>
      <w:r w:rsidRPr="00294771">
        <w:rPr>
          <w:rFonts w:ascii="Times New Roman" w:hAnsi="Times New Roman" w:cs="Times New Roman" w:hint="eastAsia"/>
          <w:sz w:val="24"/>
          <w:szCs w:val="24"/>
        </w:rPr>
        <w:t>K</w:t>
      </w:r>
      <w:r w:rsidRPr="00294771">
        <w:rPr>
          <w:rFonts w:ascii="Times New Roman" w:hAnsi="Times New Roman" w:cs="Times New Roman"/>
          <w:sz w:val="24"/>
          <w:szCs w:val="24"/>
        </w:rPr>
        <w:t>), and print area (</w:t>
      </w:r>
      <w:r w:rsidRPr="00294771">
        <w:rPr>
          <w:rFonts w:ascii="Times New Roman" w:hAnsi="Times New Roman" w:cs="Times New Roman" w:hint="eastAsia"/>
          <w:sz w:val="24"/>
          <w:szCs w:val="24"/>
        </w:rPr>
        <w:t>L</w:t>
      </w:r>
      <w:r w:rsidRPr="00294771">
        <w:rPr>
          <w:rFonts w:ascii="Times New Roman" w:hAnsi="Times New Roman" w:cs="Times New Roman"/>
          <w:sz w:val="24"/>
          <w:szCs w:val="24"/>
        </w:rPr>
        <w:t>) (*</w:t>
      </w:r>
      <w:r w:rsidRPr="00294771">
        <w:rPr>
          <w:rFonts w:ascii="Times New Roman" w:hAnsi="Times New Roman" w:cs="Times New Roman"/>
          <w:i/>
          <w:sz w:val="24"/>
          <w:szCs w:val="24"/>
        </w:rPr>
        <w:t>P</w:t>
      </w:r>
      <w:r w:rsidRPr="00294771">
        <w:rPr>
          <w:rFonts w:ascii="Times New Roman" w:hAnsi="Times New Roman" w:cs="Times New Roman"/>
          <w:sz w:val="24"/>
          <w:szCs w:val="24"/>
        </w:rPr>
        <w:t>&lt;0.05, **</w:t>
      </w:r>
      <w:r w:rsidRPr="00294771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94771">
        <w:rPr>
          <w:rFonts w:ascii="Times New Roman" w:hAnsi="Times New Roman" w:cs="Times New Roman"/>
          <w:sz w:val="24"/>
          <w:szCs w:val="24"/>
        </w:rPr>
        <w:t xml:space="preserve">&lt; 0.01, n=8). </w:t>
      </w:r>
      <w:bookmarkStart w:id="0" w:name="OLE_LINK1"/>
      <w:r w:rsidRPr="00294771">
        <w:rPr>
          <w:rFonts w:ascii="Times New Roman" w:hAnsi="Times New Roman" w:cs="Times New Roman"/>
          <w:sz w:val="24"/>
          <w:szCs w:val="24"/>
        </w:rPr>
        <w:t>PWF: paw withdrawal frequency.</w:t>
      </w:r>
      <w:bookmarkEnd w:id="0"/>
      <w:r w:rsidRPr="00294771">
        <w:rPr>
          <w:rFonts w:ascii="Times New Roman" w:hAnsi="Times New Roman" w:cs="Times New Roman"/>
          <w:sz w:val="24"/>
          <w:szCs w:val="24"/>
        </w:rPr>
        <w:t xml:space="preserve"> Statistical significance was determined by multifactorial ANOVA, and all data are shown as means ± standard deviations. Source data are provided as a Source Data file.</w:t>
      </w:r>
    </w:p>
    <w:p w:rsidR="00081EF1" w:rsidRPr="00294771" w:rsidRDefault="00081EF1" w:rsidP="00081EF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947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1EF1" w:rsidRPr="00294771" w:rsidRDefault="00081EF1" w:rsidP="00081EF1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Extended Data Fig. </w:t>
      </w:r>
      <w:r w:rsidRPr="00294771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7</w:t>
      </w: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: Results of unbiased classification of single-cell data and downstream differential expression and enrichment analyses. (A) </w:t>
      </w:r>
      <w:r w:rsidRPr="00294771">
        <w:rPr>
          <w:rFonts w:ascii="Times New Roman" w:hAnsi="Times New Roman" w:cs="Times New Roman"/>
          <w:kern w:val="0"/>
          <w:sz w:val="24"/>
          <w:szCs w:val="24"/>
        </w:rPr>
        <w:t xml:space="preserve">Cells plotted on UMAP coordinates and colored by </w:t>
      </w:r>
      <w:proofErr w:type="spellStart"/>
      <w:r w:rsidRPr="00294771">
        <w:rPr>
          <w:rFonts w:ascii="Times New Roman" w:hAnsi="Times New Roman" w:cs="Times New Roman"/>
          <w:kern w:val="0"/>
          <w:sz w:val="24"/>
          <w:szCs w:val="24"/>
        </w:rPr>
        <w:t>SingleCellNet</w:t>
      </w:r>
      <w:proofErr w:type="spellEnd"/>
      <w:r w:rsidRPr="00294771">
        <w:rPr>
          <w:rFonts w:ascii="Times New Roman" w:hAnsi="Times New Roman" w:cs="Times New Roman"/>
          <w:kern w:val="0"/>
          <w:sz w:val="24"/>
          <w:szCs w:val="24"/>
        </w:rPr>
        <w:t xml:space="preserve"> (SCN) annotation. SCN was trained on Tabula </w:t>
      </w:r>
      <w:proofErr w:type="spellStart"/>
      <w:r w:rsidRPr="00294771">
        <w:rPr>
          <w:rFonts w:ascii="Times New Roman" w:hAnsi="Times New Roman" w:cs="Times New Roman"/>
          <w:kern w:val="0"/>
          <w:sz w:val="24"/>
          <w:szCs w:val="24"/>
        </w:rPr>
        <w:t>Muris</w:t>
      </w:r>
      <w:proofErr w:type="spellEnd"/>
      <w:r w:rsidRPr="0029477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294771">
        <w:rPr>
          <w:rFonts w:ascii="Times New Roman" w:hAnsi="Times New Roman" w:cs="Times New Roman"/>
          <w:kern w:val="0"/>
          <w:sz w:val="24"/>
          <w:szCs w:val="24"/>
        </w:rPr>
        <w:t>Senis</w:t>
      </w:r>
      <w:proofErr w:type="spellEnd"/>
      <w:r w:rsidRPr="00294771">
        <w:rPr>
          <w:rFonts w:ascii="Times New Roman" w:hAnsi="Times New Roman" w:cs="Times New Roman"/>
          <w:kern w:val="0"/>
          <w:sz w:val="24"/>
          <w:szCs w:val="24"/>
        </w:rPr>
        <w:t xml:space="preserve"> skeletal muscle training data and each query cell was assigned the class label for which SCN returned the highest classification score. </w:t>
      </w: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t>(B)</w:t>
      </w:r>
      <w:r w:rsidRPr="00294771">
        <w:rPr>
          <w:rFonts w:ascii="Times New Roman" w:hAnsi="Times New Roman" w:cs="Times New Roman"/>
          <w:kern w:val="0"/>
          <w:sz w:val="24"/>
          <w:szCs w:val="24"/>
        </w:rPr>
        <w:t xml:space="preserve"> Heat map of top 20 differentially expressed genes per cell type, as computed in Seurat using </w:t>
      </w:r>
      <w:proofErr w:type="spellStart"/>
      <w:r w:rsidRPr="00294771">
        <w:rPr>
          <w:rFonts w:ascii="Times New Roman" w:hAnsi="Times New Roman" w:cs="Times New Roman"/>
          <w:kern w:val="0"/>
          <w:sz w:val="24"/>
          <w:szCs w:val="24"/>
        </w:rPr>
        <w:t>FindAllMarkers</w:t>
      </w:r>
      <w:proofErr w:type="spellEnd"/>
      <w:r w:rsidRPr="00294771">
        <w:rPr>
          <w:rFonts w:ascii="Times New Roman" w:hAnsi="Times New Roman" w:cs="Times New Roman"/>
          <w:kern w:val="0"/>
          <w:sz w:val="24"/>
          <w:szCs w:val="24"/>
        </w:rPr>
        <w:t xml:space="preserve"> and the </w:t>
      </w:r>
      <w:proofErr w:type="spellStart"/>
      <w:r w:rsidRPr="00294771">
        <w:rPr>
          <w:rFonts w:ascii="Times New Roman" w:hAnsi="Times New Roman" w:cs="Times New Roman"/>
          <w:kern w:val="0"/>
          <w:sz w:val="24"/>
          <w:szCs w:val="24"/>
        </w:rPr>
        <w:t>wilcox</w:t>
      </w:r>
      <w:proofErr w:type="spellEnd"/>
      <w:r w:rsidRPr="00294771">
        <w:rPr>
          <w:rFonts w:ascii="Times New Roman" w:hAnsi="Times New Roman" w:cs="Times New Roman"/>
          <w:kern w:val="0"/>
          <w:sz w:val="24"/>
          <w:szCs w:val="24"/>
        </w:rPr>
        <w:t xml:space="preserve"> rank sum test. </w:t>
      </w:r>
      <w:r w:rsidRPr="0029477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(C) </w:t>
      </w:r>
      <w:r w:rsidRPr="00294771">
        <w:rPr>
          <w:rFonts w:ascii="Times New Roman" w:hAnsi="Times New Roman" w:cs="Times New Roman"/>
          <w:kern w:val="0"/>
          <w:sz w:val="24"/>
          <w:szCs w:val="24"/>
        </w:rPr>
        <w:t xml:space="preserve">Dot plot of the top 10 differentially expressed genes per cell type. </w:t>
      </w:r>
    </w:p>
    <w:p w:rsidR="00081EF1" w:rsidRPr="00294771" w:rsidRDefault="00081EF1" w:rsidP="00081EF1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081EF1" w:rsidRPr="00294771" w:rsidRDefault="00081EF1" w:rsidP="00081E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2010335"/>
      <w:r w:rsidRPr="00294771">
        <w:rPr>
          <w:rFonts w:ascii="Times New Roman" w:hAnsi="Times New Roman" w:cs="Times New Roman"/>
          <w:b/>
          <w:sz w:val="24"/>
          <w:szCs w:val="24"/>
        </w:rPr>
        <w:t xml:space="preserve">Extended Data Fig. </w:t>
      </w:r>
      <w:r w:rsidRPr="00294771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294771">
        <w:rPr>
          <w:rFonts w:ascii="Times New Roman" w:hAnsi="Times New Roman" w:cs="Times New Roman"/>
          <w:b/>
          <w:sz w:val="24"/>
          <w:szCs w:val="24"/>
        </w:rPr>
        <w:t>:</w:t>
      </w:r>
      <w:bookmarkEnd w:id="1"/>
      <w:r w:rsidRPr="00294771">
        <w:rPr>
          <w:rFonts w:ascii="Times New Roman" w:hAnsi="Times New Roman" w:cs="Times New Roman"/>
          <w:b/>
          <w:sz w:val="24"/>
          <w:szCs w:val="24"/>
        </w:rPr>
        <w:t xml:space="preserve"> Trajectory inference of developmentally-related cell types reveals two putative lineages to generate fibroblasts through an MSC intermediate. (A) </w:t>
      </w:r>
      <w:r w:rsidRPr="00294771">
        <w:rPr>
          <w:rFonts w:ascii="Times New Roman" w:hAnsi="Times New Roman" w:cs="Times New Roman"/>
          <w:sz w:val="24"/>
          <w:szCs w:val="24"/>
        </w:rPr>
        <w:t xml:space="preserve">Heat map of dynamically expressed genes across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pseudotime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for the lineage representing the transition of endothelial cells to fibroblasts through an MSC intermediate. </w:t>
      </w:r>
      <w:r w:rsidRPr="00294771">
        <w:rPr>
          <w:rFonts w:ascii="Times New Roman" w:hAnsi="Times New Roman" w:cs="Times New Roman"/>
          <w:b/>
          <w:sz w:val="24"/>
          <w:szCs w:val="24"/>
        </w:rPr>
        <w:t xml:space="preserve">(B-C) </w:t>
      </w:r>
      <w:bookmarkStart w:id="2" w:name="_Hlk122010234"/>
      <w:proofErr w:type="spellStart"/>
      <w:r w:rsidRPr="00294771">
        <w:rPr>
          <w:rFonts w:ascii="Times New Roman" w:hAnsi="Times New Roman" w:cs="Times New Roman"/>
          <w:sz w:val="24"/>
          <w:szCs w:val="24"/>
        </w:rPr>
        <w:t>Pseudotime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curves plotted on harmonized principal components that illustrate two lineages: EC </w:t>
      </w:r>
      <w:r w:rsidRPr="0029477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94771">
        <w:rPr>
          <w:rFonts w:ascii="Times New Roman" w:hAnsi="Times New Roman" w:cs="Times New Roman"/>
          <w:sz w:val="24"/>
          <w:szCs w:val="24"/>
        </w:rPr>
        <w:t xml:space="preserve"> MSC </w:t>
      </w:r>
      <w:r w:rsidRPr="0029477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94771">
        <w:rPr>
          <w:rFonts w:ascii="Times New Roman" w:hAnsi="Times New Roman" w:cs="Times New Roman"/>
          <w:sz w:val="24"/>
          <w:szCs w:val="24"/>
        </w:rPr>
        <w:t xml:space="preserve"> fibroblast and pericyte </w:t>
      </w:r>
      <w:r w:rsidRPr="0029477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94771">
        <w:rPr>
          <w:rFonts w:ascii="Times New Roman" w:hAnsi="Times New Roman" w:cs="Times New Roman"/>
          <w:sz w:val="24"/>
          <w:szCs w:val="24"/>
        </w:rPr>
        <w:t xml:space="preserve"> MSC </w:t>
      </w:r>
      <w:r w:rsidRPr="0029477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94771">
        <w:rPr>
          <w:rFonts w:ascii="Times New Roman" w:hAnsi="Times New Roman" w:cs="Times New Roman"/>
          <w:sz w:val="24"/>
          <w:szCs w:val="24"/>
        </w:rPr>
        <w:t xml:space="preserve"> fibroblast.</w:t>
      </w:r>
      <w:bookmarkEnd w:id="2"/>
      <w:r w:rsidRPr="00294771">
        <w:rPr>
          <w:rFonts w:ascii="Times New Roman" w:hAnsi="Times New Roman" w:cs="Times New Roman"/>
          <w:sz w:val="24"/>
          <w:szCs w:val="24"/>
        </w:rPr>
        <w:t xml:space="preserve"> </w:t>
      </w:r>
      <w:r w:rsidRPr="00294771">
        <w:rPr>
          <w:rFonts w:ascii="Times New Roman" w:hAnsi="Times New Roman" w:cs="Times New Roman"/>
          <w:b/>
          <w:sz w:val="24"/>
          <w:szCs w:val="24"/>
        </w:rPr>
        <w:t>(D-E)</w:t>
      </w:r>
      <w:r w:rsidRPr="00294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Pseudotime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values for the first and second lineages, </w:t>
      </w:r>
      <w:r w:rsidRPr="00294771">
        <w:rPr>
          <w:rFonts w:ascii="Times New Roman" w:hAnsi="Times New Roman" w:cs="Times New Roman"/>
          <w:sz w:val="24"/>
          <w:szCs w:val="24"/>
        </w:rPr>
        <w:lastRenderedPageBreak/>
        <w:t xml:space="preserve">respectively. </w:t>
      </w:r>
      <w:proofErr w:type="spellStart"/>
      <w:r w:rsidRPr="00294771">
        <w:rPr>
          <w:rFonts w:ascii="Times New Roman" w:hAnsi="Times New Roman" w:cs="Times New Roman"/>
          <w:sz w:val="24"/>
          <w:szCs w:val="24"/>
        </w:rPr>
        <w:t>Pseudotime</w:t>
      </w:r>
      <w:proofErr w:type="spellEnd"/>
      <w:r w:rsidRPr="00294771">
        <w:rPr>
          <w:rFonts w:ascii="Times New Roman" w:hAnsi="Times New Roman" w:cs="Times New Roman"/>
          <w:sz w:val="24"/>
          <w:szCs w:val="24"/>
        </w:rPr>
        <w:t xml:space="preserve"> analysis was performed using the Slingshot algorithm (version 1.8.0, </w:t>
      </w:r>
      <w:hyperlink r:id="rId4" w:history="1">
        <w:r w:rsidRPr="0029477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https://github.com/kstreet13/slingshot</w:t>
        </w:r>
      </w:hyperlink>
      <w:r w:rsidRPr="00294771">
        <w:rPr>
          <w:rFonts w:ascii="Times New Roman" w:hAnsi="Times New Roman" w:cs="Times New Roman"/>
          <w:sz w:val="24"/>
          <w:szCs w:val="24"/>
        </w:rPr>
        <w:t>)</w:t>
      </w:r>
      <w:r w:rsidRPr="0029477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PEVuZE5vdGU+PENpdGU+PEF1dGhvcj5TdHJlZXQ8L0F1dGhvcj48WWVhcj4yMDE4PC9ZZWFyPjxS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</w:fldData>
        </w:fldChar>
      </w:r>
      <w:r w:rsidRPr="00294771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29477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PEVuZE5vdGU+PENpdGU+PEF1dGhvcj5TdHJlZXQ8L0F1dGhvcj48WWVhcj4yMDE4PC9ZZWFyPjxS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</w:fldData>
        </w:fldChar>
      </w:r>
      <w:r w:rsidRPr="00294771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294771">
        <w:rPr>
          <w:rFonts w:ascii="Times New Roman" w:hAnsi="Times New Roman" w:cs="Times New Roman"/>
          <w:sz w:val="24"/>
          <w:szCs w:val="24"/>
        </w:rPr>
      </w:r>
      <w:r w:rsidRPr="00294771">
        <w:rPr>
          <w:rFonts w:ascii="Times New Roman" w:hAnsi="Times New Roman" w:cs="Times New Roman"/>
          <w:sz w:val="24"/>
          <w:szCs w:val="24"/>
        </w:rPr>
        <w:fldChar w:fldCharType="end"/>
      </w:r>
      <w:r w:rsidRPr="00294771">
        <w:rPr>
          <w:rFonts w:ascii="Times New Roman" w:hAnsi="Times New Roman" w:cs="Times New Roman"/>
          <w:sz w:val="24"/>
          <w:szCs w:val="24"/>
        </w:rPr>
      </w:r>
      <w:r w:rsidRPr="00294771">
        <w:rPr>
          <w:rFonts w:ascii="Times New Roman" w:hAnsi="Times New Roman" w:cs="Times New Roman"/>
          <w:sz w:val="24"/>
          <w:szCs w:val="24"/>
        </w:rPr>
        <w:fldChar w:fldCharType="separate"/>
      </w:r>
      <w:r w:rsidRPr="00294771">
        <w:rPr>
          <w:rFonts w:ascii="Times New Roman" w:hAnsi="Times New Roman" w:cs="Times New Roman"/>
          <w:noProof/>
          <w:sz w:val="24"/>
          <w:szCs w:val="24"/>
          <w:vertAlign w:val="superscript"/>
        </w:rPr>
        <w:t>114</w:t>
      </w:r>
      <w:r w:rsidRPr="00294771">
        <w:rPr>
          <w:rFonts w:ascii="Times New Roman" w:hAnsi="Times New Roman" w:cs="Times New Roman"/>
          <w:sz w:val="24"/>
          <w:szCs w:val="24"/>
        </w:rPr>
        <w:fldChar w:fldCharType="end"/>
      </w:r>
      <w:r w:rsidRPr="00294771">
        <w:rPr>
          <w:rFonts w:ascii="Times New Roman" w:hAnsi="Times New Roman" w:cs="Times New Roman"/>
          <w:sz w:val="24"/>
          <w:szCs w:val="24"/>
        </w:rPr>
        <w:t xml:space="preserve"> applied to Harmony-integrated embeddings</w:t>
      </w:r>
      <w:r w:rsidRPr="00294771">
        <w:rPr>
          <w:rFonts w:ascii="Times New Roman" w:hAnsi="Times New Roman" w:cs="Times New Roman" w:hint="eastAsia"/>
          <w:sz w:val="24"/>
          <w:szCs w:val="24"/>
        </w:rPr>
        <w:t>.</w:t>
      </w:r>
    </w:p>
    <w:p w:rsidR="006919E4" w:rsidRDefault="006919E4">
      <w:bookmarkStart w:id="3" w:name="_GoBack"/>
      <w:bookmarkEnd w:id="3"/>
    </w:p>
    <w:sectPr w:rsidR="006919E4" w:rsidSect="0029477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96" w:rsidRDefault="00081E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E53" w:rsidRDefault="00081EF1">
    <w:pPr>
      <w:pStyle w:val="Footer"/>
      <w:jc w:val="right"/>
    </w:pPr>
  </w:p>
  <w:p w:rsidR="000A3E53" w:rsidRDefault="00081E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96" w:rsidRDefault="00081EF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96" w:rsidRDefault="00081E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96" w:rsidRDefault="00081E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96" w:rsidRDefault="00081E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F1"/>
    <w:rsid w:val="00081EF1"/>
    <w:rsid w:val="00595E01"/>
    <w:rsid w:val="005A0D3A"/>
    <w:rsid w:val="006919E4"/>
    <w:rsid w:val="00923DE5"/>
    <w:rsid w:val="00A91DAC"/>
    <w:rsid w:val="00E1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353813-BC91-476E-8A07-03F7FF47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1EF1"/>
    <w:pPr>
      <w:spacing w:after="0" w:line="360" w:lineRule="auto"/>
    </w:pPr>
    <w:rPr>
      <w:rFonts w:eastAsiaTheme="minorEastAsia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1E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1E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81EF1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81E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81EF1"/>
    <w:rPr>
      <w:rFonts w:eastAsiaTheme="minorEastAsia"/>
      <w:kern w:val="2"/>
      <w:sz w:val="18"/>
      <w:szCs w:val="18"/>
      <w:lang w:eastAsia="zh-CN"/>
    </w:rPr>
  </w:style>
  <w:style w:type="paragraph" w:customStyle="1" w:styleId="Paragraph">
    <w:name w:val="Paragraph"/>
    <w:basedOn w:val="Normal"/>
    <w:link w:val="ParagraphChar"/>
    <w:rsid w:val="00081EF1"/>
    <w:pPr>
      <w:spacing w:before="120"/>
      <w:ind w:firstLine="7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ParagraphChar">
    <w:name w:val="Paragraph Char"/>
    <w:basedOn w:val="DefaultParagraphFont"/>
    <w:link w:val="Paragraph"/>
    <w:rsid w:val="00081E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s://github.com/kstreet13/slingshot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1251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Purnima Pandey</dc:creator>
  <cp:keywords/>
  <dc:description/>
  <cp:lastModifiedBy>Purnima Pandey</cp:lastModifiedBy>
  <cp:revision>1</cp:revision>
  <dcterms:created xsi:type="dcterms:W3CDTF">2026-01-05T05:50:00Z</dcterms:created>
  <dcterms:modified xsi:type="dcterms:W3CDTF">2026-01-05T05:51:00Z</dcterms:modified>
</cp:coreProperties>
</file>