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0F74" w:rsidRPr="00DC27A9" w:rsidRDefault="003E0F74" w:rsidP="003E0F74">
      <w:pPr>
        <w:widowControl w:val="0"/>
        <w:rPr>
          <w:b/>
        </w:rPr>
      </w:pPr>
      <w:r w:rsidRPr="00DC27A9">
        <w:rPr>
          <w:b/>
        </w:rPr>
        <w:t>Identification of selective inhibitors for diffuse-type gastric cancer cells by screening of annotated compounds in preclinical models</w:t>
      </w:r>
    </w:p>
    <w:p w:rsidR="00541736" w:rsidRPr="00DC27A9" w:rsidRDefault="00541736" w:rsidP="00541736">
      <w:pPr>
        <w:widowControl w:val="0"/>
      </w:pPr>
    </w:p>
    <w:p w:rsidR="00541736" w:rsidRPr="00DC27A9" w:rsidRDefault="00541736" w:rsidP="00541736">
      <w:pPr>
        <w:widowControl w:val="0"/>
      </w:pPr>
      <w:r w:rsidRPr="00DC27A9">
        <w:t>Shu Shimada</w:t>
      </w:r>
      <w:r w:rsidRPr="00DC27A9">
        <w:rPr>
          <w:vertAlign w:val="superscript"/>
        </w:rPr>
        <w:t>1</w:t>
      </w:r>
      <w:r w:rsidRPr="00DC27A9">
        <w:t>, Yoshimitsu Akiyama</w:t>
      </w:r>
      <w:r w:rsidRPr="00DC27A9">
        <w:rPr>
          <w:vertAlign w:val="superscript"/>
        </w:rPr>
        <w:t>1</w:t>
      </w:r>
      <w:r w:rsidRPr="00DC27A9">
        <w:t>, Kaoru Mogushi</w:t>
      </w:r>
      <w:r w:rsidRPr="00DC27A9">
        <w:rPr>
          <w:vertAlign w:val="superscript"/>
        </w:rPr>
        <w:t>1,2</w:t>
      </w:r>
      <w:r w:rsidRPr="00DC27A9">
        <w:t>, Mari Ishigami-Yuasa</w:t>
      </w:r>
      <w:r w:rsidRPr="00DC27A9">
        <w:rPr>
          <w:vertAlign w:val="superscript"/>
        </w:rPr>
        <w:t>3</w:t>
      </w:r>
      <w:r w:rsidRPr="00DC27A9">
        <w:t>, Hiroyuki Kagechika</w:t>
      </w:r>
      <w:r w:rsidRPr="00DC27A9">
        <w:rPr>
          <w:vertAlign w:val="superscript"/>
        </w:rPr>
        <w:t>3</w:t>
      </w:r>
      <w:r w:rsidRPr="00DC27A9">
        <w:t>, Hiromi Nagasaki</w:t>
      </w:r>
      <w:r w:rsidRPr="00DC27A9">
        <w:rPr>
          <w:vertAlign w:val="superscript"/>
        </w:rPr>
        <w:t>1</w:t>
      </w:r>
      <w:r w:rsidRPr="00DC27A9">
        <w:t>, Hiroshi Fukamachi</w:t>
      </w:r>
      <w:r w:rsidRPr="00DC27A9">
        <w:rPr>
          <w:vertAlign w:val="superscript"/>
        </w:rPr>
        <w:t>1</w:t>
      </w:r>
      <w:r w:rsidRPr="00DC27A9">
        <w:t>, Yasuhito Yuasa</w:t>
      </w:r>
      <w:r w:rsidRPr="00DC27A9">
        <w:rPr>
          <w:vertAlign w:val="superscript"/>
        </w:rPr>
        <w:t>1</w:t>
      </w:r>
      <w:r w:rsidRPr="00DC27A9">
        <w:t>, Shinji Tanaka</w:t>
      </w:r>
      <w:r w:rsidRPr="00DC27A9">
        <w:rPr>
          <w:vertAlign w:val="superscript"/>
        </w:rPr>
        <w:t>1,</w:t>
      </w:r>
      <w:r w:rsidRPr="00DC27A9">
        <w:rPr>
          <w:rFonts w:hint="eastAsia"/>
          <w:vertAlign w:val="superscript"/>
        </w:rPr>
        <w:t>4</w:t>
      </w:r>
    </w:p>
    <w:p w:rsidR="00541736" w:rsidRPr="00DC27A9" w:rsidRDefault="00541736" w:rsidP="00541736">
      <w:pPr>
        <w:widowControl w:val="0"/>
      </w:pPr>
    </w:p>
    <w:p w:rsidR="00541736" w:rsidRPr="00DC27A9" w:rsidRDefault="00541736" w:rsidP="00541736">
      <w:pPr>
        <w:widowControl w:val="0"/>
        <w:autoSpaceDE w:val="0"/>
        <w:autoSpaceDN w:val="0"/>
        <w:spacing w:before="120"/>
      </w:pPr>
      <w:r w:rsidRPr="00DC27A9">
        <w:rPr>
          <w:vertAlign w:val="superscript"/>
        </w:rPr>
        <w:t>1</w:t>
      </w:r>
      <w:r w:rsidRPr="00DC27A9">
        <w:t xml:space="preserve">Department of Molecular Oncology, Graduate School of Medicine, Tokyo Medical and Dental University, Tokyo, Japan. </w:t>
      </w:r>
      <w:r w:rsidRPr="00DC27A9">
        <w:rPr>
          <w:vertAlign w:val="superscript"/>
        </w:rPr>
        <w:t>2</w:t>
      </w:r>
      <w:r w:rsidRPr="00DC27A9">
        <w:t xml:space="preserve">Center for Genomic and Regenerative Medicine, Juntendo University School of Medicine, Tokyo, Japan. </w:t>
      </w:r>
      <w:r w:rsidRPr="00DC27A9">
        <w:rPr>
          <w:vertAlign w:val="superscript"/>
        </w:rPr>
        <w:t>3</w:t>
      </w:r>
      <w:r w:rsidRPr="00DC27A9">
        <w:t xml:space="preserve">Chemical Biology Screening Center, and Department of Organic and Medicinal Chemistry, Institute of Biomaterials and Bioengineering, Tokyo Medical and Dental University, Tokyo, Japan. </w:t>
      </w:r>
      <w:r w:rsidRPr="00DC27A9">
        <w:rPr>
          <w:vertAlign w:val="superscript"/>
        </w:rPr>
        <w:t>4</w:t>
      </w:r>
      <w:r w:rsidRPr="00DC27A9">
        <w:t>Department of Hepato-Biliary-Pancreatic Surgery, Graduate School of Medicine, Tokyo Medical and Dental University, Tokyo, Japan.</w:t>
      </w:r>
    </w:p>
    <w:p w:rsidR="00541736" w:rsidRPr="00DC27A9" w:rsidRDefault="00541736" w:rsidP="00541736">
      <w:pPr>
        <w:widowControl w:val="0"/>
        <w:autoSpaceDE w:val="0"/>
        <w:autoSpaceDN w:val="0"/>
        <w:spacing w:before="120"/>
      </w:pPr>
    </w:p>
    <w:p w:rsidR="00541736" w:rsidRPr="00DC27A9" w:rsidRDefault="00541736">
      <w:pPr>
        <w:spacing w:line="240" w:lineRule="auto"/>
        <w:jc w:val="left"/>
      </w:pPr>
      <w:r w:rsidRPr="00DC27A9">
        <w:br w:type="page"/>
      </w:r>
    </w:p>
    <w:p w:rsidR="00541736" w:rsidRPr="00DC27A9" w:rsidRDefault="008D1F22" w:rsidP="00541736">
      <w:pPr>
        <w:jc w:val="left"/>
        <w:rPr>
          <w:b/>
        </w:rPr>
      </w:pPr>
      <w:r w:rsidRPr="00DC27A9">
        <w:rPr>
          <w:b/>
        </w:rPr>
        <w:lastRenderedPageBreak/>
        <w:t>SUPPLEMENTARY MATERIALS AND METHODS</w:t>
      </w:r>
    </w:p>
    <w:p w:rsidR="00BE3847" w:rsidRPr="00DC27A9" w:rsidRDefault="00BE3847" w:rsidP="00BE3847">
      <w:pPr>
        <w:spacing w:before="120"/>
      </w:pPr>
      <w:r w:rsidRPr="00DC27A9">
        <w:rPr>
          <w:rFonts w:hint="eastAsia"/>
          <w:b/>
        </w:rPr>
        <w:t>Immuno</w:t>
      </w:r>
      <w:r w:rsidRPr="00DC27A9">
        <w:rPr>
          <w:b/>
        </w:rPr>
        <w:t>histochemistry.</w:t>
      </w:r>
      <w:r w:rsidRPr="00DC27A9">
        <w:t xml:space="preserve"> Tissues were fixed overnight in 4% paraformaldehyde, embedded in paraffin, and sectioned (4 μm thick). </w:t>
      </w:r>
      <w:r w:rsidR="007E6556" w:rsidRPr="00DC27A9">
        <w:rPr>
          <w:rFonts w:hint="eastAsia"/>
        </w:rPr>
        <w:t>Sections</w:t>
      </w:r>
      <w:r w:rsidR="007E6556" w:rsidRPr="00DC27A9">
        <w:t xml:space="preserve"> were immersed in s</w:t>
      </w:r>
      <w:r w:rsidRPr="00DC27A9">
        <w:t>odium citrate (pH 6.0) buffer for antigen retrieval</w:t>
      </w:r>
      <w:r w:rsidR="007E6556" w:rsidRPr="00DC27A9">
        <w:t>, and subsequently incubated with a</w:t>
      </w:r>
      <w:r w:rsidR="004532BD" w:rsidRPr="00DC27A9">
        <w:t xml:space="preserve"> primary antibody against cleaved caspase 3 (5A1E, 1:1000) purchased from Cell Signaling Technology (Danvers, MA)</w:t>
      </w:r>
      <w:r w:rsidR="007E6556" w:rsidRPr="00DC27A9">
        <w:t xml:space="preserve"> at 4 °C overnight</w:t>
      </w:r>
      <w:r w:rsidRPr="00DC27A9">
        <w:t xml:space="preserve">. </w:t>
      </w:r>
      <w:r w:rsidR="007E6556" w:rsidRPr="00DC27A9">
        <w:t>They were probed with anti-rabbit IgG antibody labelled with peroxidase Histofine Simple Stain MAX-PO (Nichirei Bioscience, Tokyo, Japan), and visualized with d</w:t>
      </w:r>
      <w:r w:rsidRPr="00DC27A9">
        <w:t>iaminobenzidine</w:t>
      </w:r>
      <w:r w:rsidR="007E6556" w:rsidRPr="00DC27A9">
        <w:t>.</w:t>
      </w:r>
    </w:p>
    <w:p w:rsidR="007E6556" w:rsidRPr="00DC27A9" w:rsidRDefault="007E6556" w:rsidP="00BE3847">
      <w:pPr>
        <w:spacing w:before="120"/>
      </w:pPr>
    </w:p>
    <w:p w:rsidR="00541736" w:rsidRPr="00DC27A9" w:rsidRDefault="00541736" w:rsidP="008D1F22">
      <w:pPr>
        <w:spacing w:before="120"/>
        <w:rPr>
          <w:b/>
        </w:rPr>
      </w:pPr>
      <w:r w:rsidRPr="00DC27A9">
        <w:rPr>
          <w:b/>
        </w:rPr>
        <w:t>DNA extraction</w:t>
      </w:r>
      <w:r w:rsidR="00BE3847" w:rsidRPr="00DC27A9">
        <w:rPr>
          <w:b/>
        </w:rPr>
        <w:t>.</w:t>
      </w:r>
      <w:r w:rsidR="00BE3847" w:rsidRPr="00DC27A9">
        <w:rPr>
          <w:rFonts w:hint="eastAsia"/>
        </w:rPr>
        <w:t xml:space="preserve"> </w:t>
      </w:r>
      <w:r w:rsidRPr="00DC27A9">
        <w:t>Cell pellets were suspended in TNE Buffer (10 mM Tris-HCl, pH 8.0; 150 mM NaCl; 2 mM EDTA; 0.5% SDS) with 1 mg/ml proteinase K (Roche, Mannheim, Germany) at 48 °C for an hour. Genomic DNA was obtained from cells by phenol-chloroform extraction.</w:t>
      </w:r>
    </w:p>
    <w:p w:rsidR="00541736" w:rsidRPr="00DC27A9" w:rsidRDefault="00541736" w:rsidP="00541736">
      <w:pPr>
        <w:spacing w:before="120"/>
      </w:pPr>
    </w:p>
    <w:p w:rsidR="00541736" w:rsidRPr="00DC27A9" w:rsidRDefault="00541736" w:rsidP="008D1F22">
      <w:pPr>
        <w:spacing w:before="120"/>
      </w:pPr>
      <w:r w:rsidRPr="00DC27A9">
        <w:rPr>
          <w:b/>
        </w:rPr>
        <w:t>Sequencing analysis</w:t>
      </w:r>
      <w:r w:rsidR="00BE3847" w:rsidRPr="00DC27A9">
        <w:rPr>
          <w:b/>
        </w:rPr>
        <w:t>.</w:t>
      </w:r>
      <w:r w:rsidR="00BE3847" w:rsidRPr="00DC27A9">
        <w:t xml:space="preserve"> </w:t>
      </w:r>
      <w:r w:rsidRPr="00DC27A9">
        <w:t xml:space="preserve">To detect </w:t>
      </w:r>
      <w:r w:rsidRPr="00DC27A9">
        <w:rPr>
          <w:i/>
        </w:rPr>
        <w:t>CDH1</w:t>
      </w:r>
      <w:r w:rsidRPr="00DC27A9">
        <w:t xml:space="preserve"> and </w:t>
      </w:r>
      <w:r w:rsidRPr="00DC27A9">
        <w:rPr>
          <w:i/>
        </w:rPr>
        <w:t>TP53</w:t>
      </w:r>
      <w:r w:rsidRPr="00DC27A9">
        <w:t xml:space="preserve"> mutations in human gastric cancer cell lines, genomic DNA and cDNA were amplified with the primer pairs listed in supplementary table S5. The PCR products were sequenced by using the BigDye </w:t>
      </w:r>
      <w:r w:rsidRPr="00DC27A9">
        <w:lastRenderedPageBreak/>
        <w:t>Terminator v3.1 Cycle Sequencing Kit on an Applied Biosystems 3730xl DNA analyzer (Applied Biosystems</w:t>
      </w:r>
      <w:r w:rsidR="00EB77B2" w:rsidRPr="00DC27A9">
        <w:t>, Carlsbad, CA</w:t>
      </w:r>
      <w:r w:rsidRPr="00DC27A9">
        <w:t>) according to the manufacturer’s instructions.</w:t>
      </w:r>
    </w:p>
    <w:p w:rsidR="00B04D9D" w:rsidRPr="00DC27A9" w:rsidRDefault="00B04D9D" w:rsidP="008D1F22">
      <w:pPr>
        <w:spacing w:before="120"/>
      </w:pPr>
    </w:p>
    <w:p w:rsidR="00B32312" w:rsidRPr="00DC27A9" w:rsidRDefault="00B32312" w:rsidP="00B32312">
      <w:pPr>
        <w:spacing w:before="120"/>
      </w:pPr>
      <w:r w:rsidRPr="00DC27A9">
        <w:rPr>
          <w:b/>
        </w:rPr>
        <w:t>Statistical analysis.</w:t>
      </w:r>
      <w:r w:rsidRPr="00DC27A9">
        <w:rPr>
          <w:rFonts w:hint="eastAsia"/>
        </w:rPr>
        <w:t xml:space="preserve"> </w:t>
      </w:r>
      <w:r w:rsidRPr="00DC27A9">
        <w:t>For comprehensively analys</w:t>
      </w:r>
      <w:r w:rsidR="00A15D48" w:rsidRPr="00DC27A9">
        <w:t>is</w:t>
      </w:r>
      <w:r w:rsidRPr="00DC27A9">
        <w:t xml:space="preserve"> of gastric cancer, a </w:t>
      </w:r>
      <w:r w:rsidR="00A15D48" w:rsidRPr="00DC27A9">
        <w:t xml:space="preserve">public </w:t>
      </w:r>
      <w:r w:rsidRPr="00DC27A9">
        <w:t>data set provided from the Cancer Genome Atlas Research Network (TCGA) were obtained through the cBioPortal site (http://www.cbioportal.org/). Single Sample Gene Set Enrichment Analysis (ssG</w:t>
      </w:r>
      <w:r w:rsidR="00437D86" w:rsidRPr="00DC27A9">
        <w:t>SEA) of gene expression data</w:t>
      </w:r>
      <w:r w:rsidRPr="00DC27A9">
        <w:t xml:space="preserve"> was performed </w:t>
      </w:r>
      <w:r w:rsidR="00437D86" w:rsidRPr="00DC27A9">
        <w:t xml:space="preserve">with the MSigDB gene sets (H: hallmark gene sets; version 4.0) </w:t>
      </w:r>
      <w:r w:rsidRPr="00DC27A9">
        <w:t>on the GenePattern site (http://software.broadinstitute.org/cancer/software/genepattern/)</w:t>
      </w:r>
      <w:r w:rsidR="001E00DE" w:rsidRPr="00DC27A9">
        <w:t xml:space="preserve"> in accordance with the manufacturer’s instructions (Subramanian </w:t>
      </w:r>
      <w:r w:rsidR="001E00DE" w:rsidRPr="00DC27A9">
        <w:rPr>
          <w:i/>
        </w:rPr>
        <w:t>et al</w:t>
      </w:r>
      <w:r w:rsidR="001E00DE" w:rsidRPr="00DC27A9">
        <w:t>, 2005).</w:t>
      </w:r>
    </w:p>
    <w:p w:rsidR="00B32312" w:rsidRPr="00DC27A9" w:rsidRDefault="00B32312" w:rsidP="008D1F22">
      <w:pPr>
        <w:spacing w:before="120"/>
      </w:pPr>
    </w:p>
    <w:p w:rsidR="00541736" w:rsidRPr="00DC27A9" w:rsidRDefault="00F53C36" w:rsidP="00DC50D6">
      <w:pPr>
        <w:spacing w:line="240" w:lineRule="auto"/>
        <w:jc w:val="left"/>
      </w:pPr>
      <w:r w:rsidRPr="00DC27A9">
        <w:br w:type="page"/>
      </w:r>
    </w:p>
    <w:p w:rsidR="00263C3D" w:rsidRPr="00DC27A9" w:rsidRDefault="008D1F22" w:rsidP="00263C3D">
      <w:pPr>
        <w:widowControl w:val="0"/>
        <w:rPr>
          <w:b/>
        </w:rPr>
      </w:pPr>
      <w:r w:rsidRPr="00DC27A9">
        <w:rPr>
          <w:b/>
        </w:rPr>
        <w:lastRenderedPageBreak/>
        <w:t>SUPPLEMENTARY FIGURE LEGENDS</w:t>
      </w:r>
    </w:p>
    <w:p w:rsidR="00AD0780" w:rsidRPr="00DC27A9" w:rsidRDefault="00AD0780" w:rsidP="00AD0780">
      <w:pPr>
        <w:widowControl w:val="0"/>
      </w:pPr>
      <w:r w:rsidRPr="00DC27A9">
        <w:rPr>
          <w:rFonts w:hint="eastAsia"/>
          <w:b/>
        </w:rPr>
        <w:t xml:space="preserve">Supplementary Figure </w:t>
      </w:r>
      <w:r w:rsidRPr="00DC27A9">
        <w:rPr>
          <w:b/>
        </w:rPr>
        <w:t>S</w:t>
      </w:r>
      <w:r w:rsidRPr="00DC27A9">
        <w:rPr>
          <w:rFonts w:hint="eastAsia"/>
          <w:b/>
        </w:rPr>
        <w:t>1</w:t>
      </w:r>
      <w:r w:rsidRPr="00DC27A9">
        <w:rPr>
          <w:b/>
        </w:rPr>
        <w:t>.</w:t>
      </w:r>
      <w:r w:rsidRPr="00DC27A9">
        <w:t xml:space="preserve"> Primary culture of DGC of the DCKO mice. (</w:t>
      </w:r>
      <w:r w:rsidRPr="00DC27A9">
        <w:rPr>
          <w:b/>
        </w:rPr>
        <w:t>A</w:t>
      </w:r>
      <w:r w:rsidRPr="00DC27A9">
        <w:t xml:space="preserve">) </w:t>
      </w:r>
      <w:r w:rsidRPr="00DC27A9">
        <w:rPr>
          <w:rFonts w:hint="eastAsia"/>
        </w:rPr>
        <w:t xml:space="preserve">Representative phase-contrast images of the primary culture of </w:t>
      </w:r>
      <w:r w:rsidRPr="00DC27A9">
        <w:t xml:space="preserve">mouse </w:t>
      </w:r>
      <w:r w:rsidRPr="00DC27A9">
        <w:rPr>
          <w:rFonts w:hint="eastAsia"/>
        </w:rPr>
        <w:t>DGC</w:t>
      </w:r>
      <w:r w:rsidRPr="00DC27A9">
        <w:t xml:space="preserve"> (#792). (</w:t>
      </w:r>
      <w:r w:rsidR="0032653B" w:rsidRPr="00DC27A9">
        <w:rPr>
          <w:b/>
        </w:rPr>
        <w:t>B</w:t>
      </w:r>
      <w:r w:rsidRPr="00DC27A9">
        <w:t xml:space="preserve">) Genotyping of the </w:t>
      </w:r>
      <w:r w:rsidRPr="00DC27A9">
        <w:rPr>
          <w:i/>
        </w:rPr>
        <w:t>Cdh1</w:t>
      </w:r>
      <w:r w:rsidRPr="00DC27A9">
        <w:t xml:space="preserve"> and </w:t>
      </w:r>
      <w:r w:rsidRPr="00DC27A9">
        <w:rPr>
          <w:i/>
        </w:rPr>
        <w:t>Trp53</w:t>
      </w:r>
      <w:r w:rsidRPr="00DC27A9">
        <w:t xml:space="preserve"> loci in mouse </w:t>
      </w:r>
      <w:r w:rsidR="0032653B" w:rsidRPr="00DC27A9">
        <w:t xml:space="preserve">DGC </w:t>
      </w:r>
      <w:r w:rsidRPr="00DC27A9">
        <w:t>cell lines</w:t>
      </w:r>
      <w:r w:rsidR="0032653B" w:rsidRPr="00DC27A9">
        <w:t xml:space="preserve"> (GC)</w:t>
      </w:r>
      <w:r w:rsidRPr="00DC27A9">
        <w:t xml:space="preserve">. Untruncated and truncated </w:t>
      </w:r>
      <w:r w:rsidRPr="00DC27A9">
        <w:rPr>
          <w:i/>
        </w:rPr>
        <w:t>Trp53</w:t>
      </w:r>
      <w:r w:rsidRPr="00DC27A9">
        <w:t xml:space="preserve"> were amplified at intron 10 and exon 2-10 deletion mutant of </w:t>
      </w:r>
      <w:r w:rsidRPr="00DC27A9">
        <w:rPr>
          <w:i/>
        </w:rPr>
        <w:t>Trp53</w:t>
      </w:r>
      <w:r w:rsidRPr="00DC27A9">
        <w:t xml:space="preserve"> gene. Untruncated and truncated </w:t>
      </w:r>
      <w:r w:rsidRPr="00DC27A9">
        <w:rPr>
          <w:i/>
        </w:rPr>
        <w:t>Cdh1</w:t>
      </w:r>
      <w:r w:rsidRPr="00DC27A9">
        <w:t xml:space="preserve"> were also done at intron 10 and exon 5-10 deletion mutant of </w:t>
      </w:r>
      <w:r w:rsidRPr="00DC27A9">
        <w:rPr>
          <w:i/>
        </w:rPr>
        <w:t>Cdh1</w:t>
      </w:r>
      <w:r w:rsidRPr="00DC27A9">
        <w:t xml:space="preserve"> gene. The primer sets were listed in our previous paper (Shimada </w:t>
      </w:r>
      <w:r w:rsidRPr="00DC27A9">
        <w:rPr>
          <w:i/>
        </w:rPr>
        <w:t>et al</w:t>
      </w:r>
      <w:r w:rsidRPr="00DC27A9">
        <w:t xml:space="preserve">, 2012). Since </w:t>
      </w:r>
      <w:r w:rsidR="001E00DE" w:rsidRPr="00DC27A9">
        <w:t xml:space="preserve">the </w:t>
      </w:r>
      <w:r w:rsidR="0032653B" w:rsidRPr="00DC27A9">
        <w:t>mouse gastric epithelial</w:t>
      </w:r>
      <w:r w:rsidRPr="00DC27A9">
        <w:t xml:space="preserve"> cell</w:t>
      </w:r>
      <w:r w:rsidR="0032653B" w:rsidRPr="00DC27A9">
        <w:t>s (GE)</w:t>
      </w:r>
      <w:r w:rsidRPr="00DC27A9">
        <w:t xml:space="preserve"> were established from </w:t>
      </w:r>
      <w:r w:rsidR="0032653B" w:rsidRPr="00DC27A9">
        <w:t>stomach</w:t>
      </w:r>
      <w:r w:rsidRPr="00DC27A9">
        <w:t xml:space="preserve"> mucosae of p53-null mice (</w:t>
      </w:r>
      <w:r w:rsidRPr="00DC27A9">
        <w:rPr>
          <w:i/>
        </w:rPr>
        <w:t>Trp53</w:t>
      </w:r>
      <w:r w:rsidRPr="00DC27A9">
        <w:rPr>
          <w:i/>
          <w:vertAlign w:val="superscript"/>
        </w:rPr>
        <w:t>Δ2-6/Δ2-6</w:t>
      </w:r>
      <w:r w:rsidRPr="00DC27A9">
        <w:t xml:space="preserve">), the </w:t>
      </w:r>
      <w:r w:rsidRPr="00DC27A9">
        <w:rPr>
          <w:i/>
        </w:rPr>
        <w:t>Trp53</w:t>
      </w:r>
      <w:r w:rsidRPr="00DC27A9">
        <w:t xml:space="preserve"> locus </w:t>
      </w:r>
      <w:r w:rsidR="001E00DE" w:rsidRPr="00DC27A9">
        <w:t>in</w:t>
      </w:r>
      <w:r w:rsidRPr="00DC27A9">
        <w:t xml:space="preserve"> them could be amplified by using the primer set targeting intro</w:t>
      </w:r>
      <w:r w:rsidR="001E00DE" w:rsidRPr="00DC27A9">
        <w:t>n</w:t>
      </w:r>
      <w:r w:rsidRPr="00DC27A9">
        <w:t xml:space="preserve"> 10 of </w:t>
      </w:r>
      <w:r w:rsidRPr="00DC27A9">
        <w:rPr>
          <w:i/>
        </w:rPr>
        <w:t>Trp53</w:t>
      </w:r>
      <w:r w:rsidRPr="00DC27A9">
        <w:t xml:space="preserve"> gene.</w:t>
      </w:r>
    </w:p>
    <w:p w:rsidR="00263C3D" w:rsidRPr="00DC27A9" w:rsidRDefault="00263C3D" w:rsidP="00263C3D">
      <w:pPr>
        <w:widowControl w:val="0"/>
      </w:pPr>
    </w:p>
    <w:p w:rsidR="00263C3D" w:rsidRPr="00DC27A9" w:rsidRDefault="00263C3D" w:rsidP="00263C3D">
      <w:pPr>
        <w:widowControl w:val="0"/>
      </w:pPr>
      <w:r w:rsidRPr="00DC27A9">
        <w:rPr>
          <w:b/>
        </w:rPr>
        <w:t>Supplementary Figure S2</w:t>
      </w:r>
      <w:r w:rsidR="00531F69" w:rsidRPr="00DC27A9">
        <w:rPr>
          <w:b/>
        </w:rPr>
        <w:t>.</w:t>
      </w:r>
      <w:r w:rsidR="00FE0A27" w:rsidRPr="00DC27A9">
        <w:t xml:space="preserve"> </w:t>
      </w:r>
      <w:r w:rsidR="007A6F2A" w:rsidRPr="00DC27A9">
        <w:t>E</w:t>
      </w:r>
      <w:r w:rsidRPr="00DC27A9">
        <w:t>valuation of cancer stem cell-like properties of mouse DGC cells.</w:t>
      </w:r>
      <w:r w:rsidR="008D1F22" w:rsidRPr="00DC27A9">
        <w:t xml:space="preserve"> (</w:t>
      </w:r>
      <w:r w:rsidR="0050750B" w:rsidRPr="00DC27A9">
        <w:rPr>
          <w:b/>
        </w:rPr>
        <w:t>A</w:t>
      </w:r>
      <w:r w:rsidR="008D1F22" w:rsidRPr="00DC27A9">
        <w:t>)</w:t>
      </w:r>
      <w:r w:rsidRPr="00DC27A9">
        <w:t xml:space="preserve"> Representative phase-contrast images of spheres composed of the GE, f</w:t>
      </w:r>
      <w:r w:rsidR="00531F69" w:rsidRPr="00DC27A9">
        <w:t xml:space="preserve">lat and round GC cell lines. </w:t>
      </w:r>
      <w:r w:rsidR="0032653B" w:rsidRPr="00DC27A9">
        <w:t>(</w:t>
      </w:r>
      <w:r w:rsidR="0032653B" w:rsidRPr="00DC27A9">
        <w:rPr>
          <w:b/>
        </w:rPr>
        <w:t>B</w:t>
      </w:r>
      <w:r w:rsidR="0032653B" w:rsidRPr="00DC27A9">
        <w:t xml:space="preserve">) Representative images of hematoxylin and eosin staining of transplanted tumors derived from the flat and round GC cells. </w:t>
      </w:r>
      <w:r w:rsidR="008D1F22" w:rsidRPr="00DC27A9">
        <w:t>(</w:t>
      </w:r>
      <w:r w:rsidR="0032653B" w:rsidRPr="00DC27A9">
        <w:rPr>
          <w:b/>
        </w:rPr>
        <w:t>C</w:t>
      </w:r>
      <w:r w:rsidR="008D1F22" w:rsidRPr="00DC27A9">
        <w:t xml:space="preserve">) </w:t>
      </w:r>
      <w:r w:rsidRPr="00DC27A9">
        <w:t>Tumo</w:t>
      </w:r>
      <w:r w:rsidR="00595429" w:rsidRPr="00DC27A9">
        <w:t>u</w:t>
      </w:r>
      <w:r w:rsidRPr="00DC27A9">
        <w:t>r-growth curves of the MDGC</w:t>
      </w:r>
      <w:r w:rsidR="007A6F2A" w:rsidRPr="00DC27A9">
        <w:t>7</w:t>
      </w:r>
      <w:r w:rsidRPr="00DC27A9">
        <w:t xml:space="preserve"> cell line in nude mice with treatment of 5-fluorouracil (50 mg/kg/week, intraperitoneally injected). Bars show standard e</w:t>
      </w:r>
      <w:r w:rsidR="00EB77B2" w:rsidRPr="00DC27A9">
        <w:t xml:space="preserve">rrors. </w:t>
      </w:r>
      <w:r w:rsidR="00EB77B2" w:rsidRPr="00DC27A9">
        <w:rPr>
          <w:i/>
        </w:rPr>
        <w:t>P</w:t>
      </w:r>
      <w:r w:rsidR="00F02918" w:rsidRPr="00DC27A9">
        <w:t>-v</w:t>
      </w:r>
      <w:r w:rsidRPr="00DC27A9">
        <w:t xml:space="preserve">alue was calculated by Welch's </w:t>
      </w:r>
      <w:r w:rsidRPr="00DC27A9">
        <w:rPr>
          <w:i/>
        </w:rPr>
        <w:t>t</w:t>
      </w:r>
      <w:r w:rsidRPr="00DC27A9">
        <w:t>-test. NS, not significant.</w:t>
      </w:r>
    </w:p>
    <w:p w:rsidR="00263C3D" w:rsidRPr="00DC27A9" w:rsidRDefault="00263C3D" w:rsidP="00263C3D">
      <w:pPr>
        <w:widowControl w:val="0"/>
      </w:pPr>
    </w:p>
    <w:p w:rsidR="00263C3D" w:rsidRPr="00DC27A9" w:rsidRDefault="00263C3D" w:rsidP="00263C3D">
      <w:pPr>
        <w:widowControl w:val="0"/>
      </w:pPr>
      <w:r w:rsidRPr="00DC27A9">
        <w:rPr>
          <w:rFonts w:hint="eastAsia"/>
          <w:b/>
        </w:rPr>
        <w:t xml:space="preserve">Supplementary Figure </w:t>
      </w:r>
      <w:r w:rsidRPr="00DC27A9">
        <w:rPr>
          <w:b/>
        </w:rPr>
        <w:t>S</w:t>
      </w:r>
      <w:r w:rsidRPr="00DC27A9">
        <w:rPr>
          <w:rFonts w:hint="eastAsia"/>
          <w:b/>
        </w:rPr>
        <w:t>3</w:t>
      </w:r>
      <w:r w:rsidR="00531F69" w:rsidRPr="00DC27A9">
        <w:rPr>
          <w:b/>
        </w:rPr>
        <w:t>.</w:t>
      </w:r>
      <w:r w:rsidR="00FE0A27" w:rsidRPr="00DC27A9">
        <w:t xml:space="preserve"> </w:t>
      </w:r>
      <w:r w:rsidRPr="00DC27A9">
        <w:t xml:space="preserve">Validation of screening system. </w:t>
      </w:r>
      <w:r w:rsidR="008D1F22" w:rsidRPr="00DC27A9">
        <w:t>(</w:t>
      </w:r>
      <w:r w:rsidR="0050750B" w:rsidRPr="00DC27A9">
        <w:rPr>
          <w:b/>
        </w:rPr>
        <w:t>A</w:t>
      </w:r>
      <w:r w:rsidR="008D1F22" w:rsidRPr="00DC27A9">
        <w:t>)</w:t>
      </w:r>
      <w:r w:rsidRPr="00DC27A9">
        <w:t xml:space="preserve"> Standard curves derived from titration of the GE, flat and round GC cell lines. The standard curves indicate a liner response between </w:t>
      </w:r>
      <w:r w:rsidR="007A6F2A" w:rsidRPr="00DC27A9">
        <w:t xml:space="preserve">the </w:t>
      </w:r>
      <w:r w:rsidRPr="00DC27A9">
        <w:t xml:space="preserve">cell number (500, 1000, 2000 and 4000) and absorbance. </w:t>
      </w:r>
      <w:r w:rsidR="008D1F22" w:rsidRPr="00DC27A9">
        <w:t>(</w:t>
      </w:r>
      <w:r w:rsidR="0050750B" w:rsidRPr="00DC27A9">
        <w:rPr>
          <w:b/>
        </w:rPr>
        <w:t>B</w:t>
      </w:r>
      <w:r w:rsidR="008D1F22" w:rsidRPr="00DC27A9">
        <w:t>)</w:t>
      </w:r>
      <w:r w:rsidRPr="00DC27A9">
        <w:t xml:space="preserve"> Z'-factor calculation. Cells treated with or without 5-fluorouracil (5 mM) were used as positive and negative controls, respectively. Solid and dotted lines show the mean and the mean ± 3 SD, respectively.</w:t>
      </w:r>
    </w:p>
    <w:p w:rsidR="00263C3D" w:rsidRPr="00DC27A9" w:rsidRDefault="00263C3D" w:rsidP="00263C3D">
      <w:pPr>
        <w:widowControl w:val="0"/>
      </w:pPr>
    </w:p>
    <w:p w:rsidR="00263C3D" w:rsidRPr="00DC27A9" w:rsidRDefault="00263C3D" w:rsidP="00263C3D">
      <w:pPr>
        <w:widowControl w:val="0"/>
        <w:rPr>
          <w:b/>
        </w:rPr>
      </w:pPr>
      <w:r w:rsidRPr="00DC27A9">
        <w:rPr>
          <w:rFonts w:hint="eastAsia"/>
          <w:b/>
        </w:rPr>
        <w:t xml:space="preserve">Supplementary Figure </w:t>
      </w:r>
      <w:r w:rsidRPr="00DC27A9">
        <w:rPr>
          <w:b/>
        </w:rPr>
        <w:t>S</w:t>
      </w:r>
      <w:r w:rsidRPr="00DC27A9">
        <w:rPr>
          <w:rFonts w:hint="eastAsia"/>
          <w:b/>
        </w:rPr>
        <w:t>4</w:t>
      </w:r>
      <w:r w:rsidR="00531F69" w:rsidRPr="00DC27A9">
        <w:rPr>
          <w:b/>
        </w:rPr>
        <w:t>.</w:t>
      </w:r>
      <w:r w:rsidR="00FE0A27" w:rsidRPr="00DC27A9">
        <w:t xml:space="preserve"> </w:t>
      </w:r>
      <w:r w:rsidRPr="00DC27A9">
        <w:t xml:space="preserve">Dose-response curves of candidate compounds by using mouse GE, flat and round GC cells. </w:t>
      </w:r>
      <w:r w:rsidR="008D1F22" w:rsidRPr="00DC27A9">
        <w:t>(</w:t>
      </w:r>
      <w:r w:rsidR="0050750B" w:rsidRPr="00DC27A9">
        <w:rPr>
          <w:b/>
        </w:rPr>
        <w:t>A</w:t>
      </w:r>
      <w:r w:rsidR="008D1F22" w:rsidRPr="00DC27A9">
        <w:t>)</w:t>
      </w:r>
      <w:r w:rsidRPr="00DC27A9">
        <w:t xml:space="preserve"> </w:t>
      </w:r>
      <w:r w:rsidR="007A6F2A" w:rsidRPr="00DC27A9">
        <w:t xml:space="preserve">Dose-response curves of two chemical compounds targeting CSCs (quercetin and salinomycin) and two androgen receptor antagonists (flutamide and bicalutamide) against the GE and round GC cell lines. </w:t>
      </w:r>
      <w:r w:rsidR="008D1F22" w:rsidRPr="00DC27A9">
        <w:t>(</w:t>
      </w:r>
      <w:r w:rsidR="0050750B" w:rsidRPr="00DC27A9">
        <w:rPr>
          <w:b/>
        </w:rPr>
        <w:t>B</w:t>
      </w:r>
      <w:r w:rsidR="008D1F22" w:rsidRPr="00DC27A9">
        <w:t>)</w:t>
      </w:r>
      <w:r w:rsidRPr="00DC27A9">
        <w:t xml:space="preserve"> </w:t>
      </w:r>
      <w:r w:rsidR="007A6F2A" w:rsidRPr="00DC27A9">
        <w:t>Dose-response curves of 10 chemical compounds selected from the 27 candidate compounds in addition to thioridazine and catechin against the GE, flat and round GC cell lines. Bars show standard deviations.</w:t>
      </w:r>
      <w:r w:rsidRPr="00DC27A9">
        <w:t xml:space="preserve"> Bars show standard deviations.</w:t>
      </w:r>
    </w:p>
    <w:p w:rsidR="00263C3D" w:rsidRPr="00DC27A9" w:rsidRDefault="00263C3D" w:rsidP="00263C3D">
      <w:pPr>
        <w:widowControl w:val="0"/>
      </w:pPr>
    </w:p>
    <w:p w:rsidR="00263C3D" w:rsidRPr="00DC27A9" w:rsidRDefault="00263C3D" w:rsidP="00263C3D">
      <w:pPr>
        <w:widowControl w:val="0"/>
      </w:pPr>
      <w:r w:rsidRPr="00DC27A9">
        <w:rPr>
          <w:rFonts w:hint="eastAsia"/>
          <w:b/>
        </w:rPr>
        <w:t xml:space="preserve">Supplementary Figure </w:t>
      </w:r>
      <w:r w:rsidRPr="00DC27A9">
        <w:rPr>
          <w:b/>
        </w:rPr>
        <w:t>S</w:t>
      </w:r>
      <w:r w:rsidRPr="00DC27A9">
        <w:rPr>
          <w:rFonts w:hint="eastAsia"/>
          <w:b/>
        </w:rPr>
        <w:t>5</w:t>
      </w:r>
      <w:r w:rsidR="00531F69" w:rsidRPr="00DC27A9">
        <w:rPr>
          <w:b/>
        </w:rPr>
        <w:t>.</w:t>
      </w:r>
      <w:r w:rsidR="00FE0A27" w:rsidRPr="00DC27A9">
        <w:t xml:space="preserve"> </w:t>
      </w:r>
      <w:r w:rsidRPr="00DC27A9">
        <w:t xml:space="preserve">Effects of </w:t>
      </w:r>
      <w:r w:rsidR="00A37AA0" w:rsidRPr="00DC27A9">
        <w:t>o</w:t>
      </w:r>
      <w:r w:rsidRPr="00DC27A9">
        <w:t>estrogen drugs on mouse GE, flat and round GC cells.</w:t>
      </w:r>
      <w:r w:rsidR="008D1F22" w:rsidRPr="00DC27A9">
        <w:t xml:space="preserve"> (</w:t>
      </w:r>
      <w:r w:rsidR="0050750B" w:rsidRPr="00DC27A9">
        <w:rPr>
          <w:b/>
        </w:rPr>
        <w:t>A</w:t>
      </w:r>
      <w:r w:rsidR="008D1F22" w:rsidRPr="00DC27A9">
        <w:t>)</w:t>
      </w:r>
      <w:r w:rsidRPr="00DC27A9">
        <w:t xml:space="preserve"> Dose-response curves of </w:t>
      </w:r>
      <w:r w:rsidR="00A37AA0" w:rsidRPr="00DC27A9">
        <w:t>oestrogen</w:t>
      </w:r>
      <w:r w:rsidRPr="00DC27A9">
        <w:t xml:space="preserve"> drugs against the GE, flat and round GC cell </w:t>
      </w:r>
      <w:r w:rsidRPr="00DC27A9">
        <w:lastRenderedPageBreak/>
        <w:t>lines. Bars show standard deviations.</w:t>
      </w:r>
      <w:r w:rsidR="00F14138" w:rsidRPr="00DC27A9">
        <w:t xml:space="preserve"> (</w:t>
      </w:r>
      <w:r w:rsidR="00F14138" w:rsidRPr="00DC27A9">
        <w:rPr>
          <w:b/>
        </w:rPr>
        <w:t>B</w:t>
      </w:r>
      <w:r w:rsidR="00F14138" w:rsidRPr="00DC27A9">
        <w:t xml:space="preserve">) Relative </w:t>
      </w:r>
      <w:r w:rsidR="009F0D5B" w:rsidRPr="00DC27A9">
        <w:t xml:space="preserve">mRNA </w:t>
      </w:r>
      <w:r w:rsidR="00F14138" w:rsidRPr="00DC27A9">
        <w:t xml:space="preserve">expression levels of </w:t>
      </w:r>
      <w:r w:rsidR="00F14138" w:rsidRPr="00DC27A9">
        <w:rPr>
          <w:i/>
        </w:rPr>
        <w:t>Esr2</w:t>
      </w:r>
      <w:r w:rsidR="00F14138" w:rsidRPr="00DC27A9">
        <w:t xml:space="preserve"> in normal stomach </w:t>
      </w:r>
      <w:r w:rsidR="002E40DA" w:rsidRPr="00DC27A9">
        <w:t xml:space="preserve">tissues </w:t>
      </w:r>
      <w:r w:rsidR="00F14138" w:rsidRPr="00DC27A9">
        <w:t xml:space="preserve">of </w:t>
      </w:r>
      <w:r w:rsidR="007F485B" w:rsidRPr="00DC27A9">
        <w:rPr>
          <w:i/>
        </w:rPr>
        <w:t>Atp4b-Cre</w:t>
      </w:r>
      <w:r w:rsidR="007F485B" w:rsidRPr="00DC27A9">
        <w:rPr>
          <w:i/>
          <w:vertAlign w:val="superscript"/>
        </w:rPr>
        <w:t>−</w:t>
      </w:r>
      <w:r w:rsidR="007F485B" w:rsidRPr="00DC27A9">
        <w:rPr>
          <w:i/>
        </w:rPr>
        <w:t>;Cdh1</w:t>
      </w:r>
      <w:r w:rsidR="007F485B" w:rsidRPr="00DC27A9">
        <w:rPr>
          <w:i/>
          <w:vertAlign w:val="superscript"/>
        </w:rPr>
        <w:t>loxP/loxP</w:t>
      </w:r>
      <w:r w:rsidR="007F485B" w:rsidRPr="00DC27A9">
        <w:rPr>
          <w:i/>
        </w:rPr>
        <w:t>;Trp53</w:t>
      </w:r>
      <w:r w:rsidR="007F485B" w:rsidRPr="00DC27A9">
        <w:rPr>
          <w:i/>
          <w:vertAlign w:val="superscript"/>
        </w:rPr>
        <w:t>loxP/loxP</w:t>
      </w:r>
      <w:r w:rsidR="007F485B" w:rsidRPr="00DC27A9">
        <w:t xml:space="preserve"> mice </w:t>
      </w:r>
      <w:r w:rsidR="002E40DA" w:rsidRPr="00DC27A9">
        <w:t>(</w:t>
      </w:r>
      <w:r w:rsidR="002E40DA" w:rsidRPr="00DC27A9">
        <w:rPr>
          <w:i/>
        </w:rPr>
        <w:t>n</w:t>
      </w:r>
      <w:r w:rsidR="002E40DA" w:rsidRPr="00DC27A9">
        <w:t xml:space="preserve"> = 6) </w:t>
      </w:r>
      <w:r w:rsidR="00F14138" w:rsidRPr="00DC27A9">
        <w:t xml:space="preserve">and DGC of the DCKO mice </w:t>
      </w:r>
      <w:r w:rsidR="002E40DA" w:rsidRPr="00DC27A9">
        <w:t>(</w:t>
      </w:r>
      <w:r w:rsidR="002E40DA" w:rsidRPr="00DC27A9">
        <w:rPr>
          <w:i/>
        </w:rPr>
        <w:t>n</w:t>
      </w:r>
      <w:r w:rsidR="009F0D5B" w:rsidRPr="00DC27A9">
        <w:t xml:space="preserve"> = 6)</w:t>
      </w:r>
      <w:r w:rsidR="00F14138" w:rsidRPr="00DC27A9">
        <w:t>. The value of each s</w:t>
      </w:r>
      <w:r w:rsidR="007F485B" w:rsidRPr="00DC27A9">
        <w:t>ample was relative to the mean</w:t>
      </w:r>
      <w:r w:rsidR="00F14138" w:rsidRPr="00DC27A9">
        <w:t xml:space="preserve"> value of normal </w:t>
      </w:r>
      <w:r w:rsidR="007F485B" w:rsidRPr="00DC27A9">
        <w:t>stomach</w:t>
      </w:r>
      <w:r w:rsidR="00F14138" w:rsidRPr="00DC27A9">
        <w:t xml:space="preserve"> group. </w:t>
      </w:r>
      <w:r w:rsidR="007F485B" w:rsidRPr="00DC27A9">
        <w:t xml:space="preserve">Bars show standard deviations. </w:t>
      </w:r>
      <w:r w:rsidR="007F485B" w:rsidRPr="00DC27A9">
        <w:rPr>
          <w:i/>
        </w:rPr>
        <w:t>P</w:t>
      </w:r>
      <w:r w:rsidR="007F485B" w:rsidRPr="00DC27A9">
        <w:t xml:space="preserve">-value was calculated by </w:t>
      </w:r>
      <w:r w:rsidR="00F14138" w:rsidRPr="00DC27A9">
        <w:t xml:space="preserve">Welch's </w:t>
      </w:r>
      <w:r w:rsidR="00F14138" w:rsidRPr="00DC27A9">
        <w:rPr>
          <w:i/>
        </w:rPr>
        <w:t>t</w:t>
      </w:r>
      <w:r w:rsidR="00F14138" w:rsidRPr="00DC27A9">
        <w:t xml:space="preserve"> test.</w:t>
      </w:r>
      <w:r w:rsidRPr="00DC27A9">
        <w:t xml:space="preserve"> </w:t>
      </w:r>
      <w:r w:rsidR="008D1F22" w:rsidRPr="00DC27A9">
        <w:t>(</w:t>
      </w:r>
      <w:r w:rsidR="001629CE" w:rsidRPr="00DC27A9">
        <w:rPr>
          <w:b/>
        </w:rPr>
        <w:t>C</w:t>
      </w:r>
      <w:r w:rsidR="008D1F22" w:rsidRPr="00DC27A9">
        <w:t>)</w:t>
      </w:r>
      <w:r w:rsidRPr="00DC27A9">
        <w:t xml:space="preserve"> Quantification of cell viability of the GC cell lines pretreated with an irreversible caspase inhibitor z-VAD-FMK (20 μM) under exposure to mestranol (100 μM). Bars show standard deviations. </w:t>
      </w:r>
      <w:r w:rsidR="00EB77B2" w:rsidRPr="00DC27A9">
        <w:rPr>
          <w:i/>
        </w:rPr>
        <w:t>P</w:t>
      </w:r>
      <w:r w:rsidR="00F02918" w:rsidRPr="00DC27A9">
        <w:t>-v</w:t>
      </w:r>
      <w:r w:rsidR="00EB77B2" w:rsidRPr="00DC27A9">
        <w:t>alue</w:t>
      </w:r>
      <w:r w:rsidRPr="00DC27A9">
        <w:t xml:space="preserve"> was calculated by ANOVA with Tukey-Kramer post hoc test. NS, not significant.</w:t>
      </w:r>
      <w:r w:rsidR="00E12E5D" w:rsidRPr="00DC27A9">
        <w:t xml:space="preserve"> (</w:t>
      </w:r>
      <w:r w:rsidR="001629CE" w:rsidRPr="00DC27A9">
        <w:rPr>
          <w:b/>
        </w:rPr>
        <w:t>D</w:t>
      </w:r>
      <w:r w:rsidR="00E12E5D" w:rsidRPr="00DC27A9">
        <w:t>) Quantification of sphere-forming efficiency under treatment with mestranol. Bars show standard deviations.</w:t>
      </w:r>
    </w:p>
    <w:p w:rsidR="00263C3D" w:rsidRPr="00DC27A9" w:rsidRDefault="00263C3D" w:rsidP="00263C3D">
      <w:pPr>
        <w:widowControl w:val="0"/>
      </w:pPr>
    </w:p>
    <w:p w:rsidR="00263C3D" w:rsidRPr="00DC27A9" w:rsidRDefault="00263C3D" w:rsidP="00263C3D">
      <w:pPr>
        <w:widowControl w:val="0"/>
      </w:pPr>
      <w:r w:rsidRPr="00DC27A9">
        <w:rPr>
          <w:b/>
        </w:rPr>
        <w:t>Supplementary Figure S6</w:t>
      </w:r>
      <w:r w:rsidR="00531F69" w:rsidRPr="00DC27A9">
        <w:rPr>
          <w:b/>
        </w:rPr>
        <w:t>.</w:t>
      </w:r>
      <w:r w:rsidR="00FE0A27" w:rsidRPr="00DC27A9">
        <w:t xml:space="preserve"> </w:t>
      </w:r>
      <w:r w:rsidRPr="00DC27A9">
        <w:t xml:space="preserve">Correlation between of E-cadherin status and </w:t>
      </w:r>
      <w:r w:rsidR="00A37AA0" w:rsidRPr="00DC27A9">
        <w:t>oestrogen</w:t>
      </w:r>
      <w:r w:rsidRPr="00DC27A9">
        <w:t xml:space="preserve"> drug sensitivity of human gastric </w:t>
      </w:r>
      <w:r w:rsidR="00531F69" w:rsidRPr="00DC27A9">
        <w:t xml:space="preserve">cancer cell lines. </w:t>
      </w:r>
      <w:r w:rsidR="008D1F22" w:rsidRPr="00DC27A9">
        <w:t>(</w:t>
      </w:r>
      <w:r w:rsidR="0050750B" w:rsidRPr="00DC27A9">
        <w:rPr>
          <w:b/>
        </w:rPr>
        <w:t>A</w:t>
      </w:r>
      <w:r w:rsidR="008D1F22" w:rsidRPr="00DC27A9">
        <w:t>)</w:t>
      </w:r>
      <w:r w:rsidRPr="00DC27A9">
        <w:t xml:space="preserve"> Immunoblots of E-cadherin in HGC cell lines. </w:t>
      </w:r>
      <w:r w:rsidR="008D1F22" w:rsidRPr="00DC27A9">
        <w:t>(</w:t>
      </w:r>
      <w:r w:rsidR="0050750B" w:rsidRPr="00DC27A9">
        <w:rPr>
          <w:b/>
        </w:rPr>
        <w:t>B</w:t>
      </w:r>
      <w:r w:rsidR="008D1F22" w:rsidRPr="00DC27A9">
        <w:t>)</w:t>
      </w:r>
      <w:r w:rsidRPr="00DC27A9">
        <w:t xml:space="preserve"> Sequencing analysis of </w:t>
      </w:r>
      <w:r w:rsidRPr="00DC27A9">
        <w:rPr>
          <w:i/>
        </w:rPr>
        <w:t>CDH1</w:t>
      </w:r>
      <w:r w:rsidRPr="00DC27A9">
        <w:t xml:space="preserve">. A 12-bp sequence is deleted at the DNA level (c.821_832del) and contributes to in-frame deletion (p.274_277del) in MKN45. A base substitution in the last nucleotide of exon 7 (c.G1008A) alters the splicing process, producing frameshift insertion of the subsequent intron sequences in KATOIII (p.336fs). These mutations of </w:t>
      </w:r>
      <w:r w:rsidRPr="00DC27A9">
        <w:rPr>
          <w:i/>
        </w:rPr>
        <w:t>CDH1</w:t>
      </w:r>
      <w:r w:rsidRPr="00DC27A9">
        <w:t xml:space="preserve"> were consistent with the previous report</w:t>
      </w:r>
      <w:r w:rsidR="00E92408" w:rsidRPr="00DC27A9">
        <w:t xml:space="preserve"> (Oda </w:t>
      </w:r>
      <w:r w:rsidR="00E92408" w:rsidRPr="00DC27A9">
        <w:rPr>
          <w:i/>
        </w:rPr>
        <w:t>et al</w:t>
      </w:r>
      <w:r w:rsidR="00E92408" w:rsidRPr="00DC27A9">
        <w:t>, 1994)</w:t>
      </w:r>
      <w:r w:rsidRPr="00DC27A9">
        <w:t xml:space="preserve">. </w:t>
      </w:r>
      <w:r w:rsidR="008D1F22" w:rsidRPr="00DC27A9">
        <w:t>(</w:t>
      </w:r>
      <w:r w:rsidR="0050750B" w:rsidRPr="00DC27A9">
        <w:rPr>
          <w:b/>
        </w:rPr>
        <w:t>C</w:t>
      </w:r>
      <w:r w:rsidR="008D1F22" w:rsidRPr="00DC27A9">
        <w:t>)</w:t>
      </w:r>
      <w:r w:rsidRPr="00DC27A9">
        <w:t xml:space="preserve"> Sequencing analysis of </w:t>
      </w:r>
      <w:r w:rsidRPr="00DC27A9">
        <w:rPr>
          <w:i/>
        </w:rPr>
        <w:t>TP53</w:t>
      </w:r>
      <w:r w:rsidRPr="00DC27A9">
        <w:t xml:space="preserve">. A nonsynonymous single nucleotide variant of HSC58 </w:t>
      </w:r>
      <w:r w:rsidRPr="00DC27A9">
        <w:lastRenderedPageBreak/>
        <w:t xml:space="preserve">(c.T402G) causes the encoding of a dominant-negative mutant of p53 (p.F134L). </w:t>
      </w:r>
      <w:r w:rsidR="008D1F22" w:rsidRPr="00DC27A9">
        <w:t>(</w:t>
      </w:r>
      <w:r w:rsidR="0050750B" w:rsidRPr="00DC27A9">
        <w:rPr>
          <w:b/>
        </w:rPr>
        <w:t>D</w:t>
      </w:r>
      <w:r w:rsidR="008D1F22" w:rsidRPr="00DC27A9">
        <w:t>)</w:t>
      </w:r>
      <w:r w:rsidRPr="00DC27A9">
        <w:t xml:space="preserve"> Flow cytometric analysis with PI staining. The left and right panels show the representative histograms and percentage graphs of cells in ea</w:t>
      </w:r>
      <w:r w:rsidR="00531F69" w:rsidRPr="00DC27A9">
        <w:t xml:space="preserve">ch cell cycle, respectively. </w:t>
      </w:r>
      <w:r w:rsidR="008D1F22" w:rsidRPr="00DC27A9">
        <w:t>(</w:t>
      </w:r>
      <w:r w:rsidR="0050750B" w:rsidRPr="00DC27A9">
        <w:rPr>
          <w:b/>
        </w:rPr>
        <w:t>E</w:t>
      </w:r>
      <w:r w:rsidR="008D1F22" w:rsidRPr="00DC27A9">
        <w:t>)</w:t>
      </w:r>
      <w:r w:rsidRPr="00DC27A9">
        <w:t xml:space="preserve"> Flow cytometric analysis with Annex</w:t>
      </w:r>
      <w:r w:rsidR="00531F69" w:rsidRPr="00DC27A9">
        <w:t xml:space="preserve">in V-FITC and PI costaining. </w:t>
      </w:r>
      <w:r w:rsidR="008D1F22" w:rsidRPr="00DC27A9">
        <w:t>(</w:t>
      </w:r>
      <w:r w:rsidR="0050750B" w:rsidRPr="00DC27A9">
        <w:rPr>
          <w:b/>
        </w:rPr>
        <w:t>F</w:t>
      </w:r>
      <w:r w:rsidR="008D1F22" w:rsidRPr="00DC27A9">
        <w:t>)</w:t>
      </w:r>
      <w:r w:rsidRPr="00DC27A9">
        <w:t xml:space="preserve"> Immunoblots of phosphorylated H2A.X after treatment of vehicle (V), mestranol (M) and 17β-estradiol (E) in the E-cadherin-mutant (KATOIII) and -low (HSC58) cells. </w:t>
      </w:r>
      <w:r w:rsidR="008D1F22" w:rsidRPr="00DC27A9">
        <w:t>(</w:t>
      </w:r>
      <w:r w:rsidR="0050750B" w:rsidRPr="00DC27A9">
        <w:rPr>
          <w:b/>
        </w:rPr>
        <w:t>G</w:t>
      </w:r>
      <w:r w:rsidR="008D1F22" w:rsidRPr="00DC27A9">
        <w:t>)</w:t>
      </w:r>
      <w:r w:rsidRPr="00DC27A9">
        <w:t xml:space="preserve"> Tumo</w:t>
      </w:r>
      <w:r w:rsidR="00595429" w:rsidRPr="00DC27A9">
        <w:t>u</w:t>
      </w:r>
      <w:r w:rsidRPr="00DC27A9">
        <w:t xml:space="preserve">r-growth curves of the E-cadherin-intact (MKN74) and -low (HSC58) cells in nude with treatment of mestranol (0.5 mg/kg/day, orally administered). Bars show standard errors. </w:t>
      </w:r>
      <w:r w:rsidR="00EB77B2" w:rsidRPr="00DC27A9">
        <w:rPr>
          <w:i/>
        </w:rPr>
        <w:t>P</w:t>
      </w:r>
      <w:r w:rsidR="00F02918" w:rsidRPr="00DC27A9">
        <w:t>-v</w:t>
      </w:r>
      <w:r w:rsidR="00EB77B2" w:rsidRPr="00DC27A9">
        <w:t>alue</w:t>
      </w:r>
      <w:r w:rsidRPr="00DC27A9">
        <w:t xml:space="preserve"> was calculated by Welch's </w:t>
      </w:r>
      <w:r w:rsidRPr="00DC27A9">
        <w:rPr>
          <w:i/>
        </w:rPr>
        <w:t>t</w:t>
      </w:r>
      <w:r w:rsidRPr="00DC27A9">
        <w:t>-test. NS, not significant.</w:t>
      </w:r>
    </w:p>
    <w:p w:rsidR="00FE0A27" w:rsidRPr="00DC27A9" w:rsidRDefault="00FE0A27" w:rsidP="00263C3D">
      <w:pPr>
        <w:widowControl w:val="0"/>
        <w:rPr>
          <w:b/>
        </w:rPr>
      </w:pPr>
    </w:p>
    <w:p w:rsidR="002316BA" w:rsidRPr="00DC27A9" w:rsidRDefault="002316BA" w:rsidP="002316BA">
      <w:pPr>
        <w:widowControl w:val="0"/>
      </w:pPr>
      <w:r w:rsidRPr="00DC27A9">
        <w:rPr>
          <w:b/>
        </w:rPr>
        <w:t xml:space="preserve">Supplementary </w:t>
      </w:r>
      <w:r w:rsidRPr="00DC27A9">
        <w:rPr>
          <w:rFonts w:hint="eastAsia"/>
          <w:b/>
        </w:rPr>
        <w:t xml:space="preserve">Figure </w:t>
      </w:r>
      <w:r w:rsidRPr="00DC27A9">
        <w:rPr>
          <w:b/>
        </w:rPr>
        <w:t>S</w:t>
      </w:r>
      <w:r w:rsidRPr="00DC27A9">
        <w:rPr>
          <w:rFonts w:hint="eastAsia"/>
          <w:b/>
        </w:rPr>
        <w:t>7.</w:t>
      </w:r>
      <w:r w:rsidRPr="00DC27A9">
        <w:rPr>
          <w:rFonts w:hint="eastAsia"/>
        </w:rPr>
        <w:t xml:space="preserve"> </w:t>
      </w:r>
      <w:r w:rsidRPr="00DC27A9">
        <w:t>Relationship between gender, histological subtype, E-cadherin status and prognosis in TCGA data set of gastric cancer. (</w:t>
      </w:r>
      <w:r w:rsidRPr="00DC27A9">
        <w:rPr>
          <w:b/>
        </w:rPr>
        <w:t>A</w:t>
      </w:r>
      <w:r w:rsidRPr="00DC27A9">
        <w:t xml:space="preserve">) Kaplan-Meier curves of patients with IGC (male, </w:t>
      </w:r>
      <w:r w:rsidRPr="00DC27A9">
        <w:rPr>
          <w:i/>
        </w:rPr>
        <w:t>n</w:t>
      </w:r>
      <w:r w:rsidRPr="00DC27A9">
        <w:t xml:space="preserve"> = 64; female, </w:t>
      </w:r>
      <w:r w:rsidRPr="00DC27A9">
        <w:rPr>
          <w:i/>
        </w:rPr>
        <w:t>n</w:t>
      </w:r>
      <w:r w:rsidRPr="00DC27A9">
        <w:t xml:space="preserve"> =</w:t>
      </w:r>
      <w:r w:rsidR="009F0D5B" w:rsidRPr="00DC27A9">
        <w:t xml:space="preserve"> </w:t>
      </w:r>
      <w:r w:rsidRPr="00DC27A9">
        <w:t xml:space="preserve">36) and DGC (male, </w:t>
      </w:r>
      <w:r w:rsidRPr="00DC27A9">
        <w:rPr>
          <w:i/>
        </w:rPr>
        <w:t>n</w:t>
      </w:r>
      <w:r w:rsidRPr="00DC27A9">
        <w:t xml:space="preserve"> = 49; female, </w:t>
      </w:r>
      <w:r w:rsidRPr="00DC27A9">
        <w:rPr>
          <w:i/>
        </w:rPr>
        <w:t>n</w:t>
      </w:r>
      <w:r w:rsidRPr="00DC27A9">
        <w:t xml:space="preserve"> = 27). (</w:t>
      </w:r>
      <w:r w:rsidRPr="00DC27A9">
        <w:rPr>
          <w:b/>
        </w:rPr>
        <w:t>B</w:t>
      </w:r>
      <w:r w:rsidRPr="00DC27A9">
        <w:t xml:space="preserve">) Kaplan-Meier curves of patients with the E-cadherin-intact (male, </w:t>
      </w:r>
      <w:r w:rsidRPr="00DC27A9">
        <w:rPr>
          <w:i/>
        </w:rPr>
        <w:t>n</w:t>
      </w:r>
      <w:r w:rsidRPr="00DC27A9">
        <w:t xml:space="preserve"> = 92; female, </w:t>
      </w:r>
      <w:r w:rsidRPr="00DC27A9">
        <w:rPr>
          <w:i/>
        </w:rPr>
        <w:t>n</w:t>
      </w:r>
      <w:r w:rsidRPr="00DC27A9">
        <w:t xml:space="preserve"> = 47) and -deficient (male, </w:t>
      </w:r>
      <w:r w:rsidRPr="00DC27A9">
        <w:rPr>
          <w:i/>
        </w:rPr>
        <w:t>n</w:t>
      </w:r>
      <w:r w:rsidRPr="00DC27A9">
        <w:t xml:space="preserve"> = 21; female, </w:t>
      </w:r>
      <w:r w:rsidRPr="00DC27A9">
        <w:rPr>
          <w:i/>
        </w:rPr>
        <w:t>n</w:t>
      </w:r>
      <w:r w:rsidRPr="00DC27A9">
        <w:t xml:space="preserve"> =</w:t>
      </w:r>
      <w:r w:rsidR="009F0D5B" w:rsidRPr="00DC27A9">
        <w:t xml:space="preserve"> </w:t>
      </w:r>
      <w:r w:rsidRPr="00DC27A9">
        <w:t xml:space="preserve">16) gastric cancer. The E-cadherin-deficient group was composed of tumors with somatic mutation, biallelic loss, promoter hypermethylation or low expression of </w:t>
      </w:r>
      <w:r w:rsidRPr="00DC27A9">
        <w:rPr>
          <w:i/>
        </w:rPr>
        <w:t>CDH1</w:t>
      </w:r>
      <w:r w:rsidRPr="00DC27A9">
        <w:t xml:space="preserve"> gene encoding E-cadherin. (</w:t>
      </w:r>
      <w:r w:rsidRPr="00DC27A9">
        <w:rPr>
          <w:b/>
        </w:rPr>
        <w:t>C</w:t>
      </w:r>
      <w:r w:rsidRPr="00DC27A9">
        <w:t xml:space="preserve">) Comparison of ssGSEA scores of oestrogen signal transduction between tumor </w:t>
      </w:r>
      <w:r w:rsidR="002A0F92" w:rsidRPr="00DC27A9">
        <w:t>sample</w:t>
      </w:r>
      <w:r w:rsidRPr="00DC27A9">
        <w:t xml:space="preserve">s </w:t>
      </w:r>
      <w:r w:rsidRPr="00DC27A9">
        <w:lastRenderedPageBreak/>
        <w:t xml:space="preserve">with the top (CDH1-high, </w:t>
      </w:r>
      <w:r w:rsidRPr="00DC27A9">
        <w:rPr>
          <w:i/>
        </w:rPr>
        <w:t>n</w:t>
      </w:r>
      <w:r w:rsidRPr="00DC27A9">
        <w:t xml:space="preserve"> = 44) and bottom (CDH1-low, </w:t>
      </w:r>
      <w:r w:rsidRPr="00DC27A9">
        <w:rPr>
          <w:i/>
        </w:rPr>
        <w:t>n</w:t>
      </w:r>
      <w:r w:rsidRPr="00DC27A9">
        <w:t xml:space="preserve"> = 44) quartile expression of </w:t>
      </w:r>
      <w:r w:rsidRPr="00DC27A9">
        <w:rPr>
          <w:i/>
        </w:rPr>
        <w:t>CDH1</w:t>
      </w:r>
      <w:r w:rsidRPr="00DC27A9">
        <w:t>.</w:t>
      </w:r>
      <w:r w:rsidR="001E00DE" w:rsidRPr="00DC27A9">
        <w:t xml:space="preserve"> Horizontal lines show median values.</w:t>
      </w:r>
      <w:r w:rsidRPr="00DC27A9">
        <w:t xml:space="preserve"> </w:t>
      </w:r>
      <w:r w:rsidRPr="00DC27A9">
        <w:rPr>
          <w:i/>
        </w:rPr>
        <w:t>P</w:t>
      </w:r>
      <w:r w:rsidR="007F485B" w:rsidRPr="00DC27A9">
        <w:t>-value was</w:t>
      </w:r>
      <w:r w:rsidRPr="00DC27A9">
        <w:t xml:space="preserve"> calculated by Mann-Whitney </w:t>
      </w:r>
      <w:r w:rsidRPr="00DC27A9">
        <w:rPr>
          <w:i/>
        </w:rPr>
        <w:t>U</w:t>
      </w:r>
      <w:r w:rsidRPr="00DC27A9">
        <w:t xml:space="preserve"> test.</w:t>
      </w:r>
    </w:p>
    <w:p w:rsidR="002316BA" w:rsidRPr="00DC27A9" w:rsidRDefault="002316BA" w:rsidP="00263C3D">
      <w:pPr>
        <w:widowControl w:val="0"/>
      </w:pPr>
    </w:p>
    <w:p w:rsidR="00E12E5D" w:rsidRPr="00DC27A9" w:rsidRDefault="00E12E5D" w:rsidP="00263C3D">
      <w:pPr>
        <w:widowControl w:val="0"/>
      </w:pPr>
      <w:r w:rsidRPr="00DC27A9">
        <w:rPr>
          <w:rFonts w:hint="eastAsia"/>
          <w:b/>
        </w:rPr>
        <w:t>S</w:t>
      </w:r>
      <w:r w:rsidRPr="00DC27A9">
        <w:rPr>
          <w:b/>
        </w:rPr>
        <w:t>upplementary Figure S</w:t>
      </w:r>
      <w:r w:rsidR="004532BD" w:rsidRPr="00DC27A9">
        <w:rPr>
          <w:b/>
        </w:rPr>
        <w:t>8</w:t>
      </w:r>
      <w:r w:rsidRPr="00DC27A9">
        <w:rPr>
          <w:b/>
        </w:rPr>
        <w:t>.</w:t>
      </w:r>
      <w:r w:rsidRPr="00DC27A9">
        <w:t xml:space="preserve"> </w:t>
      </w:r>
      <w:r w:rsidR="0032653B" w:rsidRPr="00DC27A9">
        <w:t>Effects of mestranol on parietal cells. (</w:t>
      </w:r>
      <w:r w:rsidR="0032653B" w:rsidRPr="00DC27A9">
        <w:rPr>
          <w:b/>
        </w:rPr>
        <w:t>A</w:t>
      </w:r>
      <w:r w:rsidR="0032653B" w:rsidRPr="00DC27A9">
        <w:t>)</w:t>
      </w:r>
      <w:r w:rsidR="00723C48" w:rsidRPr="00DC27A9">
        <w:t xml:space="preserve"> </w:t>
      </w:r>
      <w:r w:rsidR="002E40DA" w:rsidRPr="00DC27A9">
        <w:t>Immunohistochemical staining of cleaved caspase 3. Serial sections of the samples were stained with hematoxylin and eosin.</w:t>
      </w:r>
      <w:r w:rsidR="0032653B" w:rsidRPr="00DC27A9">
        <w:t xml:space="preserve"> (</w:t>
      </w:r>
      <w:r w:rsidR="0032653B" w:rsidRPr="00DC27A9">
        <w:rPr>
          <w:b/>
        </w:rPr>
        <w:t>B</w:t>
      </w:r>
      <w:r w:rsidR="0032653B" w:rsidRPr="00DC27A9">
        <w:t xml:space="preserve">) </w:t>
      </w:r>
      <w:r w:rsidR="00723C48" w:rsidRPr="00DC27A9">
        <w:t xml:space="preserve">RT-PCR analysis of </w:t>
      </w:r>
      <w:r w:rsidR="00723C48" w:rsidRPr="00DC27A9">
        <w:rPr>
          <w:i/>
        </w:rPr>
        <w:t>Atp4a</w:t>
      </w:r>
      <w:r w:rsidR="00723C48" w:rsidRPr="00DC27A9">
        <w:t xml:space="preserve"> and </w:t>
      </w:r>
      <w:r w:rsidR="00723C48" w:rsidRPr="00DC27A9">
        <w:rPr>
          <w:i/>
        </w:rPr>
        <w:t>Atp4b</w:t>
      </w:r>
      <w:r w:rsidR="00723C48" w:rsidRPr="00DC27A9">
        <w:t xml:space="preserve"> in the GE and GC cell lines. Two samples of mouse normal stomach were positive controls.</w:t>
      </w:r>
    </w:p>
    <w:p w:rsidR="00E12E5D" w:rsidRPr="00DC27A9" w:rsidRDefault="00E12E5D" w:rsidP="00263C3D">
      <w:pPr>
        <w:widowControl w:val="0"/>
      </w:pPr>
    </w:p>
    <w:p w:rsidR="00263C3D" w:rsidRPr="00DC27A9" w:rsidRDefault="00263C3D" w:rsidP="00263C3D">
      <w:pPr>
        <w:spacing w:line="240" w:lineRule="auto"/>
        <w:jc w:val="left"/>
      </w:pPr>
      <w:r w:rsidRPr="00DC27A9">
        <w:br w:type="page"/>
      </w:r>
    </w:p>
    <w:p w:rsidR="00263C3D" w:rsidRPr="00DC27A9" w:rsidRDefault="008D1F22" w:rsidP="00263C3D">
      <w:pPr>
        <w:widowControl w:val="0"/>
        <w:rPr>
          <w:b/>
        </w:rPr>
      </w:pPr>
      <w:r w:rsidRPr="00DC27A9">
        <w:rPr>
          <w:b/>
        </w:rPr>
        <w:lastRenderedPageBreak/>
        <w:t>REFERENCES</w:t>
      </w:r>
    </w:p>
    <w:p w:rsidR="00E92408" w:rsidRPr="00DC27A9" w:rsidRDefault="00E92408" w:rsidP="00E92408">
      <w:pPr>
        <w:widowControl w:val="0"/>
        <w:ind w:left="720" w:hanging="720"/>
      </w:pPr>
      <w:r w:rsidRPr="00DC27A9">
        <w:t xml:space="preserve">Oda T, Kanai Y, Oyama T, Yoshiura K, Shimoyama Y, Birchmeier W, Sugimura T, Hirohashi S (1994) E-cadherin gene mutations in human gastric carcinoma cell lines. </w:t>
      </w:r>
      <w:r w:rsidR="00BC1C47" w:rsidRPr="00DC27A9">
        <w:rPr>
          <w:i/>
          <w:iCs/>
        </w:rPr>
        <w:t>Proc Natl Acad Sci US</w:t>
      </w:r>
      <w:r w:rsidRPr="00DC27A9">
        <w:rPr>
          <w:i/>
          <w:iCs/>
        </w:rPr>
        <w:t>A</w:t>
      </w:r>
      <w:r w:rsidRPr="00DC27A9">
        <w:t xml:space="preserve"> </w:t>
      </w:r>
      <w:r w:rsidRPr="00DC27A9">
        <w:rPr>
          <w:b/>
          <w:bCs/>
        </w:rPr>
        <w:t>91</w:t>
      </w:r>
      <w:r w:rsidRPr="00DC27A9">
        <w:t>(5): 1858–1862.</w:t>
      </w:r>
    </w:p>
    <w:p w:rsidR="001E00DE" w:rsidRPr="00DC27A9" w:rsidRDefault="001E00DE" w:rsidP="00E92408">
      <w:pPr>
        <w:widowControl w:val="0"/>
        <w:ind w:left="720" w:hanging="720"/>
      </w:pPr>
      <w:r w:rsidRPr="00DC27A9">
        <w:t xml:space="preserve">Subramanian A, Tamayo P, Mootha VK, Mukherjee S, Ebert BL, Gillette MA, Paulovich A, Pomeroy SL, Golub TR, Lander ES, Mesirov JP (2005) Gene set enrichment analysis: A knowledge-based approach for interpreting genome-wide expression profiles. </w:t>
      </w:r>
      <w:r w:rsidRPr="00DC27A9">
        <w:rPr>
          <w:i/>
          <w:iCs/>
        </w:rPr>
        <w:t>Pro</w:t>
      </w:r>
      <w:bookmarkStart w:id="0" w:name="_GoBack"/>
      <w:bookmarkEnd w:id="0"/>
      <w:r w:rsidRPr="00DC27A9">
        <w:rPr>
          <w:i/>
          <w:iCs/>
        </w:rPr>
        <w:t>c Natl Acad Sci USA</w:t>
      </w:r>
      <w:r w:rsidRPr="00DC27A9">
        <w:t xml:space="preserve"> </w:t>
      </w:r>
      <w:r w:rsidRPr="00DC27A9">
        <w:rPr>
          <w:b/>
        </w:rPr>
        <w:t>102</w:t>
      </w:r>
      <w:r w:rsidRPr="00DC27A9">
        <w:t>(43): 15545–15550.</w:t>
      </w:r>
    </w:p>
    <w:p w:rsidR="00541736" w:rsidRPr="00DC27A9" w:rsidRDefault="00541736" w:rsidP="008D1F22">
      <w:pPr>
        <w:widowControl w:val="0"/>
      </w:pPr>
    </w:p>
    <w:sectPr w:rsidR="00541736" w:rsidRPr="00DC27A9">
      <w:foot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34E0" w:rsidRDefault="003434E0" w:rsidP="00263C3D">
      <w:pPr>
        <w:spacing w:line="240" w:lineRule="auto"/>
      </w:pPr>
      <w:r>
        <w:separator/>
      </w:r>
    </w:p>
  </w:endnote>
  <w:endnote w:type="continuationSeparator" w:id="0">
    <w:p w:rsidR="003434E0" w:rsidRDefault="003434E0" w:rsidP="00263C3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0513883"/>
      <w:docPartObj>
        <w:docPartGallery w:val="Page Numbers (Bottom of Page)"/>
        <w:docPartUnique/>
      </w:docPartObj>
    </w:sdtPr>
    <w:sdtEndPr/>
    <w:sdtContent>
      <w:p w:rsidR="00C14A3E" w:rsidRDefault="00C14A3E">
        <w:pPr>
          <w:pStyle w:val="a5"/>
          <w:jc w:val="center"/>
        </w:pPr>
        <w:r>
          <w:fldChar w:fldCharType="begin"/>
        </w:r>
        <w:r>
          <w:instrText>PAGE   \* MERGEFORMAT</w:instrText>
        </w:r>
        <w:r>
          <w:fldChar w:fldCharType="separate"/>
        </w:r>
        <w:r w:rsidR="00DC27A9" w:rsidRPr="00DC27A9">
          <w:rPr>
            <w:noProof/>
            <w:lang w:val="ja-JP"/>
          </w:rPr>
          <w:t>9</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34E0" w:rsidRDefault="003434E0" w:rsidP="00263C3D">
      <w:pPr>
        <w:spacing w:line="240" w:lineRule="auto"/>
      </w:pPr>
      <w:r>
        <w:separator/>
      </w:r>
    </w:p>
  </w:footnote>
  <w:footnote w:type="continuationSeparator" w:id="0">
    <w:p w:rsidR="003434E0" w:rsidRDefault="003434E0" w:rsidP="00263C3D">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235546"/>
    <w:multiLevelType w:val="hybridMultilevel"/>
    <w:tmpl w:val="69D4418A"/>
    <w:lvl w:ilvl="0" w:tplc="1D2ECC0A">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DAE4F7B"/>
    <w:multiLevelType w:val="hybridMultilevel"/>
    <w:tmpl w:val="C69031D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C15653E"/>
    <w:multiLevelType w:val="hybridMultilevel"/>
    <w:tmpl w:val="9B48B6AC"/>
    <w:lvl w:ilvl="0" w:tplc="1D2ECC0A">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DAC2BE8"/>
    <w:multiLevelType w:val="hybridMultilevel"/>
    <w:tmpl w:val="8C24D522"/>
    <w:lvl w:ilvl="0" w:tplc="1D2ECC0A">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69E"/>
    <w:rsid w:val="000111DA"/>
    <w:rsid w:val="00012858"/>
    <w:rsid w:val="00024CBD"/>
    <w:rsid w:val="000267EF"/>
    <w:rsid w:val="00031BDF"/>
    <w:rsid w:val="00043C30"/>
    <w:rsid w:val="00053EC4"/>
    <w:rsid w:val="00061962"/>
    <w:rsid w:val="000621E9"/>
    <w:rsid w:val="000833AE"/>
    <w:rsid w:val="0008606F"/>
    <w:rsid w:val="0009446A"/>
    <w:rsid w:val="0009678F"/>
    <w:rsid w:val="000A514D"/>
    <w:rsid w:val="000A54FA"/>
    <w:rsid w:val="000B22B5"/>
    <w:rsid w:val="000B2C18"/>
    <w:rsid w:val="000C275F"/>
    <w:rsid w:val="000C5C5D"/>
    <w:rsid w:val="000D0043"/>
    <w:rsid w:val="000D1800"/>
    <w:rsid w:val="000D4535"/>
    <w:rsid w:val="000D7C55"/>
    <w:rsid w:val="000E1F29"/>
    <w:rsid w:val="000E69BB"/>
    <w:rsid w:val="000F26A2"/>
    <w:rsid w:val="000F3F3C"/>
    <w:rsid w:val="00117FD3"/>
    <w:rsid w:val="001204DB"/>
    <w:rsid w:val="001223E6"/>
    <w:rsid w:val="00123B0A"/>
    <w:rsid w:val="0012536C"/>
    <w:rsid w:val="00125F7E"/>
    <w:rsid w:val="001319A8"/>
    <w:rsid w:val="001334C1"/>
    <w:rsid w:val="00133BB4"/>
    <w:rsid w:val="00134F78"/>
    <w:rsid w:val="00137116"/>
    <w:rsid w:val="00137536"/>
    <w:rsid w:val="00141979"/>
    <w:rsid w:val="001433D1"/>
    <w:rsid w:val="001457C2"/>
    <w:rsid w:val="00151C68"/>
    <w:rsid w:val="00156A81"/>
    <w:rsid w:val="001629CE"/>
    <w:rsid w:val="001714B9"/>
    <w:rsid w:val="00177775"/>
    <w:rsid w:val="00181983"/>
    <w:rsid w:val="00186ACF"/>
    <w:rsid w:val="001913DE"/>
    <w:rsid w:val="001A030A"/>
    <w:rsid w:val="001B2303"/>
    <w:rsid w:val="001B3A7D"/>
    <w:rsid w:val="001B672F"/>
    <w:rsid w:val="001C469E"/>
    <w:rsid w:val="001E00DE"/>
    <w:rsid w:val="001E06E7"/>
    <w:rsid w:val="001E0F02"/>
    <w:rsid w:val="001E17E7"/>
    <w:rsid w:val="001E3905"/>
    <w:rsid w:val="002015CC"/>
    <w:rsid w:val="00206D06"/>
    <w:rsid w:val="002102C3"/>
    <w:rsid w:val="00212F99"/>
    <w:rsid w:val="00217196"/>
    <w:rsid w:val="00220A45"/>
    <w:rsid w:val="002221EE"/>
    <w:rsid w:val="00227813"/>
    <w:rsid w:val="002316BA"/>
    <w:rsid w:val="0023627E"/>
    <w:rsid w:val="00241827"/>
    <w:rsid w:val="002467EE"/>
    <w:rsid w:val="00246F2E"/>
    <w:rsid w:val="002626C1"/>
    <w:rsid w:val="00262B1C"/>
    <w:rsid w:val="00263C3D"/>
    <w:rsid w:val="00265A5B"/>
    <w:rsid w:val="00277598"/>
    <w:rsid w:val="002A0F92"/>
    <w:rsid w:val="002A1494"/>
    <w:rsid w:val="002A7E29"/>
    <w:rsid w:val="002B3B43"/>
    <w:rsid w:val="002C036D"/>
    <w:rsid w:val="002C04C1"/>
    <w:rsid w:val="002C5DE6"/>
    <w:rsid w:val="002D4D8F"/>
    <w:rsid w:val="002D77F0"/>
    <w:rsid w:val="002E36DF"/>
    <w:rsid w:val="002E40DA"/>
    <w:rsid w:val="002E6FD0"/>
    <w:rsid w:val="002F3A2E"/>
    <w:rsid w:val="002F5651"/>
    <w:rsid w:val="00303AD2"/>
    <w:rsid w:val="00304D28"/>
    <w:rsid w:val="00305729"/>
    <w:rsid w:val="0031287A"/>
    <w:rsid w:val="00316471"/>
    <w:rsid w:val="00321D44"/>
    <w:rsid w:val="003239DF"/>
    <w:rsid w:val="0032653B"/>
    <w:rsid w:val="003430D6"/>
    <w:rsid w:val="003434E0"/>
    <w:rsid w:val="0035024A"/>
    <w:rsid w:val="00352E88"/>
    <w:rsid w:val="003560F7"/>
    <w:rsid w:val="00360A2E"/>
    <w:rsid w:val="00360AFD"/>
    <w:rsid w:val="00362996"/>
    <w:rsid w:val="00371F3C"/>
    <w:rsid w:val="003731BF"/>
    <w:rsid w:val="0037657C"/>
    <w:rsid w:val="00383442"/>
    <w:rsid w:val="003865CA"/>
    <w:rsid w:val="003A3255"/>
    <w:rsid w:val="003A38A4"/>
    <w:rsid w:val="003A5C44"/>
    <w:rsid w:val="003B4690"/>
    <w:rsid w:val="003C1E57"/>
    <w:rsid w:val="003C47CF"/>
    <w:rsid w:val="003C535A"/>
    <w:rsid w:val="003C70B7"/>
    <w:rsid w:val="003D247D"/>
    <w:rsid w:val="003D6AF3"/>
    <w:rsid w:val="003E0F74"/>
    <w:rsid w:val="003E4783"/>
    <w:rsid w:val="003E4885"/>
    <w:rsid w:val="003F1311"/>
    <w:rsid w:val="003F17F9"/>
    <w:rsid w:val="003F1FCF"/>
    <w:rsid w:val="00400706"/>
    <w:rsid w:val="00437D86"/>
    <w:rsid w:val="00440406"/>
    <w:rsid w:val="00441ED1"/>
    <w:rsid w:val="004475DA"/>
    <w:rsid w:val="004532BD"/>
    <w:rsid w:val="00457D28"/>
    <w:rsid w:val="004614F2"/>
    <w:rsid w:val="00461948"/>
    <w:rsid w:val="00463113"/>
    <w:rsid w:val="004827E3"/>
    <w:rsid w:val="00484482"/>
    <w:rsid w:val="004872CA"/>
    <w:rsid w:val="00491BAA"/>
    <w:rsid w:val="004957D2"/>
    <w:rsid w:val="00496E63"/>
    <w:rsid w:val="004A3C86"/>
    <w:rsid w:val="004B778D"/>
    <w:rsid w:val="004C0450"/>
    <w:rsid w:val="004C1290"/>
    <w:rsid w:val="004D2B73"/>
    <w:rsid w:val="004D3E75"/>
    <w:rsid w:val="004E5C5B"/>
    <w:rsid w:val="004E7A7E"/>
    <w:rsid w:val="004F010E"/>
    <w:rsid w:val="004F7B24"/>
    <w:rsid w:val="00500263"/>
    <w:rsid w:val="0050431A"/>
    <w:rsid w:val="005048C0"/>
    <w:rsid w:val="00506584"/>
    <w:rsid w:val="0050750B"/>
    <w:rsid w:val="00515568"/>
    <w:rsid w:val="00516E7C"/>
    <w:rsid w:val="00517F55"/>
    <w:rsid w:val="00521624"/>
    <w:rsid w:val="00521ACE"/>
    <w:rsid w:val="005229A4"/>
    <w:rsid w:val="00523EF4"/>
    <w:rsid w:val="00530E60"/>
    <w:rsid w:val="00531F69"/>
    <w:rsid w:val="0053213A"/>
    <w:rsid w:val="00541736"/>
    <w:rsid w:val="00546F72"/>
    <w:rsid w:val="00562D9B"/>
    <w:rsid w:val="00564771"/>
    <w:rsid w:val="005656D6"/>
    <w:rsid w:val="0057415A"/>
    <w:rsid w:val="00581831"/>
    <w:rsid w:val="00582730"/>
    <w:rsid w:val="005915C6"/>
    <w:rsid w:val="00595429"/>
    <w:rsid w:val="00597F80"/>
    <w:rsid w:val="005A48F4"/>
    <w:rsid w:val="005B5B6F"/>
    <w:rsid w:val="005B6FC0"/>
    <w:rsid w:val="005D2207"/>
    <w:rsid w:val="005D7A36"/>
    <w:rsid w:val="005E328E"/>
    <w:rsid w:val="005E3AD1"/>
    <w:rsid w:val="005E583A"/>
    <w:rsid w:val="005E76FC"/>
    <w:rsid w:val="005F61A1"/>
    <w:rsid w:val="005F69DB"/>
    <w:rsid w:val="00613BD9"/>
    <w:rsid w:val="006171E1"/>
    <w:rsid w:val="00636CB7"/>
    <w:rsid w:val="0063714C"/>
    <w:rsid w:val="00651270"/>
    <w:rsid w:val="00656C8B"/>
    <w:rsid w:val="00660035"/>
    <w:rsid w:val="006603A9"/>
    <w:rsid w:val="00663083"/>
    <w:rsid w:val="0066380C"/>
    <w:rsid w:val="006923AE"/>
    <w:rsid w:val="006930E2"/>
    <w:rsid w:val="006A3A2E"/>
    <w:rsid w:val="006A6732"/>
    <w:rsid w:val="006B0721"/>
    <w:rsid w:val="006B07AC"/>
    <w:rsid w:val="006B10BD"/>
    <w:rsid w:val="006B17E0"/>
    <w:rsid w:val="006B18CB"/>
    <w:rsid w:val="006B1F55"/>
    <w:rsid w:val="006B25F5"/>
    <w:rsid w:val="006B3795"/>
    <w:rsid w:val="006B7DAE"/>
    <w:rsid w:val="006D73B0"/>
    <w:rsid w:val="006D7AD3"/>
    <w:rsid w:val="006E3B70"/>
    <w:rsid w:val="006E6BD0"/>
    <w:rsid w:val="006F6FC2"/>
    <w:rsid w:val="006F710F"/>
    <w:rsid w:val="00704BA9"/>
    <w:rsid w:val="00722C96"/>
    <w:rsid w:val="00723C48"/>
    <w:rsid w:val="007303EC"/>
    <w:rsid w:val="00730645"/>
    <w:rsid w:val="00747349"/>
    <w:rsid w:val="00762247"/>
    <w:rsid w:val="00766AA6"/>
    <w:rsid w:val="007736B3"/>
    <w:rsid w:val="00782340"/>
    <w:rsid w:val="00797EB5"/>
    <w:rsid w:val="007A6F2A"/>
    <w:rsid w:val="007B0768"/>
    <w:rsid w:val="007C5E5A"/>
    <w:rsid w:val="007C7A60"/>
    <w:rsid w:val="007D117F"/>
    <w:rsid w:val="007D5C20"/>
    <w:rsid w:val="007D7CE8"/>
    <w:rsid w:val="007E6556"/>
    <w:rsid w:val="007E795B"/>
    <w:rsid w:val="007F485B"/>
    <w:rsid w:val="007F7B8B"/>
    <w:rsid w:val="0083388F"/>
    <w:rsid w:val="00836041"/>
    <w:rsid w:val="00854848"/>
    <w:rsid w:val="00866404"/>
    <w:rsid w:val="00891432"/>
    <w:rsid w:val="0089339F"/>
    <w:rsid w:val="008A4CEB"/>
    <w:rsid w:val="008B5BF0"/>
    <w:rsid w:val="008C0544"/>
    <w:rsid w:val="008D1F22"/>
    <w:rsid w:val="008D68F8"/>
    <w:rsid w:val="008E3080"/>
    <w:rsid w:val="008E6B7E"/>
    <w:rsid w:val="008F01E7"/>
    <w:rsid w:val="008F1899"/>
    <w:rsid w:val="008F25BF"/>
    <w:rsid w:val="00902BF2"/>
    <w:rsid w:val="00906A55"/>
    <w:rsid w:val="0090707D"/>
    <w:rsid w:val="009104F0"/>
    <w:rsid w:val="00915AD6"/>
    <w:rsid w:val="00922006"/>
    <w:rsid w:val="009223F4"/>
    <w:rsid w:val="00934516"/>
    <w:rsid w:val="00947D20"/>
    <w:rsid w:val="00970959"/>
    <w:rsid w:val="00971901"/>
    <w:rsid w:val="0097498D"/>
    <w:rsid w:val="00987142"/>
    <w:rsid w:val="00991BD4"/>
    <w:rsid w:val="00992EAB"/>
    <w:rsid w:val="009A0C03"/>
    <w:rsid w:val="009A7A91"/>
    <w:rsid w:val="009C2D67"/>
    <w:rsid w:val="009D0BEA"/>
    <w:rsid w:val="009D3A0E"/>
    <w:rsid w:val="009E4795"/>
    <w:rsid w:val="009E4873"/>
    <w:rsid w:val="009F0D5B"/>
    <w:rsid w:val="009F6705"/>
    <w:rsid w:val="00A00C4B"/>
    <w:rsid w:val="00A01EE9"/>
    <w:rsid w:val="00A12B09"/>
    <w:rsid w:val="00A158D9"/>
    <w:rsid w:val="00A15D48"/>
    <w:rsid w:val="00A37AA0"/>
    <w:rsid w:val="00A4076F"/>
    <w:rsid w:val="00A62A62"/>
    <w:rsid w:val="00A75ED9"/>
    <w:rsid w:val="00A936F1"/>
    <w:rsid w:val="00AA3848"/>
    <w:rsid w:val="00AC3445"/>
    <w:rsid w:val="00AC3C35"/>
    <w:rsid w:val="00AC4FF1"/>
    <w:rsid w:val="00AC5D94"/>
    <w:rsid w:val="00AC6474"/>
    <w:rsid w:val="00AD0780"/>
    <w:rsid w:val="00AE1137"/>
    <w:rsid w:val="00AE4C32"/>
    <w:rsid w:val="00AE76CB"/>
    <w:rsid w:val="00AF3FE5"/>
    <w:rsid w:val="00AF5636"/>
    <w:rsid w:val="00AF56E8"/>
    <w:rsid w:val="00B00DE4"/>
    <w:rsid w:val="00B04D9D"/>
    <w:rsid w:val="00B10F16"/>
    <w:rsid w:val="00B13D21"/>
    <w:rsid w:val="00B1496C"/>
    <w:rsid w:val="00B162AA"/>
    <w:rsid w:val="00B32002"/>
    <w:rsid w:val="00B32312"/>
    <w:rsid w:val="00B339C3"/>
    <w:rsid w:val="00B339CF"/>
    <w:rsid w:val="00B36FC4"/>
    <w:rsid w:val="00B40080"/>
    <w:rsid w:val="00B4456F"/>
    <w:rsid w:val="00B73FD4"/>
    <w:rsid w:val="00B804B9"/>
    <w:rsid w:val="00B857E4"/>
    <w:rsid w:val="00B85D22"/>
    <w:rsid w:val="00B902A5"/>
    <w:rsid w:val="00B95FF6"/>
    <w:rsid w:val="00BA386C"/>
    <w:rsid w:val="00BB138B"/>
    <w:rsid w:val="00BC1C47"/>
    <w:rsid w:val="00BC1F25"/>
    <w:rsid w:val="00BC5E8E"/>
    <w:rsid w:val="00BC79CD"/>
    <w:rsid w:val="00BD01B0"/>
    <w:rsid w:val="00BD3A4A"/>
    <w:rsid w:val="00BD3BEB"/>
    <w:rsid w:val="00BE1094"/>
    <w:rsid w:val="00BE3847"/>
    <w:rsid w:val="00BF4262"/>
    <w:rsid w:val="00BF7534"/>
    <w:rsid w:val="00C02AA9"/>
    <w:rsid w:val="00C02B00"/>
    <w:rsid w:val="00C04402"/>
    <w:rsid w:val="00C138BF"/>
    <w:rsid w:val="00C14A3E"/>
    <w:rsid w:val="00C244D0"/>
    <w:rsid w:val="00C3233F"/>
    <w:rsid w:val="00C33F55"/>
    <w:rsid w:val="00C3452C"/>
    <w:rsid w:val="00C35714"/>
    <w:rsid w:val="00C426D8"/>
    <w:rsid w:val="00C5124C"/>
    <w:rsid w:val="00C524F0"/>
    <w:rsid w:val="00C53E05"/>
    <w:rsid w:val="00C54205"/>
    <w:rsid w:val="00C66D4F"/>
    <w:rsid w:val="00C75A26"/>
    <w:rsid w:val="00C8109A"/>
    <w:rsid w:val="00C83F96"/>
    <w:rsid w:val="00CA2DBA"/>
    <w:rsid w:val="00CB099C"/>
    <w:rsid w:val="00CC0E95"/>
    <w:rsid w:val="00CC6073"/>
    <w:rsid w:val="00CC766C"/>
    <w:rsid w:val="00CC7D44"/>
    <w:rsid w:val="00CD4CF5"/>
    <w:rsid w:val="00CE502D"/>
    <w:rsid w:val="00CE55D1"/>
    <w:rsid w:val="00CE6F61"/>
    <w:rsid w:val="00CF2D29"/>
    <w:rsid w:val="00D05567"/>
    <w:rsid w:val="00D06579"/>
    <w:rsid w:val="00D16B24"/>
    <w:rsid w:val="00D20E36"/>
    <w:rsid w:val="00D2210B"/>
    <w:rsid w:val="00D22443"/>
    <w:rsid w:val="00D2711B"/>
    <w:rsid w:val="00D32543"/>
    <w:rsid w:val="00D34F0C"/>
    <w:rsid w:val="00D40274"/>
    <w:rsid w:val="00D41DF4"/>
    <w:rsid w:val="00D46DA8"/>
    <w:rsid w:val="00D47A57"/>
    <w:rsid w:val="00D53B48"/>
    <w:rsid w:val="00D600A4"/>
    <w:rsid w:val="00D626C3"/>
    <w:rsid w:val="00D64158"/>
    <w:rsid w:val="00D72AD0"/>
    <w:rsid w:val="00D7575B"/>
    <w:rsid w:val="00D7774C"/>
    <w:rsid w:val="00D84FD5"/>
    <w:rsid w:val="00D9033A"/>
    <w:rsid w:val="00D9102F"/>
    <w:rsid w:val="00D92650"/>
    <w:rsid w:val="00D927A6"/>
    <w:rsid w:val="00DA1130"/>
    <w:rsid w:val="00DA6177"/>
    <w:rsid w:val="00DC27A9"/>
    <w:rsid w:val="00DC50D6"/>
    <w:rsid w:val="00DD4F74"/>
    <w:rsid w:val="00DD654D"/>
    <w:rsid w:val="00E12E5D"/>
    <w:rsid w:val="00E13F3E"/>
    <w:rsid w:val="00E14C01"/>
    <w:rsid w:val="00E17719"/>
    <w:rsid w:val="00E24262"/>
    <w:rsid w:val="00E25C73"/>
    <w:rsid w:val="00E31763"/>
    <w:rsid w:val="00E35D18"/>
    <w:rsid w:val="00E40416"/>
    <w:rsid w:val="00E42933"/>
    <w:rsid w:val="00E4393B"/>
    <w:rsid w:val="00E44B19"/>
    <w:rsid w:val="00E45060"/>
    <w:rsid w:val="00E5005E"/>
    <w:rsid w:val="00E56B2C"/>
    <w:rsid w:val="00E6178A"/>
    <w:rsid w:val="00E62B6E"/>
    <w:rsid w:val="00E72B18"/>
    <w:rsid w:val="00E749DB"/>
    <w:rsid w:val="00E8395F"/>
    <w:rsid w:val="00E86F53"/>
    <w:rsid w:val="00E92408"/>
    <w:rsid w:val="00E9664C"/>
    <w:rsid w:val="00EA597A"/>
    <w:rsid w:val="00EA5D9B"/>
    <w:rsid w:val="00EB1B70"/>
    <w:rsid w:val="00EB66BF"/>
    <w:rsid w:val="00EB77B2"/>
    <w:rsid w:val="00EB7F8B"/>
    <w:rsid w:val="00EC0DA5"/>
    <w:rsid w:val="00EC1705"/>
    <w:rsid w:val="00ED4B7E"/>
    <w:rsid w:val="00EE4C0F"/>
    <w:rsid w:val="00EE5A48"/>
    <w:rsid w:val="00EE6111"/>
    <w:rsid w:val="00EF5FAD"/>
    <w:rsid w:val="00EF6C5E"/>
    <w:rsid w:val="00F02918"/>
    <w:rsid w:val="00F14138"/>
    <w:rsid w:val="00F15AA3"/>
    <w:rsid w:val="00F41D40"/>
    <w:rsid w:val="00F505A2"/>
    <w:rsid w:val="00F51333"/>
    <w:rsid w:val="00F52538"/>
    <w:rsid w:val="00F53C36"/>
    <w:rsid w:val="00F57D54"/>
    <w:rsid w:val="00F817DC"/>
    <w:rsid w:val="00F83289"/>
    <w:rsid w:val="00F87432"/>
    <w:rsid w:val="00F87CAC"/>
    <w:rsid w:val="00F95176"/>
    <w:rsid w:val="00FA10BF"/>
    <w:rsid w:val="00FB6C24"/>
    <w:rsid w:val="00FC00E1"/>
    <w:rsid w:val="00FC1705"/>
    <w:rsid w:val="00FC4C5E"/>
    <w:rsid w:val="00FC6D40"/>
    <w:rsid w:val="00FD08B8"/>
    <w:rsid w:val="00FE0A27"/>
    <w:rsid w:val="00FF1204"/>
    <w:rsid w:val="00FF5E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1D8CC6E3-CA2F-4FE2-9BD8-43A25CCB2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469E"/>
    <w:pPr>
      <w:spacing w:line="480" w:lineRule="auto"/>
      <w:jc w:val="both"/>
    </w:pPr>
    <w:rPr>
      <w:rFonts w:ascii="Times New Roman" w:eastAsia="メイリオ"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63C3D"/>
    <w:pPr>
      <w:tabs>
        <w:tab w:val="center" w:pos="4252"/>
        <w:tab w:val="right" w:pos="8504"/>
      </w:tabs>
      <w:snapToGrid w:val="0"/>
    </w:pPr>
  </w:style>
  <w:style w:type="character" w:customStyle="1" w:styleId="a4">
    <w:name w:val="ヘッダー (文字)"/>
    <w:basedOn w:val="a0"/>
    <w:link w:val="a3"/>
    <w:uiPriority w:val="99"/>
    <w:rsid w:val="00263C3D"/>
    <w:rPr>
      <w:rFonts w:ascii="Times New Roman" w:eastAsia="メイリオ" w:hAnsi="Times New Roman" w:cs="Times New Roman"/>
      <w:sz w:val="24"/>
      <w:szCs w:val="24"/>
    </w:rPr>
  </w:style>
  <w:style w:type="paragraph" w:styleId="a5">
    <w:name w:val="footer"/>
    <w:basedOn w:val="a"/>
    <w:link w:val="a6"/>
    <w:uiPriority w:val="99"/>
    <w:unhideWhenUsed/>
    <w:rsid w:val="00263C3D"/>
    <w:pPr>
      <w:tabs>
        <w:tab w:val="center" w:pos="4252"/>
        <w:tab w:val="right" w:pos="8504"/>
      </w:tabs>
      <w:snapToGrid w:val="0"/>
    </w:pPr>
  </w:style>
  <w:style w:type="character" w:customStyle="1" w:styleId="a6">
    <w:name w:val="フッター (文字)"/>
    <w:basedOn w:val="a0"/>
    <w:link w:val="a5"/>
    <w:uiPriority w:val="99"/>
    <w:rsid w:val="00263C3D"/>
    <w:rPr>
      <w:rFonts w:ascii="Times New Roman" w:eastAsia="メイリオ" w:hAnsi="Times New Roman" w:cs="Times New Roman"/>
      <w:sz w:val="24"/>
      <w:szCs w:val="24"/>
    </w:rPr>
  </w:style>
  <w:style w:type="paragraph" w:styleId="a7">
    <w:name w:val="List Paragraph"/>
    <w:basedOn w:val="a"/>
    <w:uiPriority w:val="34"/>
    <w:qFormat/>
    <w:rsid w:val="00263C3D"/>
    <w:pPr>
      <w:ind w:leftChars="400" w:left="840"/>
    </w:pPr>
  </w:style>
  <w:style w:type="paragraph" w:customStyle="1" w:styleId="Paragraph">
    <w:name w:val="Paragraph"/>
    <w:basedOn w:val="a"/>
    <w:rsid w:val="00F53C36"/>
    <w:pPr>
      <w:spacing w:before="120" w:line="240" w:lineRule="auto"/>
      <w:ind w:firstLine="720"/>
      <w:jc w:val="left"/>
    </w:pPr>
    <w:rPr>
      <w:rFonts w:eastAsia="Times New Roman"/>
      <w:kern w:val="0"/>
      <w:lang w:eastAsia="en-US"/>
    </w:rPr>
  </w:style>
  <w:style w:type="paragraph" w:styleId="a8">
    <w:name w:val="Balloon Text"/>
    <w:basedOn w:val="a"/>
    <w:link w:val="a9"/>
    <w:uiPriority w:val="99"/>
    <w:semiHidden/>
    <w:unhideWhenUsed/>
    <w:rsid w:val="00E44B19"/>
    <w:pPr>
      <w:spacing w:line="240" w:lineRule="auto"/>
    </w:pPr>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E44B19"/>
    <w:rPr>
      <w:rFonts w:asciiTheme="majorHAnsi" w:eastAsiaTheme="majorEastAsia" w:hAnsiTheme="majorHAnsi" w:cstheme="majorBidi"/>
      <w:sz w:val="18"/>
      <w:szCs w:val="18"/>
    </w:rPr>
  </w:style>
  <w:style w:type="character" w:styleId="aa">
    <w:name w:val="Hyperlink"/>
    <w:basedOn w:val="a0"/>
    <w:uiPriority w:val="99"/>
    <w:unhideWhenUsed/>
    <w:rsid w:val="001E00D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69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7973A2-2E35-4E9E-8CEA-BCF6EAF27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1338</Words>
  <Characters>7627</Characters>
  <Application>Microsoft Office Word</Application>
  <DocSecurity>0</DocSecurity>
  <Lines>63</Lines>
  <Paragraphs>17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島田</dc:creator>
  <cp:keywords/>
  <dc:description/>
  <cp:lastModifiedBy>島田</cp:lastModifiedBy>
  <cp:revision>2</cp:revision>
  <cp:lastPrinted>2017-12-14T13:39:00Z</cp:lastPrinted>
  <dcterms:created xsi:type="dcterms:W3CDTF">2017-12-19T01:36:00Z</dcterms:created>
  <dcterms:modified xsi:type="dcterms:W3CDTF">2017-12-19T01:36:00Z</dcterms:modified>
</cp:coreProperties>
</file>