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E2B" w:rsidRPr="00404116" w:rsidRDefault="00CE6E2B" w:rsidP="00CE6E2B">
      <w:pPr>
        <w:autoSpaceDE w:val="0"/>
        <w:autoSpaceDN w:val="0"/>
        <w:adjustRightInd w:val="0"/>
        <w:rPr>
          <w:rFonts w:ascii="Arial" w:hAnsi="Arial" w:cs="Arial"/>
          <w:b/>
          <w:szCs w:val="24"/>
        </w:rPr>
      </w:pPr>
      <w:bookmarkStart w:id="0" w:name="_GoBack"/>
      <w:bookmarkEnd w:id="0"/>
      <w:r w:rsidRPr="00404116">
        <w:rPr>
          <w:rFonts w:ascii="Arial" w:hAnsi="Arial" w:cs="Arial"/>
          <w:b/>
          <w:szCs w:val="24"/>
        </w:rPr>
        <w:t>Supplementary Data</w:t>
      </w:r>
    </w:p>
    <w:p w:rsidR="00CE6E2B" w:rsidRPr="00404116" w:rsidRDefault="00CE6E2B" w:rsidP="00CE6E2B">
      <w:pPr>
        <w:autoSpaceDE w:val="0"/>
        <w:autoSpaceDN w:val="0"/>
        <w:adjustRightInd w:val="0"/>
        <w:rPr>
          <w:rFonts w:ascii="Arial" w:hAnsi="Arial" w:cs="Arial"/>
          <w:b/>
          <w:szCs w:val="24"/>
        </w:rPr>
      </w:pPr>
    </w:p>
    <w:p w:rsidR="00CE6E2B" w:rsidRPr="00404116" w:rsidRDefault="00CE6E2B" w:rsidP="00CE6E2B">
      <w:pPr>
        <w:autoSpaceDE w:val="0"/>
        <w:autoSpaceDN w:val="0"/>
        <w:adjustRightInd w:val="0"/>
        <w:rPr>
          <w:rFonts w:ascii="Arial" w:hAnsi="Arial" w:cs="Arial"/>
          <w:sz w:val="20"/>
        </w:rPr>
      </w:pPr>
    </w:p>
    <w:p w:rsidR="00CE6E2B" w:rsidRPr="00404116" w:rsidRDefault="00CE6E2B" w:rsidP="00CE6E2B">
      <w:pPr>
        <w:spacing w:line="480" w:lineRule="auto"/>
        <w:rPr>
          <w:rFonts w:ascii="Arial" w:hAnsi="Arial" w:cs="Arial"/>
          <w:szCs w:val="24"/>
        </w:rPr>
      </w:pPr>
      <w:r w:rsidRPr="00404116">
        <w:rPr>
          <w:rFonts w:ascii="Arial" w:hAnsi="Arial" w:cs="Arial"/>
          <w:b/>
          <w:szCs w:val="24"/>
        </w:rPr>
        <w:t>Patients and methods</w:t>
      </w:r>
    </w:p>
    <w:p w:rsidR="00CE6E2B" w:rsidRPr="00404116" w:rsidRDefault="00CE6E2B" w:rsidP="00CE6E2B">
      <w:pPr>
        <w:spacing w:before="240" w:line="480" w:lineRule="auto"/>
        <w:rPr>
          <w:rFonts w:ascii="Arial" w:hAnsi="Arial" w:cs="Arial"/>
          <w:i/>
          <w:szCs w:val="24"/>
        </w:rPr>
      </w:pPr>
      <w:r w:rsidRPr="00404116">
        <w:rPr>
          <w:rFonts w:ascii="Arial" w:hAnsi="Arial" w:cs="Arial"/>
          <w:b/>
          <w:i/>
          <w:szCs w:val="24"/>
        </w:rPr>
        <w:t>Study Design and Treatment</w:t>
      </w:r>
    </w:p>
    <w:p w:rsidR="00CE6E2B" w:rsidRPr="00404116" w:rsidRDefault="00CE6E2B" w:rsidP="00CE6E2B">
      <w:pPr>
        <w:pStyle w:val="ColorfulList-Accent11"/>
        <w:tabs>
          <w:tab w:val="left" w:pos="720"/>
        </w:tabs>
        <w:autoSpaceDE w:val="0"/>
        <w:autoSpaceDN w:val="0"/>
        <w:adjustRightInd w:val="0"/>
        <w:spacing w:after="0" w:line="480" w:lineRule="auto"/>
        <w:ind w:left="0"/>
        <w:contextualSpacing w:val="0"/>
        <w:rPr>
          <w:rFonts w:cs="Arial"/>
          <w:sz w:val="24"/>
          <w:szCs w:val="24"/>
        </w:rPr>
      </w:pPr>
      <w:r w:rsidRPr="00404116">
        <w:rPr>
          <w:rFonts w:cs="Arial"/>
          <w:sz w:val="24"/>
          <w:szCs w:val="24"/>
        </w:rPr>
        <w:t>Dose escalation followed a standard 3 + 3 design, starting at 50 mg bid (group II) or 100 mg bid (group I) and escalating up to 200 mg bid in 50-mg bid intervals. These starting doses represent 20% and 40%, respectively, of the MTD (250 mg bid) determined in patients with normal liver function to provide adequate safety margins for HCC patients who may have reduced capability to metabolize and excrete nintedanib. Patients were administered nintedanib orally for treatment courses of 28 days and were assessed for retreatment eligibility on the day 29 visit. If a patient experienced a DLT, treatment with nintedanib was interrupted and could be resumed at a reduced dose level after re-starting criteria were met. Patients with clinical benefit and no undue toxicity continued treatment in repeated treatment courses. The MTD for groups I and II were determined separately.</w:t>
      </w:r>
    </w:p>
    <w:p w:rsidR="00CE6E2B" w:rsidRPr="00404116" w:rsidRDefault="00CE6E2B" w:rsidP="00CE6E2B">
      <w:pPr>
        <w:pStyle w:val="ColorfulList-Accent11"/>
        <w:tabs>
          <w:tab w:val="left" w:pos="720"/>
        </w:tabs>
        <w:autoSpaceDE w:val="0"/>
        <w:autoSpaceDN w:val="0"/>
        <w:adjustRightInd w:val="0"/>
        <w:spacing w:after="0" w:line="480" w:lineRule="auto"/>
        <w:ind w:left="0"/>
        <w:contextualSpacing w:val="0"/>
        <w:rPr>
          <w:rFonts w:cs="Arial"/>
          <w:sz w:val="24"/>
          <w:szCs w:val="24"/>
          <w:lang w:eastAsia="zh-TW"/>
        </w:rPr>
      </w:pPr>
      <w:r w:rsidRPr="00404116">
        <w:rPr>
          <w:rFonts w:cs="Arial"/>
          <w:sz w:val="24"/>
          <w:szCs w:val="24"/>
        </w:rPr>
        <w:tab/>
        <w:t xml:space="preserve">The MTD was defined as the highest dose of nintedanib at which 0/3 or &lt;2/6 patients experienced a DLT. DLTs during the first treatment course were used for MTD determination. However, all unusual or unexpected toxicities occurring throughout the treatment were also considered for the purpose of confirming the MTD and recommended phase II dose. Dose escalation stopped at the highest prespecified dose level if the MTD was not otherwise defined by a DLT. DLTs for nintedanib were defined as nintedanib-related Common Terminology Criteria for Adverse Events (CTCAE) version 3.0 grade 4 thrombocytopenia of any duration; nintedanib-related CTCAE grade 4 neutropenia lasting for 8 or more days; nintedanib-related febrile neutropenia of any </w:t>
      </w:r>
      <w:r w:rsidRPr="00404116">
        <w:rPr>
          <w:rFonts w:cs="Arial"/>
          <w:sz w:val="24"/>
          <w:szCs w:val="24"/>
        </w:rPr>
        <w:lastRenderedPageBreak/>
        <w:t>duration; nintedanib-related CTCAE grade 3 or 4 non-hematologic toxicity (except alopecia, untreated vomiting, or diarrhea, and liver toxicity); or nintedanib-related liver toxicity except isolated gamma glutamyltransferase (γ-GT) elevation with no corresponding increase in ALT/AST/alkaline phosphatase (ALP)</w:t>
      </w:r>
      <w:r w:rsidRPr="00404116">
        <w:rPr>
          <w:rFonts w:cs="Arial"/>
          <w:sz w:val="24"/>
          <w:szCs w:val="24"/>
          <w:lang w:eastAsia="zh-TW"/>
        </w:rPr>
        <w:t>. For patients with normal liver enzymes at baseline the DLT definition (corresponding to grade 3 toxicity according to CTCAE) for AST/ALT/ALP was elevation &gt;5×ULN and for total bilirubin was elevation &gt;3×ULN. For patients with elevated liver enzymes at baseline, the DLT definition for AST/ALT/ALP was elevation &gt;(baseline value + 4×ULN) and for total bilirubin was elevation &gt;3×ULN.</w:t>
      </w:r>
    </w:p>
    <w:p w:rsidR="00CE6E2B" w:rsidRPr="00404116" w:rsidRDefault="00CE6E2B" w:rsidP="00CE6E2B">
      <w:pPr>
        <w:tabs>
          <w:tab w:val="left" w:pos="720"/>
        </w:tabs>
        <w:spacing w:line="480" w:lineRule="auto"/>
        <w:rPr>
          <w:rFonts w:ascii="Arial" w:hAnsi="Arial" w:cs="Arial"/>
          <w:color w:val="000000"/>
          <w:szCs w:val="24"/>
        </w:rPr>
      </w:pPr>
      <w:r w:rsidRPr="00404116">
        <w:rPr>
          <w:rFonts w:ascii="Arial" w:hAnsi="Arial" w:cs="Arial"/>
          <w:color w:val="000000"/>
          <w:szCs w:val="24"/>
        </w:rPr>
        <w:tab/>
        <w:t>Randomization was performed by an integrated response system using a validated randomization number–generating system implemented by Almac (Craigavon, UK). The random code was generated by the Boehringer Ingelheim randomization group and checked by a trial-independent statistician. For patients in the nintedanib group who had predefined AEs, two dose reductions were allowed according to a prespecified scheme (from 200 mg bid to 150 mg bid and thereafter to 100 mg bid) with no subsequent dose escalation upon resolution of the AE; for patients in the sorafenib group, doses were delayed or reduced for clinically significant hematologic and other AEs according to a prespecified scheme as shown in the Appendix</w:t>
      </w:r>
      <w:r w:rsidRPr="00404116">
        <w:rPr>
          <w:rFonts w:ascii="Arial" w:hAnsi="Arial" w:cs="Arial"/>
          <w:szCs w:val="24"/>
        </w:rPr>
        <w:t xml:space="preserve">. </w:t>
      </w:r>
      <w:r w:rsidRPr="00404116">
        <w:rPr>
          <w:rFonts w:ascii="Arial" w:hAnsi="Arial" w:cs="Arial"/>
          <w:color w:val="000000"/>
          <w:szCs w:val="24"/>
        </w:rPr>
        <w:t xml:space="preserve">Tumor assessment by RECIST v1.0 was performed every 4 weeks for the first 16 weeks after the start of treatment and every 8 weeks thereafter. The baseline scan was performed within 3 weeks prior to treatment. Treatment decisions were based on investigator assessment. Assessment by central independent review (CIR) was pre-planned and prospective per patient but did not influence treatment decisions. Full details of trial procedures and </w:t>
      </w:r>
      <w:r w:rsidRPr="00404116">
        <w:rPr>
          <w:rFonts w:ascii="Arial" w:hAnsi="Arial" w:cs="Arial"/>
          <w:color w:val="000000"/>
          <w:szCs w:val="24"/>
        </w:rPr>
        <w:lastRenderedPageBreak/>
        <w:t xml:space="preserve">assessments appear in the protocol (online only). </w:t>
      </w:r>
      <w:r w:rsidRPr="00404116">
        <w:rPr>
          <w:rFonts w:ascii="Arial" w:hAnsi="Arial" w:cs="Arial"/>
          <w:szCs w:val="24"/>
        </w:rPr>
        <w:t>Patients who interrupted treatment for 14 or more consecutive days except for interruption due to AEs were considered non-compliant.</w:t>
      </w:r>
      <w:r w:rsidRPr="00404116">
        <w:rPr>
          <w:rFonts w:ascii="Arial" w:hAnsi="Arial" w:cs="Arial"/>
          <w:color w:val="000000"/>
          <w:szCs w:val="24"/>
        </w:rPr>
        <w:t xml:space="preserve"> </w:t>
      </w:r>
    </w:p>
    <w:p w:rsidR="00CE6E2B" w:rsidRPr="00404116" w:rsidRDefault="00CE6E2B" w:rsidP="00CE6E2B">
      <w:pPr>
        <w:pStyle w:val="ColorfulList-Accent11"/>
        <w:tabs>
          <w:tab w:val="left" w:pos="720"/>
        </w:tabs>
        <w:autoSpaceDE w:val="0"/>
        <w:autoSpaceDN w:val="0"/>
        <w:adjustRightInd w:val="0"/>
        <w:spacing w:after="0" w:line="480" w:lineRule="auto"/>
        <w:ind w:left="0"/>
        <w:contextualSpacing w:val="0"/>
        <w:rPr>
          <w:rFonts w:cs="Arial"/>
          <w:sz w:val="24"/>
          <w:szCs w:val="24"/>
          <w:lang w:eastAsia="zh-TW"/>
        </w:rPr>
      </w:pPr>
    </w:p>
    <w:p w:rsidR="00CE6E2B" w:rsidRPr="00404116" w:rsidRDefault="00CE6E2B" w:rsidP="00CE6E2B">
      <w:pPr>
        <w:tabs>
          <w:tab w:val="left" w:pos="720"/>
        </w:tabs>
        <w:spacing w:line="480" w:lineRule="auto"/>
        <w:rPr>
          <w:rFonts w:ascii="Arial" w:hAnsi="Arial" w:cs="Arial"/>
          <w:i/>
          <w:szCs w:val="24"/>
        </w:rPr>
      </w:pPr>
      <w:r w:rsidRPr="00404116">
        <w:rPr>
          <w:rFonts w:ascii="Arial" w:hAnsi="Arial" w:cs="Arial"/>
          <w:b/>
          <w:i/>
          <w:szCs w:val="24"/>
        </w:rPr>
        <w:t>Study Outcomes</w:t>
      </w:r>
    </w:p>
    <w:p w:rsidR="00CE6E2B" w:rsidRPr="00404116" w:rsidRDefault="00CE6E2B" w:rsidP="00CE6E2B">
      <w:pPr>
        <w:spacing w:line="480" w:lineRule="auto"/>
        <w:rPr>
          <w:rFonts w:ascii="Arial" w:hAnsi="Arial" w:cs="Arial"/>
          <w:szCs w:val="24"/>
        </w:rPr>
      </w:pPr>
      <w:r w:rsidRPr="00404116">
        <w:rPr>
          <w:rFonts w:ascii="Arial" w:hAnsi="Arial" w:cs="Arial"/>
          <w:color w:val="000000"/>
          <w:szCs w:val="24"/>
        </w:rPr>
        <w:t>The primary endpoint was TTP by CIR, defined as the time from randomization to disease progression according to RECIST v1.0. Main secondary endpoints were o</w:t>
      </w:r>
      <w:r w:rsidRPr="00404116">
        <w:rPr>
          <w:rFonts w:ascii="Arial" w:hAnsi="Arial" w:cs="Arial"/>
          <w:szCs w:val="24"/>
        </w:rPr>
        <w:t>bjective tumor response (OR) according to RECIST v1.0 assessed by CIR, defined as a best response of complete response (CR) or partial response (PR); progression-free survival (PFS) assessed by CIR, defined as time from randomization to disease progression according to RECIST v1.0 or death, whichever occurred earlier; and OS, defined as time from randomization until death. Additional analyses included time to treatment failure, defined as time from randomization to earliest date of disease progression by RECIST v1.0 by CIR, death, or date of stopping study medication because of AEs; TTP by investigator assessment according to RECIST v1.0</w:t>
      </w:r>
      <w:r w:rsidRPr="00404116">
        <w:rPr>
          <w:rFonts w:ascii="Arial" w:hAnsi="Arial" w:cs="Arial"/>
          <w:color w:val="000000"/>
          <w:szCs w:val="24"/>
        </w:rPr>
        <w:t xml:space="preserve">; </w:t>
      </w:r>
      <w:r w:rsidRPr="00404116">
        <w:rPr>
          <w:rFonts w:ascii="Arial" w:hAnsi="Arial" w:cs="Arial"/>
          <w:szCs w:val="24"/>
        </w:rPr>
        <w:t xml:space="preserve">OR and TTP according to modified RECIST (mRECIST) for HCC criteria </w:t>
      </w:r>
      <w:r w:rsidRPr="00404116">
        <w:rPr>
          <w:rFonts w:ascii="Arial" w:hAnsi="Arial" w:cs="Arial"/>
          <w:szCs w:val="24"/>
        </w:rPr>
        <w:fldChar w:fldCharType="begin">
          <w:fldData xml:space="preserve">PEVuZE5vdGU+PENpdGU+PEF1dGhvcj5MZW5jaW9uaTwvQXV0aG9yPjxZZWFyPjIwMTA8L1llYXI+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</w:fldData>
        </w:fldChar>
      </w:r>
      <w:r w:rsidRPr="00404116">
        <w:rPr>
          <w:rFonts w:ascii="Arial" w:hAnsi="Arial" w:cs="Arial"/>
          <w:szCs w:val="24"/>
        </w:rPr>
        <w:instrText xml:space="preserve"> ADDIN EN.CITE </w:instrText>
      </w:r>
      <w:r w:rsidRPr="00404116">
        <w:rPr>
          <w:rFonts w:ascii="Arial" w:hAnsi="Arial" w:cs="Arial"/>
          <w:szCs w:val="24"/>
        </w:rPr>
        <w:fldChar w:fldCharType="begin">
          <w:fldData xml:space="preserve">PEVuZE5vdGU+PENpdGU+PEF1dGhvcj5MZW5jaW9uaTwvQXV0aG9yPjxZZWFyPjIwMTA8L1llYXI+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</w:fldData>
        </w:fldChar>
      </w:r>
      <w:r w:rsidRPr="00404116">
        <w:rPr>
          <w:rFonts w:ascii="Arial" w:hAnsi="Arial" w:cs="Arial"/>
          <w:szCs w:val="24"/>
        </w:rPr>
        <w:instrText xml:space="preserve"> ADDIN EN.CITE.DATA </w:instrText>
      </w:r>
      <w:r w:rsidRPr="00404116">
        <w:rPr>
          <w:rFonts w:ascii="Arial" w:hAnsi="Arial" w:cs="Arial"/>
          <w:szCs w:val="24"/>
        </w:rPr>
      </w:r>
      <w:r w:rsidRPr="00404116">
        <w:rPr>
          <w:rFonts w:ascii="Arial" w:hAnsi="Arial" w:cs="Arial"/>
          <w:szCs w:val="24"/>
        </w:rPr>
        <w:fldChar w:fldCharType="end"/>
      </w:r>
      <w:r w:rsidRPr="00404116">
        <w:rPr>
          <w:rFonts w:ascii="Arial" w:hAnsi="Arial" w:cs="Arial"/>
          <w:szCs w:val="24"/>
        </w:rPr>
      </w:r>
      <w:r w:rsidRPr="00404116">
        <w:rPr>
          <w:rFonts w:ascii="Arial" w:hAnsi="Arial" w:cs="Arial"/>
          <w:szCs w:val="24"/>
        </w:rPr>
        <w:fldChar w:fldCharType="separate"/>
      </w:r>
      <w:r w:rsidRPr="00404116">
        <w:rPr>
          <w:rFonts w:ascii="Arial" w:hAnsi="Arial" w:cs="Arial"/>
          <w:noProof/>
          <w:szCs w:val="24"/>
        </w:rPr>
        <w:t>[</w:t>
      </w:r>
      <w:hyperlink w:anchor="_ENREF_16" w:tooltip="Lencioni, 2010 #23" w:history="1">
        <w:r w:rsidRPr="00404116">
          <w:rPr>
            <w:rFonts w:ascii="Arial" w:hAnsi="Arial" w:cs="Arial"/>
            <w:noProof/>
            <w:szCs w:val="24"/>
          </w:rPr>
          <w:t>16</w:t>
        </w:r>
      </w:hyperlink>
      <w:r w:rsidRPr="00404116">
        <w:rPr>
          <w:rFonts w:ascii="Arial" w:hAnsi="Arial" w:cs="Arial"/>
          <w:noProof/>
          <w:szCs w:val="24"/>
        </w:rPr>
        <w:t>]</w:t>
      </w:r>
      <w:r w:rsidRPr="00404116">
        <w:rPr>
          <w:rFonts w:ascii="Arial" w:hAnsi="Arial" w:cs="Arial"/>
          <w:szCs w:val="24"/>
        </w:rPr>
        <w:fldChar w:fldCharType="end"/>
      </w:r>
      <w:r w:rsidRPr="00404116">
        <w:rPr>
          <w:rFonts w:ascii="Arial" w:hAnsi="Arial" w:cs="Arial"/>
          <w:szCs w:val="24"/>
        </w:rPr>
        <w:t xml:space="preserve"> (CIR only); and safety of nintedanib as indicated by incidence and intensity of AEs according to CTCAE v3.</w:t>
      </w:r>
      <w:r w:rsidRPr="00404116">
        <w:rPr>
          <w:rFonts w:ascii="Arial" w:hAnsi="Arial" w:cs="Arial"/>
          <w:color w:val="000000"/>
          <w:szCs w:val="24"/>
        </w:rPr>
        <w:t>0 and laboratory evaluations</w:t>
      </w:r>
      <w:r w:rsidRPr="00404116">
        <w:rPr>
          <w:rFonts w:ascii="Arial" w:hAnsi="Arial" w:cs="Arial"/>
          <w:szCs w:val="24"/>
        </w:rPr>
        <w:t>.</w:t>
      </w:r>
    </w:p>
    <w:p w:rsidR="00CE6E2B" w:rsidRPr="00404116" w:rsidRDefault="00CE6E2B" w:rsidP="00CE6E2B">
      <w:pPr>
        <w:spacing w:line="480" w:lineRule="auto"/>
        <w:rPr>
          <w:rFonts w:ascii="Arial" w:hAnsi="Arial" w:cs="Arial"/>
          <w:szCs w:val="24"/>
        </w:rPr>
      </w:pPr>
    </w:p>
    <w:p w:rsidR="00CE6E2B" w:rsidRPr="00404116" w:rsidRDefault="00CE6E2B" w:rsidP="00CE6E2B">
      <w:pPr>
        <w:keepNext/>
        <w:spacing w:line="480" w:lineRule="auto"/>
        <w:rPr>
          <w:rFonts w:ascii="Arial" w:hAnsi="Arial" w:cs="Arial"/>
          <w:b/>
          <w:i/>
          <w:szCs w:val="24"/>
        </w:rPr>
      </w:pPr>
      <w:r w:rsidRPr="00404116">
        <w:rPr>
          <w:rFonts w:ascii="Arial" w:hAnsi="Arial" w:cs="Arial"/>
          <w:b/>
          <w:i/>
          <w:szCs w:val="24"/>
        </w:rPr>
        <w:t>Pharmacokinetic Sampling</w:t>
      </w:r>
    </w:p>
    <w:p w:rsidR="00CE6E2B" w:rsidRPr="00404116" w:rsidRDefault="00CE6E2B" w:rsidP="00CE6E2B">
      <w:pPr>
        <w:tabs>
          <w:tab w:val="left" w:pos="720"/>
        </w:tabs>
        <w:spacing w:line="480" w:lineRule="auto"/>
        <w:rPr>
          <w:rFonts w:ascii="Arial" w:hAnsi="Arial" w:cs="Arial"/>
          <w:szCs w:val="24"/>
        </w:rPr>
      </w:pPr>
      <w:r w:rsidRPr="00404116">
        <w:rPr>
          <w:rFonts w:ascii="Arial" w:hAnsi="Arial" w:cs="Arial"/>
          <w:szCs w:val="24"/>
        </w:rPr>
        <w:t xml:space="preserve">For quantification of nintedanib, BIBF 1202, and BIBF 1202 glucuronide plasma concentrations, 5 mL of blood was taken from a forearm vein in an EDTA-anticoagulant blood drawing tube at the following time points in the first treatment course (day 15 to </w:t>
      </w:r>
      <w:r w:rsidRPr="00404116">
        <w:rPr>
          <w:rFonts w:ascii="Arial" w:hAnsi="Arial" w:cs="Arial"/>
          <w:szCs w:val="24"/>
        </w:rPr>
        <w:lastRenderedPageBreak/>
        <w:t>16): Immediately prior to swallowing the dose of nintedanib (predose) and 1, 2, 3, 4, 5, 7, 10, 12 (allowed time frame 11 to 13 hours), and 24 hours (allowed time frame 22 to 26 hours) after drug administration on day 15 (the evening dose on day 15 was omitted).</w:t>
      </w:r>
    </w:p>
    <w:p w:rsidR="00CE6E2B" w:rsidRPr="00404116" w:rsidRDefault="00CE6E2B" w:rsidP="00CE6E2B">
      <w:pPr>
        <w:tabs>
          <w:tab w:val="left" w:pos="720"/>
        </w:tabs>
        <w:spacing w:line="480" w:lineRule="auto"/>
        <w:rPr>
          <w:rFonts w:ascii="Arial" w:hAnsi="Arial" w:cs="Arial"/>
          <w:szCs w:val="24"/>
        </w:rPr>
      </w:pPr>
      <w:r w:rsidRPr="00404116">
        <w:rPr>
          <w:rFonts w:ascii="Arial" w:hAnsi="Arial" w:cs="Arial"/>
          <w:szCs w:val="24"/>
        </w:rPr>
        <w:tab/>
        <w:t>Urine was sampled in the following intervals: 0 to 4 hours, 4 to 12 hours, and 12 to 24 hours after nintedanib administration on day 15 to 16. The urine weight/volume for each collection interval was documented and 2-mL aliquots were stored for bioanalytical measurement.</w:t>
      </w:r>
    </w:p>
    <w:p w:rsidR="00CE6E2B" w:rsidRPr="00404116" w:rsidRDefault="00CE6E2B" w:rsidP="00CE6E2B">
      <w:pPr>
        <w:tabs>
          <w:tab w:val="left" w:pos="720"/>
        </w:tabs>
        <w:spacing w:line="480" w:lineRule="auto"/>
        <w:rPr>
          <w:rFonts w:ascii="Arial" w:hAnsi="Arial" w:cs="Arial"/>
          <w:szCs w:val="24"/>
        </w:rPr>
      </w:pPr>
      <w:r w:rsidRPr="00404116">
        <w:rPr>
          <w:rFonts w:ascii="Arial" w:hAnsi="Arial" w:cs="Arial"/>
          <w:szCs w:val="24"/>
        </w:rPr>
        <w:tab/>
        <w:t>Plasma and urine concentrations of nintedanib (in the form of its free base BIBF 1120 BS), its metabolite BIBF 1202 (in the form of the free zwitterion BIBF 1202 ZW), and the acylglucuronide thereof (BIBF 1202 glucuronide) were determined by validated assays based on liquid chromatography-tandem mass spectrometry (LC-MS/MS).</w:t>
      </w:r>
    </w:p>
    <w:p w:rsidR="00CE6E2B" w:rsidRPr="00404116" w:rsidRDefault="00CE6E2B" w:rsidP="00CE6E2B">
      <w:pPr>
        <w:tabs>
          <w:tab w:val="left" w:pos="720"/>
        </w:tabs>
        <w:spacing w:line="480" w:lineRule="auto"/>
        <w:rPr>
          <w:rFonts w:ascii="Arial" w:hAnsi="Arial" w:cs="Arial"/>
          <w:szCs w:val="24"/>
        </w:rPr>
      </w:pPr>
      <w:r w:rsidRPr="00404116">
        <w:rPr>
          <w:rFonts w:ascii="Arial" w:hAnsi="Arial" w:cs="Arial"/>
          <w:szCs w:val="24"/>
        </w:rPr>
        <w:tab/>
        <w:t xml:space="preserve">For the evaluation of nintedanib plasma protein binding, 10-mL blood samples were collected in devices coated with EDTA before the very first drug administration. </w:t>
      </w:r>
      <w:r w:rsidRPr="00404116">
        <w:rPr>
          <w:rFonts w:ascii="Arial" w:hAnsi="Arial" w:cs="Arial"/>
          <w:i/>
          <w:szCs w:val="24"/>
        </w:rPr>
        <w:t>In vitro</w:t>
      </w:r>
      <w:r w:rsidRPr="00404116">
        <w:rPr>
          <w:rFonts w:ascii="Arial" w:hAnsi="Arial" w:cs="Arial"/>
          <w:szCs w:val="24"/>
        </w:rPr>
        <w:t xml:space="preserve"> protein binding was determined by means of equilibrium dialysis using radio-labelled compound (non–Good Laboratory Practice).</w:t>
      </w:r>
    </w:p>
    <w:p w:rsidR="00CE6E2B" w:rsidRPr="00404116" w:rsidRDefault="00CE6E2B" w:rsidP="00CE6E2B">
      <w:pPr>
        <w:keepNext/>
        <w:spacing w:before="240" w:line="480" w:lineRule="auto"/>
        <w:rPr>
          <w:rFonts w:ascii="Arial" w:hAnsi="Arial" w:cs="Arial"/>
          <w:b/>
          <w:i/>
          <w:szCs w:val="24"/>
        </w:rPr>
      </w:pPr>
      <w:r w:rsidRPr="00404116">
        <w:rPr>
          <w:rFonts w:ascii="Arial" w:hAnsi="Arial" w:cs="Arial"/>
          <w:b/>
          <w:i/>
          <w:szCs w:val="24"/>
        </w:rPr>
        <w:t>Statistical Analysis</w:t>
      </w:r>
    </w:p>
    <w:p w:rsidR="00CE6E2B" w:rsidRDefault="00CE6E2B" w:rsidP="00CE6E2B">
      <w:pPr>
        <w:autoSpaceDE w:val="0"/>
        <w:autoSpaceDN w:val="0"/>
        <w:adjustRightInd w:val="0"/>
        <w:spacing w:line="480" w:lineRule="auto"/>
        <w:rPr>
          <w:rFonts w:ascii="Arial" w:hAnsi="Arial" w:cs="Arial"/>
          <w:color w:val="000000"/>
          <w:szCs w:val="24"/>
        </w:rPr>
      </w:pPr>
      <w:r w:rsidRPr="00404116">
        <w:rPr>
          <w:rFonts w:ascii="Arial" w:hAnsi="Arial" w:cs="Arial"/>
          <w:color w:val="000000"/>
          <w:szCs w:val="24"/>
        </w:rPr>
        <w:t xml:space="preserve">The treated set included all patients who received at least one single dose of trial medication and was used for safety and efficacy analyses. </w:t>
      </w:r>
      <w:r w:rsidRPr="00404116">
        <w:rPr>
          <w:rFonts w:ascii="Arial" w:hAnsi="Arial" w:cs="Arial"/>
          <w:szCs w:val="24"/>
        </w:rPr>
        <w:t xml:space="preserve">The pharmacokinetic set, which was used for all pharmacokinetic analyses, included all evaluable patients in the treated set who provided at least one observation for at least one pharmacokinetic endpoint without important protocol violations relevant to the evaluation of pharmacokinetics. </w:t>
      </w:r>
      <w:r w:rsidRPr="00404116">
        <w:rPr>
          <w:rFonts w:ascii="Arial" w:hAnsi="Arial" w:cs="Arial"/>
          <w:color w:val="000000"/>
          <w:szCs w:val="24"/>
        </w:rPr>
        <w:t xml:space="preserve">An intent-to-treat approach was used for all analyses although important protocol violations were described. TTP, OS, and PFS were assessed based </w:t>
      </w:r>
      <w:r w:rsidRPr="00404116">
        <w:rPr>
          <w:rFonts w:ascii="Arial" w:hAnsi="Arial" w:cs="Arial"/>
          <w:color w:val="000000"/>
          <w:szCs w:val="24"/>
        </w:rPr>
        <w:lastRenderedPageBreak/>
        <w:t>on the Kaplan-Meier method for each group separately; point estimates, together with CIs (based on the Brookmeyer and Crowley method), were provided for median TTP, median OS, and median PFS. Estimates of the effect of nintedanib versus sorafenib treatment on TTP, OS, and PFS were given by the HR and its 95% CI, using a stratified Cox proportional hazard model.</w:t>
      </w:r>
    </w:p>
    <w:p w:rsidR="00616F54" w:rsidRPr="00616F54" w:rsidRDefault="00616F54" w:rsidP="00616F54">
      <w:pPr>
        <w:keepNext/>
        <w:spacing w:before="240" w:line="480" w:lineRule="auto"/>
        <w:rPr>
          <w:rFonts w:ascii="Arial" w:hAnsi="Arial" w:cs="Arial"/>
          <w:b/>
          <w:i/>
          <w:szCs w:val="24"/>
        </w:rPr>
      </w:pPr>
      <w:r w:rsidRPr="00616F54">
        <w:rPr>
          <w:rFonts w:ascii="Arial" w:hAnsi="Arial" w:cs="Arial"/>
          <w:b/>
          <w:i/>
          <w:szCs w:val="24"/>
        </w:rPr>
        <w:t>Sample Size Determination for Phase II</w:t>
      </w:r>
    </w:p>
    <w:p w:rsidR="00616F54" w:rsidRPr="00616F54" w:rsidRDefault="00616F54" w:rsidP="00616F54">
      <w:pPr>
        <w:autoSpaceDE w:val="0"/>
        <w:autoSpaceDN w:val="0"/>
        <w:adjustRightInd w:val="0"/>
        <w:spacing w:line="480" w:lineRule="auto"/>
        <w:rPr>
          <w:rFonts w:ascii="Arial" w:hAnsi="Arial" w:cs="Arial"/>
          <w:szCs w:val="24"/>
          <w:lang w:val="en-GB"/>
        </w:rPr>
      </w:pPr>
      <w:r w:rsidRPr="00616F54">
        <w:rPr>
          <w:rFonts w:ascii="Arial" w:hAnsi="Arial" w:cs="Arial"/>
          <w:szCs w:val="24"/>
          <w:lang w:val="en-GB"/>
        </w:rPr>
        <w:t>Assuming median TTP times of 9 months and 6 months for the nintedanib treatment arm and</w:t>
      </w:r>
      <w:r>
        <w:rPr>
          <w:rFonts w:ascii="Arial" w:hAnsi="Arial" w:cs="Arial"/>
          <w:szCs w:val="24"/>
          <w:lang w:val="en-GB"/>
        </w:rPr>
        <w:t xml:space="preserve"> </w:t>
      </w:r>
      <w:r w:rsidRPr="00616F54">
        <w:rPr>
          <w:rFonts w:ascii="Arial" w:hAnsi="Arial" w:cs="Arial"/>
          <w:szCs w:val="24"/>
          <w:lang w:val="en-GB"/>
        </w:rPr>
        <w:t>the sorafenib treatment arm, respectively, we obtain the following probabilities for a correct</w:t>
      </w:r>
      <w:r>
        <w:rPr>
          <w:rFonts w:ascii="Arial" w:hAnsi="Arial" w:cs="Arial"/>
          <w:szCs w:val="24"/>
          <w:lang w:val="en-GB"/>
        </w:rPr>
        <w:t xml:space="preserve"> </w:t>
      </w:r>
      <w:r w:rsidRPr="00616F54">
        <w:rPr>
          <w:rFonts w:ascii="Arial" w:hAnsi="Arial" w:cs="Arial"/>
          <w:szCs w:val="24"/>
          <w:lang w:val="en-GB"/>
        </w:rPr>
        <w:t xml:space="preserve">selection of the </w:t>
      </w:r>
      <w:r>
        <w:rPr>
          <w:rFonts w:ascii="Arial" w:hAnsi="Arial" w:cs="Arial"/>
          <w:szCs w:val="24"/>
          <w:lang w:val="en-GB"/>
        </w:rPr>
        <w:t xml:space="preserve">nintedanib </w:t>
      </w:r>
      <w:r w:rsidRPr="00616F54">
        <w:rPr>
          <w:rFonts w:ascii="Arial" w:hAnsi="Arial" w:cs="Arial"/>
          <w:szCs w:val="24"/>
          <w:lang w:val="en-GB"/>
        </w:rPr>
        <w:t>based on 60 v</w:t>
      </w:r>
      <w:r>
        <w:rPr>
          <w:rFonts w:ascii="Arial" w:hAnsi="Arial" w:cs="Arial"/>
          <w:szCs w:val="24"/>
          <w:lang w:val="en-GB"/>
        </w:rPr>
        <w:t>ersus</w:t>
      </w:r>
      <w:r w:rsidRPr="00616F54">
        <w:rPr>
          <w:rFonts w:ascii="Arial" w:hAnsi="Arial" w:cs="Arial"/>
          <w:szCs w:val="24"/>
          <w:lang w:val="en-GB"/>
        </w:rPr>
        <w:t xml:space="preserve"> 30 patients for the corresponding arms.</w:t>
      </w:r>
      <w:r>
        <w:rPr>
          <w:rFonts w:ascii="Arial" w:hAnsi="Arial" w:cs="Arial"/>
          <w:szCs w:val="24"/>
          <w:lang w:val="en-GB"/>
        </w:rPr>
        <w:t xml:space="preserve"> </w:t>
      </w:r>
      <w:r w:rsidRPr="00616F54">
        <w:rPr>
          <w:rFonts w:ascii="Arial" w:hAnsi="Arial" w:cs="Arial"/>
          <w:szCs w:val="24"/>
          <w:lang w:val="en-GB"/>
        </w:rPr>
        <w:t>The trial will be designed to provide a high probability of recording a numerically positive</w:t>
      </w:r>
    </w:p>
    <w:p w:rsidR="00616F54" w:rsidRPr="00616F54" w:rsidRDefault="00616F54" w:rsidP="006F6BB7">
      <w:pPr>
        <w:autoSpaceDE w:val="0"/>
        <w:autoSpaceDN w:val="0"/>
        <w:adjustRightInd w:val="0"/>
        <w:spacing w:line="480" w:lineRule="auto"/>
        <w:rPr>
          <w:rFonts w:ascii="Arial" w:hAnsi="Arial" w:cs="Arial"/>
          <w:szCs w:val="24"/>
          <w:lang w:val="en-GB"/>
        </w:rPr>
      </w:pPr>
      <w:r w:rsidRPr="00616F54">
        <w:rPr>
          <w:rFonts w:ascii="Arial" w:hAnsi="Arial" w:cs="Arial"/>
          <w:szCs w:val="24"/>
          <w:lang w:val="en-GB"/>
        </w:rPr>
        <w:t>treatment effect. The probability of observing any numerically positive treatment effect on</w:t>
      </w:r>
      <w:r>
        <w:rPr>
          <w:rFonts w:ascii="Arial" w:hAnsi="Arial" w:cs="Arial"/>
          <w:szCs w:val="24"/>
          <w:lang w:val="en-GB"/>
        </w:rPr>
        <w:t xml:space="preserve"> </w:t>
      </w:r>
      <w:r w:rsidRPr="00616F54">
        <w:rPr>
          <w:rFonts w:ascii="Arial" w:hAnsi="Arial" w:cs="Arial"/>
          <w:szCs w:val="24"/>
          <w:lang w:val="en-GB"/>
        </w:rPr>
        <w:t>TTP (i.e., an estimated HR for TTP between nintedanib and sorafenib of less than 1) is around</w:t>
      </w:r>
      <w:r>
        <w:rPr>
          <w:rFonts w:ascii="Arial" w:hAnsi="Arial" w:cs="Arial"/>
          <w:szCs w:val="24"/>
          <w:lang w:val="en-GB"/>
        </w:rPr>
        <w:t xml:space="preserve"> </w:t>
      </w:r>
      <w:r w:rsidRPr="00616F54">
        <w:rPr>
          <w:rFonts w:ascii="Arial" w:hAnsi="Arial" w:cs="Arial"/>
          <w:szCs w:val="24"/>
          <w:lang w:val="en-GB"/>
        </w:rPr>
        <w:t>93%.</w:t>
      </w:r>
      <w:r>
        <w:rPr>
          <w:rFonts w:ascii="Arial" w:hAnsi="Arial" w:cs="Arial"/>
          <w:szCs w:val="24"/>
          <w:lang w:val="en-GB"/>
        </w:rPr>
        <w:t xml:space="preserve"> </w:t>
      </w:r>
      <w:r w:rsidRPr="00616F54">
        <w:rPr>
          <w:rFonts w:ascii="Arial" w:hAnsi="Arial" w:cs="Arial"/>
          <w:szCs w:val="24"/>
          <w:lang w:val="en-GB"/>
        </w:rPr>
        <w:t>The probability of observing of 15% reduction in hazard over sorafenib (HR&lt;0.85) will be</w:t>
      </w:r>
      <w:r>
        <w:rPr>
          <w:rFonts w:ascii="Arial" w:hAnsi="Arial" w:cs="Arial"/>
          <w:szCs w:val="24"/>
          <w:lang w:val="en-GB"/>
        </w:rPr>
        <w:t xml:space="preserve"> </w:t>
      </w:r>
      <w:r w:rsidRPr="00616F54">
        <w:rPr>
          <w:rFonts w:ascii="Arial" w:hAnsi="Arial" w:cs="Arial"/>
          <w:szCs w:val="24"/>
          <w:lang w:val="en-GB"/>
        </w:rPr>
        <w:t>about 80.9%.</w:t>
      </w:r>
    </w:p>
    <w:p w:rsidR="00616F54" w:rsidRPr="00616F54" w:rsidRDefault="00616F54" w:rsidP="00616F54">
      <w:pPr>
        <w:rPr>
          <w:rFonts w:ascii="Arial" w:hAnsi="Arial" w:cs="Arial"/>
          <w:szCs w:val="24"/>
          <w:lang w:val="en-GB"/>
        </w:rPr>
      </w:pPr>
    </w:p>
    <w:p w:rsidR="00616F54" w:rsidRPr="00616F54" w:rsidRDefault="00616F54" w:rsidP="00616F54">
      <w:pPr>
        <w:autoSpaceDE w:val="0"/>
        <w:autoSpaceDN w:val="0"/>
        <w:adjustRightInd w:val="0"/>
        <w:rPr>
          <w:rFonts w:ascii="Arial" w:hAnsi="Arial" w:cs="Arial"/>
          <w:szCs w:val="24"/>
          <w:lang w:val="en-GB"/>
        </w:rPr>
      </w:pPr>
      <w:r w:rsidRPr="00616F54">
        <w:rPr>
          <w:rFonts w:ascii="Arial" w:hAnsi="Arial" w:cs="Arial"/>
          <w:szCs w:val="24"/>
          <w:lang w:val="en-GB"/>
        </w:rPr>
        <w:t>Table. Probability of observing hazard ratio from an exponential distributed survival data (30 vs. 60 patients)</w:t>
      </w:r>
    </w:p>
    <w:p w:rsidR="00616F54" w:rsidRPr="00616F54" w:rsidRDefault="00616F54" w:rsidP="00616F54">
      <w:pPr>
        <w:rPr>
          <w:rFonts w:ascii="Arial" w:hAnsi="Arial" w:cs="Arial"/>
          <w:szCs w:val="24"/>
          <w:lang w:val="en-GB"/>
        </w:rPr>
      </w:pPr>
    </w:p>
    <w:tbl>
      <w:tblPr>
        <w:tblStyle w:val="TableGrid"/>
        <w:tblW w:w="0" w:type="auto"/>
        <w:tblLook w:val="04A0" w:firstRow="1" w:lastRow="0" w:firstColumn="1" w:lastColumn="0" w:noHBand="0" w:noVBand="1"/>
      </w:tblPr>
      <w:tblGrid>
        <w:gridCol w:w="1351"/>
        <w:gridCol w:w="1361"/>
        <w:gridCol w:w="1278"/>
        <w:gridCol w:w="1337"/>
        <w:gridCol w:w="1339"/>
        <w:gridCol w:w="1300"/>
        <w:gridCol w:w="1610"/>
      </w:tblGrid>
      <w:tr w:rsidR="00616F54" w:rsidRPr="00616F54" w:rsidTr="00AB31BE">
        <w:tc>
          <w:tcPr>
            <w:tcW w:w="4061" w:type="dxa"/>
            <w:gridSpan w:val="3"/>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Underlying true</w:t>
            </w:r>
          </w:p>
        </w:tc>
        <w:tc>
          <w:tcPr>
            <w:tcW w:w="5515" w:type="dxa"/>
            <w:gridSpan w:val="4"/>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Probability of observing</w:t>
            </w:r>
          </w:p>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 xml:space="preserve"> </w:t>
            </w:r>
          </w:p>
          <w:p w:rsidR="00616F54" w:rsidRPr="00616F54" w:rsidRDefault="00616F54" w:rsidP="00AB31BE">
            <w:pPr>
              <w:autoSpaceDE w:val="0"/>
              <w:autoSpaceDN w:val="0"/>
              <w:adjustRightInd w:val="0"/>
              <w:rPr>
                <w:rFonts w:ascii="Arial" w:hAnsi="Arial" w:cs="Arial"/>
                <w:szCs w:val="24"/>
                <w:lang w:val="en-GB"/>
              </w:rPr>
            </w:pPr>
          </w:p>
        </w:tc>
      </w:tr>
      <w:tr w:rsidR="00616F54" w:rsidRPr="00616F54" w:rsidTr="00AB31BE">
        <w:tc>
          <w:tcPr>
            <w:tcW w:w="136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TTP</w:t>
            </w:r>
          </w:p>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sorafenib</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TTP nintedanib</w:t>
            </w:r>
          </w:p>
        </w:tc>
        <w:tc>
          <w:tcPr>
            <w:tcW w:w="133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HR</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HR&lt;0.8</w:t>
            </w:r>
          </w:p>
        </w:tc>
        <w:tc>
          <w:tcPr>
            <w:tcW w:w="135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HR&lt;0.85</w:t>
            </w:r>
          </w:p>
        </w:tc>
        <w:tc>
          <w:tcPr>
            <w:tcW w:w="134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HR&lt;1</w:t>
            </w:r>
          </w:p>
        </w:tc>
        <w:tc>
          <w:tcPr>
            <w:tcW w:w="145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medC&lt;medT</w:t>
            </w:r>
          </w:p>
        </w:tc>
      </w:tr>
      <w:tr w:rsidR="00616F54" w:rsidRPr="00616F54" w:rsidTr="00AB31BE">
        <w:tc>
          <w:tcPr>
            <w:tcW w:w="136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9</w:t>
            </w:r>
          </w:p>
        </w:tc>
        <w:tc>
          <w:tcPr>
            <w:tcW w:w="133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0.67</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72.9</w:t>
            </w:r>
          </w:p>
        </w:tc>
        <w:tc>
          <w:tcPr>
            <w:tcW w:w="135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80.9</w:t>
            </w:r>
          </w:p>
        </w:tc>
        <w:tc>
          <w:tcPr>
            <w:tcW w:w="134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93.4</w:t>
            </w:r>
          </w:p>
        </w:tc>
        <w:tc>
          <w:tcPr>
            <w:tcW w:w="145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83.5</w:t>
            </w:r>
          </w:p>
        </w:tc>
      </w:tr>
      <w:tr w:rsidR="00616F54" w:rsidRPr="00616F54" w:rsidTr="00AB31BE">
        <w:tc>
          <w:tcPr>
            <w:tcW w:w="136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8</w:t>
            </w:r>
          </w:p>
        </w:tc>
        <w:tc>
          <w:tcPr>
            <w:tcW w:w="133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0.75</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58.4</w:t>
            </w:r>
          </w:p>
        </w:tc>
        <w:tc>
          <w:tcPr>
            <w:tcW w:w="135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67.6</w:t>
            </w:r>
          </w:p>
        </w:tc>
        <w:tc>
          <w:tcPr>
            <w:tcW w:w="134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81.6</w:t>
            </w:r>
          </w:p>
        </w:tc>
        <w:tc>
          <w:tcPr>
            <w:tcW w:w="145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81.8</w:t>
            </w:r>
          </w:p>
        </w:tc>
      </w:tr>
      <w:tr w:rsidR="00616F54" w:rsidRPr="00616F54" w:rsidTr="00AB31BE">
        <w:tc>
          <w:tcPr>
            <w:tcW w:w="136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7</w:t>
            </w:r>
          </w:p>
        </w:tc>
        <w:tc>
          <w:tcPr>
            <w:tcW w:w="133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0.86</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39</w:t>
            </w:r>
          </w:p>
        </w:tc>
        <w:tc>
          <w:tcPr>
            <w:tcW w:w="135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48.7</w:t>
            </w:r>
          </w:p>
        </w:tc>
        <w:tc>
          <w:tcPr>
            <w:tcW w:w="134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70.6</w:t>
            </w:r>
          </w:p>
        </w:tc>
        <w:tc>
          <w:tcPr>
            <w:tcW w:w="145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65.8</w:t>
            </w:r>
          </w:p>
        </w:tc>
      </w:tr>
      <w:tr w:rsidR="00616F54" w:rsidRPr="00616F54" w:rsidTr="00AB31BE">
        <w:tc>
          <w:tcPr>
            <w:tcW w:w="136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6</w:t>
            </w:r>
          </w:p>
        </w:tc>
        <w:tc>
          <w:tcPr>
            <w:tcW w:w="133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1</w:t>
            </w:r>
          </w:p>
        </w:tc>
        <w:tc>
          <w:tcPr>
            <w:tcW w:w="136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22</w:t>
            </w:r>
          </w:p>
        </w:tc>
        <w:tc>
          <w:tcPr>
            <w:tcW w:w="1354"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27.2</w:t>
            </w:r>
          </w:p>
        </w:tc>
        <w:tc>
          <w:tcPr>
            <w:tcW w:w="1342"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51.8</w:t>
            </w:r>
          </w:p>
        </w:tc>
        <w:tc>
          <w:tcPr>
            <w:tcW w:w="1455" w:type="dxa"/>
          </w:tcPr>
          <w:p w:rsidR="00616F54" w:rsidRPr="00616F54" w:rsidRDefault="00616F54" w:rsidP="00AB31BE">
            <w:pPr>
              <w:autoSpaceDE w:val="0"/>
              <w:autoSpaceDN w:val="0"/>
              <w:adjustRightInd w:val="0"/>
              <w:rPr>
                <w:rFonts w:ascii="Arial" w:hAnsi="Arial" w:cs="Arial"/>
                <w:szCs w:val="24"/>
                <w:lang w:val="en-GB"/>
              </w:rPr>
            </w:pPr>
            <w:r w:rsidRPr="00616F54">
              <w:rPr>
                <w:rFonts w:ascii="Arial" w:hAnsi="Arial" w:cs="Arial"/>
                <w:szCs w:val="24"/>
                <w:lang w:val="en-GB"/>
              </w:rPr>
              <w:t>51.6</w:t>
            </w:r>
          </w:p>
        </w:tc>
      </w:tr>
    </w:tbl>
    <w:p w:rsidR="00616F54" w:rsidRPr="00616F54" w:rsidRDefault="00616F54" w:rsidP="00616F54">
      <w:pPr>
        <w:autoSpaceDE w:val="0"/>
        <w:autoSpaceDN w:val="0"/>
        <w:adjustRightInd w:val="0"/>
        <w:rPr>
          <w:rFonts w:ascii="Arial" w:hAnsi="Arial" w:cs="Arial"/>
          <w:sz w:val="20"/>
          <w:lang w:val="en-GB"/>
        </w:rPr>
      </w:pPr>
      <w:r>
        <w:rPr>
          <w:rFonts w:ascii="Arial" w:hAnsi="Arial" w:cs="Arial"/>
          <w:sz w:val="20"/>
          <w:lang w:val="en-GB"/>
        </w:rPr>
        <w:t>accrual=8 mo, follow-up=14 mo</w:t>
      </w:r>
      <w:r w:rsidRPr="00616F54">
        <w:rPr>
          <w:rFonts w:ascii="Arial" w:hAnsi="Arial" w:cs="Arial"/>
          <w:sz w:val="20"/>
          <w:lang w:val="en-GB"/>
        </w:rPr>
        <w:t>, 30 vs 60 patients, based on 1,000 simulations</w:t>
      </w:r>
    </w:p>
    <w:p w:rsidR="00616F54" w:rsidRPr="00616F54" w:rsidRDefault="00616F54" w:rsidP="00616F54">
      <w:pPr>
        <w:autoSpaceDE w:val="0"/>
        <w:autoSpaceDN w:val="0"/>
        <w:adjustRightInd w:val="0"/>
        <w:rPr>
          <w:rFonts w:ascii="Arial" w:hAnsi="Arial" w:cs="Arial"/>
          <w:szCs w:val="24"/>
          <w:lang w:val="en-GB"/>
        </w:rPr>
      </w:pPr>
    </w:p>
    <w:p w:rsidR="00616F54" w:rsidRPr="00616F54" w:rsidRDefault="00616F54" w:rsidP="006F6BB7">
      <w:pPr>
        <w:autoSpaceDE w:val="0"/>
        <w:autoSpaceDN w:val="0"/>
        <w:adjustRightInd w:val="0"/>
        <w:spacing w:line="480" w:lineRule="auto"/>
        <w:rPr>
          <w:rFonts w:ascii="Arial" w:hAnsi="Arial" w:cs="Arial"/>
          <w:szCs w:val="24"/>
          <w:lang w:val="en-GB"/>
        </w:rPr>
      </w:pPr>
      <w:r w:rsidRPr="00616F54">
        <w:rPr>
          <w:rFonts w:ascii="Arial" w:hAnsi="Arial" w:cs="Arial"/>
          <w:szCs w:val="24"/>
          <w:lang w:val="en-GB"/>
        </w:rPr>
        <w:lastRenderedPageBreak/>
        <w:t>Note that these probabilities are only to be regarded from an exploratory viewpoint and</w:t>
      </w:r>
      <w:r w:rsidR="006F6BB7">
        <w:rPr>
          <w:rFonts w:ascii="Arial" w:hAnsi="Arial" w:cs="Arial"/>
          <w:szCs w:val="24"/>
          <w:lang w:val="en-GB"/>
        </w:rPr>
        <w:t xml:space="preserve"> </w:t>
      </w:r>
      <w:r w:rsidRPr="00616F54">
        <w:rPr>
          <w:rFonts w:ascii="Arial" w:hAnsi="Arial" w:cs="Arial"/>
          <w:szCs w:val="24"/>
          <w:lang w:val="en-GB"/>
        </w:rPr>
        <w:t>cannot be considered as a justification for the chosen sample size. No adjustments for dropouts</w:t>
      </w:r>
      <w:r w:rsidR="006F6BB7">
        <w:rPr>
          <w:rFonts w:ascii="Arial" w:hAnsi="Arial" w:cs="Arial"/>
          <w:szCs w:val="24"/>
          <w:lang w:val="en-GB"/>
        </w:rPr>
        <w:t xml:space="preserve"> </w:t>
      </w:r>
      <w:r w:rsidRPr="00616F54">
        <w:rPr>
          <w:rFonts w:ascii="Arial" w:hAnsi="Arial" w:cs="Arial"/>
          <w:szCs w:val="24"/>
          <w:lang w:val="en-GB"/>
        </w:rPr>
        <w:t>during the studies have been performed in these calculations.</w:t>
      </w:r>
    </w:p>
    <w:p w:rsidR="00616F54" w:rsidRPr="00616F54" w:rsidRDefault="00616F54" w:rsidP="00616F54">
      <w:pPr>
        <w:rPr>
          <w:rFonts w:ascii="Arial" w:hAnsi="Arial" w:cs="Arial"/>
          <w:szCs w:val="24"/>
          <w:lang w:val="en-GB"/>
        </w:rPr>
      </w:pPr>
    </w:p>
    <w:p w:rsidR="00616F54" w:rsidRPr="00616F54" w:rsidRDefault="00616F54" w:rsidP="00616F54">
      <w:pPr>
        <w:rPr>
          <w:rFonts w:ascii="Arial" w:hAnsi="Arial" w:cs="Arial"/>
          <w:szCs w:val="24"/>
          <w:lang w:val="en-GB"/>
        </w:rPr>
      </w:pPr>
    </w:p>
    <w:tbl>
      <w:tblPr>
        <w:tblStyle w:val="TableGrid"/>
        <w:tblW w:w="0" w:type="auto"/>
        <w:tblLook w:val="04A0" w:firstRow="1" w:lastRow="0" w:firstColumn="1" w:lastColumn="0" w:noHBand="0" w:noVBand="1"/>
      </w:tblPr>
      <w:tblGrid>
        <w:gridCol w:w="1915"/>
        <w:gridCol w:w="1915"/>
        <w:gridCol w:w="1915"/>
        <w:gridCol w:w="1915"/>
        <w:gridCol w:w="1916"/>
      </w:tblGrid>
      <w:tr w:rsidR="00616F54" w:rsidRPr="00616F54" w:rsidTr="00AB31BE">
        <w:trPr>
          <w:trHeight w:val="514"/>
        </w:trPr>
        <w:tc>
          <w:tcPr>
            <w:tcW w:w="1915" w:type="dxa"/>
            <w:vMerge w:val="restart"/>
          </w:tcPr>
          <w:p w:rsidR="00616F54" w:rsidRPr="00616F54" w:rsidRDefault="00616F54" w:rsidP="00AB31BE">
            <w:pPr>
              <w:rPr>
                <w:rFonts w:ascii="Arial" w:hAnsi="Arial" w:cs="Arial"/>
                <w:szCs w:val="24"/>
                <w:lang w:val="en-GB"/>
              </w:rPr>
            </w:pPr>
            <w:r w:rsidRPr="00616F54">
              <w:rPr>
                <w:rFonts w:ascii="Arial" w:hAnsi="Arial" w:cs="Arial"/>
                <w:szCs w:val="24"/>
                <w:lang w:val="en-GB"/>
              </w:rPr>
              <w:t>Observed PFS events</w:t>
            </w:r>
          </w:p>
        </w:tc>
        <w:tc>
          <w:tcPr>
            <w:tcW w:w="3830" w:type="dxa"/>
            <w:gridSpan w:val="2"/>
          </w:tcPr>
          <w:p w:rsidR="00616F54" w:rsidRPr="00616F54" w:rsidRDefault="00616F54" w:rsidP="00AB31BE">
            <w:pPr>
              <w:rPr>
                <w:rFonts w:ascii="Arial" w:hAnsi="Arial" w:cs="Arial"/>
                <w:szCs w:val="24"/>
                <w:lang w:val="en-GB"/>
              </w:rPr>
            </w:pPr>
            <w:r w:rsidRPr="00616F54">
              <w:rPr>
                <w:rFonts w:ascii="Arial" w:hAnsi="Arial" w:cs="Arial"/>
                <w:szCs w:val="24"/>
                <w:lang w:val="en-GB"/>
              </w:rPr>
              <w:t>Observed median TTP (months)</w:t>
            </w:r>
          </w:p>
        </w:tc>
        <w:tc>
          <w:tcPr>
            <w:tcW w:w="1915" w:type="dxa"/>
            <w:vMerge w:val="restart"/>
          </w:tcPr>
          <w:p w:rsidR="00616F54" w:rsidRPr="00616F54" w:rsidRDefault="00616F54" w:rsidP="00AB31BE">
            <w:pPr>
              <w:rPr>
                <w:rFonts w:ascii="Arial" w:hAnsi="Arial" w:cs="Arial"/>
                <w:szCs w:val="24"/>
                <w:lang w:val="en-GB"/>
              </w:rPr>
            </w:pPr>
            <w:r w:rsidRPr="00616F54">
              <w:rPr>
                <w:rFonts w:ascii="Arial" w:hAnsi="Arial" w:cs="Arial"/>
                <w:szCs w:val="24"/>
                <w:lang w:val="en-GB"/>
              </w:rPr>
              <w:t>Observed hazard ratio (nintedanib vs. sorafenib)</w:t>
            </w:r>
          </w:p>
        </w:tc>
        <w:tc>
          <w:tcPr>
            <w:tcW w:w="1916" w:type="dxa"/>
            <w:vMerge w:val="restart"/>
          </w:tcPr>
          <w:p w:rsidR="00616F54" w:rsidRPr="00616F54" w:rsidRDefault="00616F54" w:rsidP="00AB31BE">
            <w:pPr>
              <w:rPr>
                <w:rFonts w:ascii="Arial" w:hAnsi="Arial" w:cs="Arial"/>
                <w:szCs w:val="24"/>
                <w:lang w:val="en-GB"/>
              </w:rPr>
            </w:pPr>
            <w:r w:rsidRPr="00616F54">
              <w:rPr>
                <w:rFonts w:ascii="Arial" w:hAnsi="Arial" w:cs="Arial"/>
                <w:szCs w:val="24"/>
                <w:lang w:val="en-GB"/>
              </w:rPr>
              <w:t>Upper limit of two-sided 95% confidence interval (95% CI width)</w:t>
            </w:r>
          </w:p>
        </w:tc>
      </w:tr>
      <w:tr w:rsidR="00616F54" w:rsidRPr="00616F54" w:rsidTr="00AB31BE">
        <w:trPr>
          <w:trHeight w:val="363"/>
        </w:trPr>
        <w:tc>
          <w:tcPr>
            <w:tcW w:w="1915" w:type="dxa"/>
            <w:vMerge/>
          </w:tcPr>
          <w:p w:rsidR="00616F54" w:rsidRPr="00616F54" w:rsidRDefault="00616F54" w:rsidP="00AB31BE">
            <w:pPr>
              <w:rPr>
                <w:rFonts w:ascii="Arial" w:hAnsi="Arial" w:cs="Arial"/>
                <w:szCs w:val="24"/>
                <w:lang w:val="en-GB"/>
              </w:rPr>
            </w:pP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Nintedanib</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Sorafenib</w:t>
            </w:r>
          </w:p>
        </w:tc>
        <w:tc>
          <w:tcPr>
            <w:tcW w:w="1915" w:type="dxa"/>
            <w:vMerge/>
          </w:tcPr>
          <w:p w:rsidR="00616F54" w:rsidRPr="00616F54" w:rsidRDefault="00616F54" w:rsidP="00AB31BE">
            <w:pPr>
              <w:rPr>
                <w:rFonts w:ascii="Arial" w:hAnsi="Arial" w:cs="Arial"/>
                <w:szCs w:val="24"/>
                <w:lang w:val="en-GB"/>
              </w:rPr>
            </w:pPr>
          </w:p>
        </w:tc>
        <w:tc>
          <w:tcPr>
            <w:tcW w:w="1916" w:type="dxa"/>
            <w:vMerge/>
          </w:tcPr>
          <w:p w:rsidR="00616F54" w:rsidRPr="00616F54" w:rsidRDefault="00616F54" w:rsidP="00AB31BE">
            <w:pPr>
              <w:rPr>
                <w:rFonts w:ascii="Arial" w:hAnsi="Arial" w:cs="Arial"/>
                <w:szCs w:val="24"/>
                <w:lang w:val="en-GB"/>
              </w:rPr>
            </w:pPr>
          </w:p>
        </w:tc>
      </w:tr>
      <w:tr w:rsidR="00616F54" w:rsidRPr="00616F54" w:rsidTr="00AB31BE">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63 (70%)</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4.5</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3</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0.67</w:t>
            </w:r>
          </w:p>
        </w:tc>
        <w:tc>
          <w:tcPr>
            <w:tcW w:w="1916" w:type="dxa"/>
          </w:tcPr>
          <w:p w:rsidR="00616F54" w:rsidRPr="00616F54" w:rsidRDefault="00616F54" w:rsidP="00AB31BE">
            <w:pPr>
              <w:rPr>
                <w:rFonts w:ascii="Arial" w:hAnsi="Arial" w:cs="Arial"/>
                <w:szCs w:val="24"/>
                <w:lang w:val="en-GB"/>
              </w:rPr>
            </w:pPr>
            <w:r w:rsidRPr="00616F54">
              <w:rPr>
                <w:rFonts w:ascii="Arial" w:hAnsi="Arial" w:cs="Arial"/>
                <w:szCs w:val="24"/>
                <w:lang w:val="en-GB"/>
              </w:rPr>
              <w:t>1.13 (0.73)</w:t>
            </w:r>
          </w:p>
        </w:tc>
      </w:tr>
      <w:tr w:rsidR="00616F54" w:rsidRPr="00616F54" w:rsidTr="00AB31BE">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72 (80%)</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4.5</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3</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0.67</w:t>
            </w:r>
          </w:p>
        </w:tc>
        <w:tc>
          <w:tcPr>
            <w:tcW w:w="1916" w:type="dxa"/>
          </w:tcPr>
          <w:p w:rsidR="00616F54" w:rsidRPr="00616F54" w:rsidRDefault="00616F54" w:rsidP="00AB31BE">
            <w:pPr>
              <w:rPr>
                <w:rFonts w:ascii="Arial" w:hAnsi="Arial" w:cs="Arial"/>
                <w:szCs w:val="24"/>
                <w:lang w:val="en-GB"/>
              </w:rPr>
            </w:pPr>
            <w:r w:rsidRPr="00616F54">
              <w:rPr>
                <w:rFonts w:ascii="Arial" w:hAnsi="Arial" w:cs="Arial"/>
                <w:szCs w:val="24"/>
                <w:lang w:val="en-GB"/>
              </w:rPr>
              <w:t>1.09 (0.68)</w:t>
            </w:r>
          </w:p>
        </w:tc>
      </w:tr>
      <w:tr w:rsidR="00616F54" w:rsidRPr="00616F54" w:rsidTr="00AB31BE">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81 (90%)</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4.5</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3</w:t>
            </w:r>
          </w:p>
        </w:tc>
        <w:tc>
          <w:tcPr>
            <w:tcW w:w="1915" w:type="dxa"/>
          </w:tcPr>
          <w:p w:rsidR="00616F54" w:rsidRPr="00616F54" w:rsidRDefault="00616F54" w:rsidP="00AB31BE">
            <w:pPr>
              <w:rPr>
                <w:rFonts w:ascii="Arial" w:hAnsi="Arial" w:cs="Arial"/>
                <w:szCs w:val="24"/>
                <w:lang w:val="en-GB"/>
              </w:rPr>
            </w:pPr>
            <w:r w:rsidRPr="00616F54">
              <w:rPr>
                <w:rFonts w:ascii="Arial" w:hAnsi="Arial" w:cs="Arial"/>
                <w:szCs w:val="24"/>
                <w:lang w:val="en-GB"/>
              </w:rPr>
              <w:t>0.67</w:t>
            </w:r>
          </w:p>
        </w:tc>
        <w:tc>
          <w:tcPr>
            <w:tcW w:w="1916" w:type="dxa"/>
          </w:tcPr>
          <w:p w:rsidR="00616F54" w:rsidRPr="00616F54" w:rsidRDefault="00616F54" w:rsidP="00AB31BE">
            <w:pPr>
              <w:rPr>
                <w:rFonts w:ascii="Arial" w:hAnsi="Arial" w:cs="Arial"/>
                <w:szCs w:val="24"/>
                <w:lang w:val="en-GB"/>
              </w:rPr>
            </w:pPr>
            <w:r w:rsidRPr="00616F54">
              <w:rPr>
                <w:rFonts w:ascii="Arial" w:hAnsi="Arial" w:cs="Arial"/>
                <w:szCs w:val="24"/>
                <w:lang w:val="en-GB"/>
              </w:rPr>
              <w:t>1.06 (0.64)</w:t>
            </w:r>
          </w:p>
        </w:tc>
      </w:tr>
    </w:tbl>
    <w:p w:rsidR="00616F54" w:rsidRPr="00616F54" w:rsidRDefault="00616F54" w:rsidP="00616F54">
      <w:pPr>
        <w:rPr>
          <w:rFonts w:ascii="Arial" w:hAnsi="Arial" w:cs="Arial"/>
          <w:szCs w:val="24"/>
          <w:lang w:val="en-GB"/>
        </w:rPr>
      </w:pPr>
    </w:p>
    <w:p w:rsidR="00616F54" w:rsidRPr="00616F54" w:rsidRDefault="00616F54" w:rsidP="00616F54">
      <w:pPr>
        <w:rPr>
          <w:rFonts w:ascii="Arial" w:hAnsi="Arial" w:cs="Arial"/>
          <w:szCs w:val="24"/>
          <w:lang w:val="en-GB"/>
        </w:rPr>
      </w:pPr>
    </w:p>
    <w:p w:rsidR="00616F54" w:rsidRPr="00616F54" w:rsidRDefault="00616F54" w:rsidP="006F6BB7">
      <w:pPr>
        <w:autoSpaceDE w:val="0"/>
        <w:autoSpaceDN w:val="0"/>
        <w:adjustRightInd w:val="0"/>
        <w:spacing w:line="480" w:lineRule="auto"/>
        <w:rPr>
          <w:rFonts w:ascii="Arial" w:hAnsi="Arial" w:cs="Arial"/>
          <w:szCs w:val="24"/>
          <w:lang w:val="en-GB"/>
        </w:rPr>
      </w:pPr>
      <w:r w:rsidRPr="00616F54">
        <w:rPr>
          <w:rFonts w:ascii="Arial" w:hAnsi="Arial" w:cs="Arial"/>
          <w:szCs w:val="24"/>
          <w:lang w:val="en-GB"/>
        </w:rPr>
        <w:t>The table above shows that, with 90 patients in total and at least 72 event (80% of</w:t>
      </w:r>
      <w:r w:rsidR="006F6BB7">
        <w:rPr>
          <w:rFonts w:ascii="Arial" w:hAnsi="Arial" w:cs="Arial"/>
          <w:szCs w:val="24"/>
          <w:lang w:val="en-GB"/>
        </w:rPr>
        <w:t xml:space="preserve"> </w:t>
      </w:r>
      <w:r w:rsidRPr="00616F54">
        <w:rPr>
          <w:rFonts w:ascii="Arial" w:hAnsi="Arial" w:cs="Arial"/>
          <w:szCs w:val="24"/>
          <w:lang w:val="en-GB"/>
        </w:rPr>
        <w:t>patients) and an observed hazard ratio of 0.67, the corresponding two-sided 95% confidence</w:t>
      </w:r>
      <w:r w:rsidR="006F6BB7">
        <w:rPr>
          <w:rFonts w:ascii="Arial" w:hAnsi="Arial" w:cs="Arial"/>
          <w:szCs w:val="24"/>
          <w:lang w:val="en-GB"/>
        </w:rPr>
        <w:t xml:space="preserve"> </w:t>
      </w:r>
      <w:r w:rsidRPr="00616F54">
        <w:rPr>
          <w:rFonts w:ascii="Arial" w:hAnsi="Arial" w:cs="Arial"/>
          <w:szCs w:val="24"/>
          <w:lang w:val="en-GB"/>
        </w:rPr>
        <w:t>interval will cover the positive region of hazard ratio in favour of nintedanib with greater</w:t>
      </w:r>
      <w:r w:rsidR="006F6BB7">
        <w:rPr>
          <w:rFonts w:ascii="Arial" w:hAnsi="Arial" w:cs="Arial"/>
          <w:szCs w:val="24"/>
          <w:lang w:val="en-GB"/>
        </w:rPr>
        <w:t xml:space="preserve"> </w:t>
      </w:r>
      <w:r w:rsidRPr="00616F54">
        <w:rPr>
          <w:rFonts w:ascii="Arial" w:hAnsi="Arial" w:cs="Arial"/>
          <w:szCs w:val="24"/>
          <w:lang w:val="en-GB"/>
        </w:rPr>
        <w:t>than 87% chance.</w:t>
      </w:r>
    </w:p>
    <w:p w:rsidR="00CE6E2B" w:rsidRPr="00616F54" w:rsidRDefault="00CE6E2B" w:rsidP="00CE6E2B">
      <w:pPr>
        <w:tabs>
          <w:tab w:val="left" w:pos="720"/>
        </w:tabs>
        <w:autoSpaceDE w:val="0"/>
        <w:autoSpaceDN w:val="0"/>
        <w:adjustRightInd w:val="0"/>
        <w:spacing w:line="480" w:lineRule="auto"/>
        <w:rPr>
          <w:rFonts w:ascii="Arial" w:hAnsi="Arial" w:cs="Arial"/>
          <w:color w:val="000000"/>
          <w:szCs w:val="24"/>
        </w:rPr>
      </w:pPr>
    </w:p>
    <w:p w:rsidR="00CE6E2B" w:rsidRPr="00404116" w:rsidRDefault="00CE6E2B" w:rsidP="00CE6E2B">
      <w:pPr>
        <w:widowControl w:val="0"/>
        <w:tabs>
          <w:tab w:val="left" w:pos="720"/>
        </w:tabs>
        <w:autoSpaceDE w:val="0"/>
        <w:autoSpaceDN w:val="0"/>
        <w:adjustRightInd w:val="0"/>
        <w:spacing w:after="240" w:line="480" w:lineRule="auto"/>
        <w:rPr>
          <w:rFonts w:ascii="Arial" w:hAnsi="Arial" w:cs="Arial"/>
          <w:b/>
          <w:szCs w:val="24"/>
        </w:rPr>
      </w:pPr>
      <w:r w:rsidRPr="00404116">
        <w:rPr>
          <w:rFonts w:ascii="Arial" w:hAnsi="Arial" w:cs="Arial"/>
          <w:b/>
          <w:szCs w:val="24"/>
        </w:rPr>
        <w:t>Results</w:t>
      </w:r>
    </w:p>
    <w:p w:rsidR="00CE6E2B" w:rsidRPr="00404116" w:rsidRDefault="00CE6E2B" w:rsidP="00CE6E2B">
      <w:pPr>
        <w:keepNext/>
        <w:spacing w:line="480" w:lineRule="auto"/>
        <w:rPr>
          <w:rFonts w:ascii="Arial" w:hAnsi="Arial" w:cs="Arial"/>
          <w:b/>
          <w:i/>
          <w:szCs w:val="24"/>
        </w:rPr>
      </w:pPr>
      <w:r w:rsidRPr="00404116">
        <w:rPr>
          <w:rFonts w:ascii="Arial" w:hAnsi="Arial" w:cs="Arial"/>
          <w:b/>
          <w:i/>
          <w:szCs w:val="24"/>
        </w:rPr>
        <w:t>Dose-limiting toxicities experienced after the MTD determination period</w:t>
      </w:r>
    </w:p>
    <w:p w:rsidR="00CE6E2B" w:rsidRPr="00404116" w:rsidRDefault="00CE6E2B" w:rsidP="00CE6E2B">
      <w:pPr>
        <w:keepNext/>
        <w:spacing w:after="240" w:line="480" w:lineRule="auto"/>
        <w:rPr>
          <w:rFonts w:ascii="Arial" w:hAnsi="Arial" w:cs="Arial"/>
          <w:szCs w:val="24"/>
        </w:rPr>
      </w:pPr>
      <w:r w:rsidRPr="00404116">
        <w:rPr>
          <w:rFonts w:ascii="Arial" w:hAnsi="Arial" w:cs="Arial"/>
          <w:szCs w:val="24"/>
        </w:rPr>
        <w:t xml:space="preserve">Three patients in group I and 7 patients in group II experienced DLTs at various dose levels. For group I, in the 100-mg cohort there were 3 DLTs in 2 patients: two grade 3 bilirubin-increase DLTs and one grade 2 abnormal liver function test; in the 150-mg cohort there was a grade 3 AST-increase DLT. For group II, there were the following DLTs: grade 4 amylase increase in the 50-mg cohort; grade 3 ALP increase and grade 3 hypertension in a patient in the 100-mg cohort; grade 3 amylase increase and grade 4 hyperuricemia in one patient and grade 5 multi-organ failure in another patient in the </w:t>
      </w:r>
      <w:r w:rsidRPr="00404116">
        <w:rPr>
          <w:rFonts w:ascii="Arial" w:hAnsi="Arial" w:cs="Arial"/>
          <w:szCs w:val="24"/>
        </w:rPr>
        <w:lastRenderedPageBreak/>
        <w:t>150-mg cohort; and for the 200-mg cohort grade 3 DLTs each of bilirubin increase, ascites, and vomiting (the latter two occurring in the same patient); in another patient grade 3 DLTs each of decreased appetite and fatigue as well as a grade 2 drug-induced liver injury and a grade 1 encephalopathy.</w:t>
      </w:r>
    </w:p>
    <w:p w:rsidR="00CE6E2B" w:rsidRPr="00404116" w:rsidRDefault="00CE6E2B" w:rsidP="00CE6E2B">
      <w:pPr>
        <w:keepNext/>
        <w:spacing w:line="480" w:lineRule="auto"/>
        <w:rPr>
          <w:rFonts w:ascii="Arial" w:hAnsi="Arial" w:cs="Arial"/>
          <w:b/>
          <w:i/>
          <w:szCs w:val="24"/>
        </w:rPr>
      </w:pPr>
      <w:r w:rsidRPr="00404116">
        <w:rPr>
          <w:rFonts w:ascii="Arial" w:hAnsi="Arial" w:cs="Arial"/>
          <w:b/>
          <w:i/>
          <w:szCs w:val="24"/>
        </w:rPr>
        <w:t xml:space="preserve">Pharmacokinetics </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Plasma and urine samples of 33 patients were included in the pharmacokinetic evaluation: 18 patients in group I (some of whom were from the phase II portion; 4 patients in the 100-mg bid cohort, 3 patients in the 150-mg bid cohort, and 11 patients in the 200-mg bid cohort), and 15 patients in group II, including patients in the expansion cohort (3 patients in the 50-mg bid cohort, 3 patients in the 100-mg bid cohort, 4 patients in the 150-mg bid cohort, and 5 patients in the 200-mg bid cohort). One patient in the 150-mg bid cohort was categorized as Child-Pugh B; all of the other patients were categorized as Child-Pugh A. Nine patients from the phase II component of the trial were included for PK analysis in group I from the 200-mg bid cohort.</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ab/>
        <w:t>Nintedanib was rapidly absorbed followed by at least biphasic disposition kinetics (supplementary Figure S2). Maximum plasma concentrations were achieved around a median of 2 hours (supplementary Table S4). Trough plasma concentrations maintained a steady state throughout the observation period. BIBF 1202 plasma concentrations reached a maximum around a median of 3 hours and also maintained steady state throughout the observation period. BIBF 1202 glucuronide plasma concentrations reached a plateau and stayed constant over the observation period.</w:t>
      </w:r>
    </w:p>
    <w:p w:rsidR="00CE6E2B"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ab/>
        <w:t>The maximum plasma concentrations (C</w:t>
      </w:r>
      <w:r w:rsidRPr="00404116">
        <w:rPr>
          <w:rFonts w:ascii="Arial" w:hAnsi="Arial" w:cs="Arial"/>
          <w:szCs w:val="24"/>
          <w:vertAlign w:val="subscript"/>
        </w:rPr>
        <w:t>max,ss</w:t>
      </w:r>
      <w:r w:rsidRPr="00404116">
        <w:rPr>
          <w:rFonts w:ascii="Arial" w:hAnsi="Arial" w:cs="Arial"/>
          <w:szCs w:val="24"/>
        </w:rPr>
        <w:t xml:space="preserve"> values) as well as exposure in terms of AUC</w:t>
      </w:r>
      <w:r w:rsidRPr="00404116">
        <w:rPr>
          <w:rFonts w:ascii="Arial" w:hAnsi="Arial" w:cs="Arial"/>
          <w:szCs w:val="24"/>
          <w:vertAlign w:val="subscript"/>
        </w:rPr>
        <w:t>0</w:t>
      </w:r>
      <w:r w:rsidRPr="00404116">
        <w:rPr>
          <w:rFonts w:ascii="Arial" w:hAnsi="Arial" w:cs="Arial"/>
          <w:szCs w:val="24"/>
          <w:vertAlign w:val="subscript"/>
        </w:rPr>
        <w:noBreakHyphen/>
        <w:t>12,ss</w:t>
      </w:r>
      <w:r w:rsidRPr="00404116">
        <w:rPr>
          <w:rFonts w:ascii="Arial" w:hAnsi="Arial" w:cs="Arial"/>
          <w:szCs w:val="24"/>
        </w:rPr>
        <w:t xml:space="preserve"> values of nintedanib increased with increasing doses over the dose </w:t>
      </w:r>
      <w:r w:rsidRPr="00404116">
        <w:rPr>
          <w:rFonts w:ascii="Arial" w:hAnsi="Arial" w:cs="Arial"/>
          <w:szCs w:val="24"/>
        </w:rPr>
        <w:lastRenderedPageBreak/>
        <w:t>range tested (supplementary Table S4). High interpatient variability of pharmacokinetic parameters over all dose cohorts was observed. The dose-normalized exposure parameters (C</w:t>
      </w:r>
      <w:r w:rsidRPr="00404116">
        <w:rPr>
          <w:rFonts w:ascii="Arial" w:hAnsi="Arial" w:cs="Arial"/>
          <w:szCs w:val="24"/>
          <w:vertAlign w:val="subscript"/>
        </w:rPr>
        <w:t>max,ss,norm</w:t>
      </w:r>
      <w:r w:rsidRPr="00404116">
        <w:rPr>
          <w:rFonts w:ascii="Arial" w:hAnsi="Arial" w:cs="Arial"/>
          <w:szCs w:val="24"/>
        </w:rPr>
        <w:t xml:space="preserve"> and AUC</w:t>
      </w:r>
      <w:r w:rsidRPr="00404116">
        <w:rPr>
          <w:rFonts w:ascii="Arial" w:hAnsi="Arial" w:cs="Arial"/>
          <w:szCs w:val="24"/>
          <w:vertAlign w:val="subscript"/>
        </w:rPr>
        <w:t>0-12,ss,norm</w:t>
      </w:r>
      <w:r w:rsidRPr="00404116">
        <w:rPr>
          <w:rFonts w:ascii="Arial" w:hAnsi="Arial" w:cs="Arial"/>
          <w:szCs w:val="24"/>
        </w:rPr>
        <w:t>) generally remained constant over the different dose cohorts, taking differences in patient numbers between dose cohorts and the high variability of pharmacokinetic parameters into account. Renal elimination of nintedanib was low. Twelve hours after repeated dose administration between 0.151% and 0.238% of the administered dose was recovered in urine (fe</w:t>
      </w:r>
      <w:r w:rsidRPr="00404116">
        <w:rPr>
          <w:rFonts w:ascii="Arial" w:hAnsi="Arial" w:cs="Arial"/>
          <w:szCs w:val="24"/>
          <w:vertAlign w:val="subscript"/>
        </w:rPr>
        <w:t>0-12,ss</w:t>
      </w:r>
      <w:r w:rsidRPr="00404116">
        <w:rPr>
          <w:rFonts w:ascii="Arial" w:hAnsi="Arial" w:cs="Arial"/>
          <w:szCs w:val="24"/>
        </w:rPr>
        <w:t>). Renal clearance (CL</w:t>
      </w:r>
      <w:r w:rsidRPr="00404116">
        <w:rPr>
          <w:rFonts w:ascii="Arial" w:hAnsi="Arial" w:cs="Arial"/>
          <w:szCs w:val="24"/>
          <w:vertAlign w:val="subscript"/>
        </w:rPr>
        <w:t>R,ss</w:t>
      </w:r>
      <w:r w:rsidRPr="00404116">
        <w:rPr>
          <w:rFonts w:ascii="Arial" w:hAnsi="Arial" w:cs="Arial"/>
          <w:szCs w:val="24"/>
        </w:rPr>
        <w:t>) of nintedanib was low (13.9 to 16.8 mL/min) and did not change with the dose administered. Exposure to the two major metabolites of nintedanib, BIBF 1202 and BIBF 1202 glucuronide, generally increased in proportion to the nintedanib dose, taking the high variability into account (supplementary Table S4).</w:t>
      </w:r>
    </w:p>
    <w:p w:rsidR="00214D93" w:rsidRPr="00404116" w:rsidRDefault="00214D93" w:rsidP="00CE6E2B">
      <w:pPr>
        <w:widowControl w:val="0"/>
        <w:tabs>
          <w:tab w:val="left" w:pos="720"/>
        </w:tabs>
        <w:autoSpaceDE w:val="0"/>
        <w:autoSpaceDN w:val="0"/>
        <w:adjustRightInd w:val="0"/>
        <w:spacing w:line="480" w:lineRule="auto"/>
        <w:rPr>
          <w:rFonts w:ascii="Arial" w:hAnsi="Arial" w:cs="Arial"/>
          <w:szCs w:val="24"/>
        </w:rPr>
      </w:pPr>
      <w:r>
        <w:rPr>
          <w:rFonts w:ascii="Arial" w:hAnsi="Arial" w:cs="Arial"/>
          <w:szCs w:val="24"/>
        </w:rPr>
        <w:tab/>
      </w:r>
      <w:r w:rsidRPr="00E01BBF">
        <w:rPr>
          <w:rFonts w:ascii="Arial" w:hAnsi="Arial" w:cs="Arial"/>
          <w:szCs w:val="24"/>
        </w:rPr>
        <w:t>No meaningful comparison could be made between patients with HCC in either Child-Pugh category A or B because data for analysis were available for only one patient in Child-Pugh category B (supplementary Table S5).</w:t>
      </w:r>
      <w:r w:rsidRPr="00B10A1F">
        <w:rPr>
          <w:rFonts w:cs="Arial"/>
          <w:szCs w:val="24"/>
        </w:rPr>
        <w:t xml:space="preserve"> </w:t>
      </w:r>
    </w:p>
    <w:p w:rsidR="00CE6E2B" w:rsidRPr="00404116" w:rsidRDefault="00CE6E2B" w:rsidP="00CE6E2B">
      <w:pPr>
        <w:widowControl w:val="0"/>
        <w:tabs>
          <w:tab w:val="left" w:pos="720"/>
        </w:tabs>
        <w:autoSpaceDE w:val="0"/>
        <w:autoSpaceDN w:val="0"/>
        <w:adjustRightInd w:val="0"/>
        <w:spacing w:line="480" w:lineRule="auto"/>
        <w:rPr>
          <w:rFonts w:ascii="Arial" w:hAnsi="Arial" w:cs="Arial"/>
          <w:b/>
          <w:szCs w:val="24"/>
        </w:rPr>
      </w:pPr>
      <w:r w:rsidRPr="00404116">
        <w:rPr>
          <w:rFonts w:ascii="Arial" w:hAnsi="Arial" w:cs="Arial"/>
          <w:szCs w:val="24"/>
        </w:rPr>
        <w:tab/>
        <w:t>The</w:t>
      </w:r>
      <w:r w:rsidRPr="00404116">
        <w:rPr>
          <w:rFonts w:ascii="Arial" w:hAnsi="Arial" w:cs="Arial"/>
          <w:color w:val="000000"/>
          <w:szCs w:val="24"/>
          <w:lang w:eastAsia="zh-CN" w:bidi="th-TH"/>
        </w:rPr>
        <w:t xml:space="preserve"> overall mean plasma protein binding of nintedanib was comparable between HCC patients and control healthy samples with mean bound fraction (f</w:t>
      </w:r>
      <w:r w:rsidRPr="00404116">
        <w:rPr>
          <w:rFonts w:ascii="Arial" w:hAnsi="Arial" w:cs="Arial"/>
          <w:color w:val="000000"/>
          <w:szCs w:val="24"/>
          <w:vertAlign w:val="subscript"/>
          <w:lang w:eastAsia="zh-CN" w:bidi="th-TH"/>
        </w:rPr>
        <w:t>B</w:t>
      </w:r>
      <w:r w:rsidRPr="00404116">
        <w:rPr>
          <w:rFonts w:ascii="Arial" w:hAnsi="Arial" w:cs="Arial"/>
          <w:color w:val="000000"/>
          <w:szCs w:val="24"/>
          <w:lang w:eastAsia="zh-CN" w:bidi="th-TH"/>
        </w:rPr>
        <w:t>) values of 98.1 ± 1.1% and 97.4 ± 1.4%, respectively. Corresponding mean unbound fractions (f</w:t>
      </w:r>
      <w:r w:rsidRPr="00404116">
        <w:rPr>
          <w:rFonts w:ascii="Arial" w:hAnsi="Arial" w:cs="Arial"/>
          <w:color w:val="000000"/>
          <w:szCs w:val="24"/>
          <w:vertAlign w:val="subscript"/>
          <w:lang w:eastAsia="zh-CN" w:bidi="th-TH"/>
        </w:rPr>
        <w:t>U</w:t>
      </w:r>
      <w:r w:rsidRPr="00404116">
        <w:rPr>
          <w:rFonts w:ascii="Arial" w:hAnsi="Arial" w:cs="Arial"/>
          <w:color w:val="000000"/>
          <w:szCs w:val="24"/>
          <w:lang w:eastAsia="zh-CN" w:bidi="th-TH"/>
        </w:rPr>
        <w:t>) were at 1.92 ± 1.12% and 2.67 ± 1.42%, respectively. The mean protein binding between groups I and II was comparable with mean f</w:t>
      </w:r>
      <w:r w:rsidRPr="00404116">
        <w:rPr>
          <w:rFonts w:ascii="Arial" w:hAnsi="Arial" w:cs="Arial"/>
          <w:color w:val="000000"/>
          <w:szCs w:val="24"/>
          <w:vertAlign w:val="subscript"/>
          <w:lang w:eastAsia="zh-CN" w:bidi="th-TH"/>
        </w:rPr>
        <w:t>U</w:t>
      </w:r>
      <w:r w:rsidRPr="00404116">
        <w:rPr>
          <w:rFonts w:ascii="Arial" w:hAnsi="Arial" w:cs="Arial"/>
          <w:color w:val="000000"/>
          <w:szCs w:val="24"/>
          <w:lang w:eastAsia="zh-CN" w:bidi="th-TH"/>
        </w:rPr>
        <w:t xml:space="preserve"> ranging from 1.28 to 2.03%. The free fraction observed in samples from patients assigned to Child-Pugh category A was also comparable to those observed in groups I and II, with a mean f</w:t>
      </w:r>
      <w:r w:rsidRPr="00404116">
        <w:rPr>
          <w:rFonts w:ascii="Arial" w:hAnsi="Arial" w:cs="Arial"/>
          <w:color w:val="000000"/>
          <w:szCs w:val="24"/>
          <w:vertAlign w:val="subscript"/>
          <w:lang w:eastAsia="zh-CN" w:bidi="th-TH"/>
        </w:rPr>
        <w:t>U</w:t>
      </w:r>
      <w:r w:rsidRPr="00404116">
        <w:rPr>
          <w:rFonts w:ascii="Arial" w:hAnsi="Arial" w:cs="Arial"/>
          <w:color w:val="000000"/>
          <w:szCs w:val="24"/>
          <w:lang w:eastAsia="zh-CN" w:bidi="th-TH"/>
        </w:rPr>
        <w:t xml:space="preserve"> of 1.90 ± 1.11%. The protein unbound fraction in samples from the patient assigned to Child-Pugh category B was 3.61% (sample from 1 patient). The number of samples was limited but the f</w:t>
      </w:r>
      <w:r w:rsidRPr="00404116">
        <w:rPr>
          <w:rFonts w:ascii="Arial" w:hAnsi="Arial" w:cs="Arial"/>
          <w:color w:val="000000"/>
          <w:szCs w:val="24"/>
          <w:vertAlign w:val="subscript"/>
          <w:lang w:eastAsia="zh-CN" w:bidi="th-TH"/>
        </w:rPr>
        <w:t>U</w:t>
      </w:r>
      <w:r w:rsidRPr="00404116">
        <w:rPr>
          <w:rFonts w:ascii="Arial" w:hAnsi="Arial" w:cs="Arial"/>
          <w:color w:val="000000"/>
          <w:szCs w:val="24"/>
          <w:lang w:eastAsia="zh-CN" w:bidi="th-TH"/>
        </w:rPr>
        <w:t xml:space="preserve"> value </w:t>
      </w:r>
      <w:r w:rsidRPr="00404116">
        <w:rPr>
          <w:rFonts w:ascii="Arial" w:hAnsi="Arial" w:cs="Arial"/>
          <w:color w:val="000000"/>
          <w:szCs w:val="24"/>
          <w:lang w:eastAsia="zh-CN" w:bidi="th-TH"/>
        </w:rPr>
        <w:lastRenderedPageBreak/>
        <w:t xml:space="preserve">was within the range of </w:t>
      </w:r>
      <w:r w:rsidRPr="00404116">
        <w:rPr>
          <w:rFonts w:ascii="Arial" w:hAnsi="Arial" w:cs="Arial"/>
          <w:szCs w:val="24"/>
        </w:rPr>
        <w:t xml:space="preserve">variability observed for the other patient subpopulations as well as for the healthy volunteer controls. </w:t>
      </w:r>
    </w:p>
    <w:p w:rsidR="00CE6E2B" w:rsidRPr="00404116" w:rsidRDefault="00CE6E2B" w:rsidP="00CE6E2B">
      <w:pPr>
        <w:tabs>
          <w:tab w:val="left" w:pos="720"/>
        </w:tabs>
        <w:autoSpaceDE w:val="0"/>
        <w:autoSpaceDN w:val="0"/>
        <w:adjustRightInd w:val="0"/>
        <w:spacing w:line="480" w:lineRule="auto"/>
        <w:rPr>
          <w:rFonts w:ascii="Arial" w:hAnsi="Arial" w:cs="Arial"/>
          <w:color w:val="000000"/>
          <w:szCs w:val="24"/>
        </w:rPr>
      </w:pPr>
    </w:p>
    <w:p w:rsidR="00CE6E2B" w:rsidRPr="00404116" w:rsidRDefault="00CE6E2B" w:rsidP="00CE6E2B">
      <w:pPr>
        <w:keepNext/>
        <w:spacing w:before="240" w:line="480" w:lineRule="auto"/>
        <w:rPr>
          <w:rFonts w:ascii="Arial" w:hAnsi="Arial" w:cs="Arial"/>
          <w:b/>
          <w:szCs w:val="24"/>
        </w:rPr>
      </w:pPr>
      <w:r w:rsidRPr="00404116">
        <w:rPr>
          <w:rFonts w:ascii="Arial" w:hAnsi="Arial" w:cs="Arial"/>
          <w:b/>
          <w:i/>
          <w:szCs w:val="24"/>
        </w:rPr>
        <w:t>Safety and tolerability</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u w:val="single"/>
        </w:rPr>
      </w:pPr>
      <w:r w:rsidRPr="00404116">
        <w:rPr>
          <w:rFonts w:ascii="Arial" w:hAnsi="Arial" w:cs="Arial"/>
          <w:szCs w:val="24"/>
          <w:u w:val="single"/>
        </w:rPr>
        <w:t>Phase I</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No AEs led to dose reduction in group I and 3/19 (15.8%) patients had AEs leading to dose reduction in group II over the entire treatment period. In group II, grade 4 and grade 3 amylase increase led to dose reduction in patients in the 50-mg and 150-mg cohorts, respectively; in the 200-mg cohort one patient had grade 3 vomiting and grade 2 lower respiratory tract infection that also led to dose reductions. There were 8/13 (61.5%) and 14/19 (73.7%) patients that had AEs leading to treatment discontinuation in group I and group II, respectively.</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ab/>
        <w:t xml:space="preserve">The most frequent any-grade, any-cause AEs, by system organ class, were gastrointestinal (84.6% for group I, 89.5% for group II) which includes upper/abdominal pain, vomiting, diarrhea, and nausea; and general disorders and administration site conditions (69.2% for group I, 79.0% for group II) which includes fatigue and influenza-like illness. Class-related AEs occurred in both treatment groups and included a case each of grade 1 and grade 3 hypertension and 3 cases of grade 1 rash; there were 2 cases of grade 1 palmar-plantar erythrodysesthesia in group II (1 at 100 mg bid, 1 at 200 mg bid). Supplementary Table S9 shows grade ≥3 AEs of special interest occurring in all the dose cohorts for groups I and II. In total, over both groups there were 15 patients (46.9%) with bleeding and 17 patients (53.1%) with abnormal liver-related investigations. Regarding bleeding of any grade, for group I there was a patient each </w:t>
      </w:r>
      <w:r w:rsidRPr="00404116">
        <w:rPr>
          <w:rFonts w:ascii="Arial" w:hAnsi="Arial" w:cs="Arial"/>
          <w:szCs w:val="24"/>
        </w:rPr>
        <w:lastRenderedPageBreak/>
        <w:t>with bleeding due to hepatic hemorrhage, catheter site bruise, injection site bruising, gastrointestinal hemorrhage, and intra-abdominal hematoma; for group II 15.8% each were due to hematemesis, rectal hemorrhage, and epistaxis (some occurring in the same patient), with the remainder in lesser proportions from bleeding varicose vein, gingival bleeding, hemoptysis, melena, catheter site bruise, injection site bruising, contusion, and hematochezia.</w:t>
      </w:r>
    </w:p>
    <w:p w:rsidR="00CE6E2B" w:rsidRPr="00404116" w:rsidRDefault="00CE6E2B" w:rsidP="00CE6E2B">
      <w:pPr>
        <w:widowControl w:val="0"/>
        <w:tabs>
          <w:tab w:val="left" w:pos="720"/>
        </w:tabs>
        <w:autoSpaceDE w:val="0"/>
        <w:autoSpaceDN w:val="0"/>
        <w:adjustRightInd w:val="0"/>
        <w:spacing w:line="480" w:lineRule="auto"/>
        <w:rPr>
          <w:rFonts w:ascii="Arial" w:hAnsi="Arial" w:cs="Arial"/>
          <w:szCs w:val="24"/>
        </w:rPr>
      </w:pPr>
      <w:r w:rsidRPr="00404116">
        <w:rPr>
          <w:rFonts w:ascii="Arial" w:hAnsi="Arial" w:cs="Arial"/>
          <w:szCs w:val="24"/>
        </w:rPr>
        <w:tab/>
        <w:t>Grade 5 AEs (fatal AEs with onset on treatment or within 28 days of last nintedanib dose) occurred in 8 patients: 1 patient because of cardiac arrest (considered not related to nintedanib) and 1 patient as a result of multi-organ failure (considered possibly related to nintedanib). The remaining 6 patients died of progressive disease, with 2 patients dying because of associated sepsis (1 of which was biliary sepsis).</w:t>
      </w:r>
    </w:p>
    <w:p w:rsidR="00AE118D" w:rsidRPr="00404116" w:rsidRDefault="00AE118D">
      <w:pPr>
        <w:rPr>
          <w:rFonts w:ascii="Arial" w:hAnsi="Arial" w:cs="Arial"/>
        </w:rPr>
      </w:pPr>
    </w:p>
    <w:sectPr w:rsidR="00AE118D" w:rsidRPr="00404116" w:rsidSect="00994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pple Chancery">
    <w:panose1 w:val="00000000000000000000"/>
    <w:charset w:val="00"/>
    <w:family w:val="script"/>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E2B"/>
    <w:rsid w:val="00000DD8"/>
    <w:rsid w:val="00001238"/>
    <w:rsid w:val="00001630"/>
    <w:rsid w:val="00012A72"/>
    <w:rsid w:val="000143E6"/>
    <w:rsid w:val="00015000"/>
    <w:rsid w:val="00017BB5"/>
    <w:rsid w:val="0002052D"/>
    <w:rsid w:val="00021791"/>
    <w:rsid w:val="000229A1"/>
    <w:rsid w:val="00023E4F"/>
    <w:rsid w:val="00024E7E"/>
    <w:rsid w:val="0002548C"/>
    <w:rsid w:val="000333D5"/>
    <w:rsid w:val="0003461F"/>
    <w:rsid w:val="00036069"/>
    <w:rsid w:val="000364E1"/>
    <w:rsid w:val="00040CD2"/>
    <w:rsid w:val="00042757"/>
    <w:rsid w:val="00043DF4"/>
    <w:rsid w:val="0004533B"/>
    <w:rsid w:val="00045D0A"/>
    <w:rsid w:val="00047EF6"/>
    <w:rsid w:val="0005077C"/>
    <w:rsid w:val="0005235B"/>
    <w:rsid w:val="0005278A"/>
    <w:rsid w:val="00054DDF"/>
    <w:rsid w:val="00055DDD"/>
    <w:rsid w:val="00056B03"/>
    <w:rsid w:val="00061AD5"/>
    <w:rsid w:val="000622C6"/>
    <w:rsid w:val="000629C6"/>
    <w:rsid w:val="00066BC2"/>
    <w:rsid w:val="00072A6C"/>
    <w:rsid w:val="000738FD"/>
    <w:rsid w:val="00074C5E"/>
    <w:rsid w:val="00077878"/>
    <w:rsid w:val="000811CD"/>
    <w:rsid w:val="000818A0"/>
    <w:rsid w:val="000827FC"/>
    <w:rsid w:val="00084489"/>
    <w:rsid w:val="00085ABD"/>
    <w:rsid w:val="00091130"/>
    <w:rsid w:val="00091B01"/>
    <w:rsid w:val="00094FCE"/>
    <w:rsid w:val="00097D68"/>
    <w:rsid w:val="000A0BE3"/>
    <w:rsid w:val="000A2A64"/>
    <w:rsid w:val="000A3385"/>
    <w:rsid w:val="000A5DA4"/>
    <w:rsid w:val="000A6F77"/>
    <w:rsid w:val="000B1DBC"/>
    <w:rsid w:val="000B3B09"/>
    <w:rsid w:val="000B3CB3"/>
    <w:rsid w:val="000B420B"/>
    <w:rsid w:val="000B5FC9"/>
    <w:rsid w:val="000C09DF"/>
    <w:rsid w:val="000C5771"/>
    <w:rsid w:val="000C5C98"/>
    <w:rsid w:val="000C7581"/>
    <w:rsid w:val="000D1AF6"/>
    <w:rsid w:val="000D49E1"/>
    <w:rsid w:val="000D602A"/>
    <w:rsid w:val="000D62C5"/>
    <w:rsid w:val="000D6759"/>
    <w:rsid w:val="000D6EF1"/>
    <w:rsid w:val="000E0CAD"/>
    <w:rsid w:val="000E264B"/>
    <w:rsid w:val="000E34B6"/>
    <w:rsid w:val="000E668E"/>
    <w:rsid w:val="000E685B"/>
    <w:rsid w:val="000F2491"/>
    <w:rsid w:val="000F4C21"/>
    <w:rsid w:val="00100215"/>
    <w:rsid w:val="00106E15"/>
    <w:rsid w:val="00111547"/>
    <w:rsid w:val="001136E5"/>
    <w:rsid w:val="00113EC0"/>
    <w:rsid w:val="00124E28"/>
    <w:rsid w:val="001254E0"/>
    <w:rsid w:val="0012682C"/>
    <w:rsid w:val="00126954"/>
    <w:rsid w:val="00126C33"/>
    <w:rsid w:val="0013014C"/>
    <w:rsid w:val="00130511"/>
    <w:rsid w:val="001318FC"/>
    <w:rsid w:val="00131A4E"/>
    <w:rsid w:val="00131F2C"/>
    <w:rsid w:val="00136573"/>
    <w:rsid w:val="0013721E"/>
    <w:rsid w:val="00137F48"/>
    <w:rsid w:val="0014134B"/>
    <w:rsid w:val="001442CF"/>
    <w:rsid w:val="001454B2"/>
    <w:rsid w:val="001455A0"/>
    <w:rsid w:val="001478DB"/>
    <w:rsid w:val="00151D0F"/>
    <w:rsid w:val="0015421B"/>
    <w:rsid w:val="001564F6"/>
    <w:rsid w:val="00156633"/>
    <w:rsid w:val="00156FC5"/>
    <w:rsid w:val="00157219"/>
    <w:rsid w:val="00160DD1"/>
    <w:rsid w:val="00162B21"/>
    <w:rsid w:val="001630B5"/>
    <w:rsid w:val="0016360A"/>
    <w:rsid w:val="00163F1D"/>
    <w:rsid w:val="00164576"/>
    <w:rsid w:val="00166621"/>
    <w:rsid w:val="001703A3"/>
    <w:rsid w:val="001705E5"/>
    <w:rsid w:val="001758A6"/>
    <w:rsid w:val="00175C34"/>
    <w:rsid w:val="00175CDF"/>
    <w:rsid w:val="00176E70"/>
    <w:rsid w:val="00177F82"/>
    <w:rsid w:val="00181290"/>
    <w:rsid w:val="00181622"/>
    <w:rsid w:val="001835FF"/>
    <w:rsid w:val="0018525F"/>
    <w:rsid w:val="00185806"/>
    <w:rsid w:val="001861CE"/>
    <w:rsid w:val="0018639F"/>
    <w:rsid w:val="001870A7"/>
    <w:rsid w:val="00193BD5"/>
    <w:rsid w:val="0019696A"/>
    <w:rsid w:val="001A0F2D"/>
    <w:rsid w:val="001A4E85"/>
    <w:rsid w:val="001A55AC"/>
    <w:rsid w:val="001A6120"/>
    <w:rsid w:val="001A65A9"/>
    <w:rsid w:val="001A691B"/>
    <w:rsid w:val="001B2434"/>
    <w:rsid w:val="001B2CDE"/>
    <w:rsid w:val="001B32EA"/>
    <w:rsid w:val="001B474A"/>
    <w:rsid w:val="001B5FD3"/>
    <w:rsid w:val="001B72B4"/>
    <w:rsid w:val="001C0002"/>
    <w:rsid w:val="001C04C9"/>
    <w:rsid w:val="001C0AA8"/>
    <w:rsid w:val="001C255C"/>
    <w:rsid w:val="001C2E64"/>
    <w:rsid w:val="001C30AF"/>
    <w:rsid w:val="001C4231"/>
    <w:rsid w:val="001C6B49"/>
    <w:rsid w:val="001D1357"/>
    <w:rsid w:val="001D157C"/>
    <w:rsid w:val="001D3B5A"/>
    <w:rsid w:val="001D3DA2"/>
    <w:rsid w:val="001D4CD1"/>
    <w:rsid w:val="001D68EC"/>
    <w:rsid w:val="001E0C7C"/>
    <w:rsid w:val="001E1B67"/>
    <w:rsid w:val="001E3634"/>
    <w:rsid w:val="001E4BAD"/>
    <w:rsid w:val="001E5D6F"/>
    <w:rsid w:val="001E622F"/>
    <w:rsid w:val="001F0B65"/>
    <w:rsid w:val="001F27F6"/>
    <w:rsid w:val="001F3CAC"/>
    <w:rsid w:val="001F488D"/>
    <w:rsid w:val="001F4D94"/>
    <w:rsid w:val="001F6042"/>
    <w:rsid w:val="001F6C57"/>
    <w:rsid w:val="001F7FEF"/>
    <w:rsid w:val="00203156"/>
    <w:rsid w:val="00206F3E"/>
    <w:rsid w:val="002106C8"/>
    <w:rsid w:val="002120CC"/>
    <w:rsid w:val="0021225A"/>
    <w:rsid w:val="0021236F"/>
    <w:rsid w:val="002136A9"/>
    <w:rsid w:val="002141EC"/>
    <w:rsid w:val="0021453D"/>
    <w:rsid w:val="00214D93"/>
    <w:rsid w:val="00216481"/>
    <w:rsid w:val="00220593"/>
    <w:rsid w:val="002259D1"/>
    <w:rsid w:val="00226C5D"/>
    <w:rsid w:val="00227EA4"/>
    <w:rsid w:val="0023225F"/>
    <w:rsid w:val="00234D24"/>
    <w:rsid w:val="002407A2"/>
    <w:rsid w:val="00241517"/>
    <w:rsid w:val="00242109"/>
    <w:rsid w:val="00242442"/>
    <w:rsid w:val="002425C2"/>
    <w:rsid w:val="00243E1D"/>
    <w:rsid w:val="002456CB"/>
    <w:rsid w:val="002468D8"/>
    <w:rsid w:val="00251F57"/>
    <w:rsid w:val="00252E6F"/>
    <w:rsid w:val="00253E77"/>
    <w:rsid w:val="00255DEE"/>
    <w:rsid w:val="00257626"/>
    <w:rsid w:val="00260EC1"/>
    <w:rsid w:val="0026246C"/>
    <w:rsid w:val="0026433B"/>
    <w:rsid w:val="00264576"/>
    <w:rsid w:val="002652BF"/>
    <w:rsid w:val="00265ED3"/>
    <w:rsid w:val="00266172"/>
    <w:rsid w:val="0026647C"/>
    <w:rsid w:val="00267BCC"/>
    <w:rsid w:val="00271578"/>
    <w:rsid w:val="00272681"/>
    <w:rsid w:val="00272EDF"/>
    <w:rsid w:val="002762DB"/>
    <w:rsid w:val="002773AC"/>
    <w:rsid w:val="00282ADE"/>
    <w:rsid w:val="00283E81"/>
    <w:rsid w:val="00286268"/>
    <w:rsid w:val="00286D96"/>
    <w:rsid w:val="00286D9A"/>
    <w:rsid w:val="00287CCD"/>
    <w:rsid w:val="00291436"/>
    <w:rsid w:val="002923E5"/>
    <w:rsid w:val="002926AB"/>
    <w:rsid w:val="00293448"/>
    <w:rsid w:val="002941CD"/>
    <w:rsid w:val="002956C6"/>
    <w:rsid w:val="00295CC3"/>
    <w:rsid w:val="00296FED"/>
    <w:rsid w:val="00297787"/>
    <w:rsid w:val="002A3D20"/>
    <w:rsid w:val="002A4B4A"/>
    <w:rsid w:val="002A6BFF"/>
    <w:rsid w:val="002A6DD4"/>
    <w:rsid w:val="002A712E"/>
    <w:rsid w:val="002B032F"/>
    <w:rsid w:val="002B5E9D"/>
    <w:rsid w:val="002B5EBF"/>
    <w:rsid w:val="002B64AF"/>
    <w:rsid w:val="002C14C9"/>
    <w:rsid w:val="002C4E77"/>
    <w:rsid w:val="002C4F9D"/>
    <w:rsid w:val="002C5A00"/>
    <w:rsid w:val="002C78EA"/>
    <w:rsid w:val="002D07C8"/>
    <w:rsid w:val="002D08E3"/>
    <w:rsid w:val="002D1D24"/>
    <w:rsid w:val="002D499E"/>
    <w:rsid w:val="002D6FC9"/>
    <w:rsid w:val="002D7EF6"/>
    <w:rsid w:val="002E19E5"/>
    <w:rsid w:val="002E1E32"/>
    <w:rsid w:val="002E37C5"/>
    <w:rsid w:val="002E3EB5"/>
    <w:rsid w:val="002E79FF"/>
    <w:rsid w:val="002F084B"/>
    <w:rsid w:val="002F0922"/>
    <w:rsid w:val="002F1FF7"/>
    <w:rsid w:val="002F33E1"/>
    <w:rsid w:val="002F58F7"/>
    <w:rsid w:val="002F705F"/>
    <w:rsid w:val="00302F4C"/>
    <w:rsid w:val="00303807"/>
    <w:rsid w:val="00303F7E"/>
    <w:rsid w:val="0030491E"/>
    <w:rsid w:val="003053D5"/>
    <w:rsid w:val="003066F3"/>
    <w:rsid w:val="00306C2B"/>
    <w:rsid w:val="00310246"/>
    <w:rsid w:val="00310966"/>
    <w:rsid w:val="00313256"/>
    <w:rsid w:val="003154B8"/>
    <w:rsid w:val="003156D3"/>
    <w:rsid w:val="00315B34"/>
    <w:rsid w:val="003160B9"/>
    <w:rsid w:val="003174CE"/>
    <w:rsid w:val="00320478"/>
    <w:rsid w:val="00320D10"/>
    <w:rsid w:val="0032235F"/>
    <w:rsid w:val="003224D0"/>
    <w:rsid w:val="00322E61"/>
    <w:rsid w:val="00324C03"/>
    <w:rsid w:val="003268EC"/>
    <w:rsid w:val="00341F12"/>
    <w:rsid w:val="003426B7"/>
    <w:rsid w:val="00343940"/>
    <w:rsid w:val="00343D5B"/>
    <w:rsid w:val="003440D4"/>
    <w:rsid w:val="00344DDF"/>
    <w:rsid w:val="0034554E"/>
    <w:rsid w:val="00347CEC"/>
    <w:rsid w:val="00350049"/>
    <w:rsid w:val="003505E2"/>
    <w:rsid w:val="003514BD"/>
    <w:rsid w:val="003514C0"/>
    <w:rsid w:val="003520F1"/>
    <w:rsid w:val="003529FC"/>
    <w:rsid w:val="003601D6"/>
    <w:rsid w:val="00361AB7"/>
    <w:rsid w:val="003631E5"/>
    <w:rsid w:val="003636C2"/>
    <w:rsid w:val="0036432A"/>
    <w:rsid w:val="00365814"/>
    <w:rsid w:val="003677A6"/>
    <w:rsid w:val="003708E8"/>
    <w:rsid w:val="00372756"/>
    <w:rsid w:val="0037505F"/>
    <w:rsid w:val="003767B0"/>
    <w:rsid w:val="00381078"/>
    <w:rsid w:val="00381874"/>
    <w:rsid w:val="0038409F"/>
    <w:rsid w:val="00385512"/>
    <w:rsid w:val="003857C2"/>
    <w:rsid w:val="00391E30"/>
    <w:rsid w:val="003924E9"/>
    <w:rsid w:val="00393DA1"/>
    <w:rsid w:val="003A1B56"/>
    <w:rsid w:val="003A4894"/>
    <w:rsid w:val="003B0712"/>
    <w:rsid w:val="003B21F6"/>
    <w:rsid w:val="003B2EF6"/>
    <w:rsid w:val="003B3442"/>
    <w:rsid w:val="003B5539"/>
    <w:rsid w:val="003B5851"/>
    <w:rsid w:val="003B5E2F"/>
    <w:rsid w:val="003B78C4"/>
    <w:rsid w:val="003C19BD"/>
    <w:rsid w:val="003C5E61"/>
    <w:rsid w:val="003D0F7C"/>
    <w:rsid w:val="003D6949"/>
    <w:rsid w:val="003E0B09"/>
    <w:rsid w:val="003E0DB7"/>
    <w:rsid w:val="003E4178"/>
    <w:rsid w:val="003E638D"/>
    <w:rsid w:val="003E7EF5"/>
    <w:rsid w:val="003F05B5"/>
    <w:rsid w:val="003F1458"/>
    <w:rsid w:val="003F2301"/>
    <w:rsid w:val="003F2EA4"/>
    <w:rsid w:val="003F324D"/>
    <w:rsid w:val="003F438E"/>
    <w:rsid w:val="003F618B"/>
    <w:rsid w:val="003F70F7"/>
    <w:rsid w:val="00400EA7"/>
    <w:rsid w:val="004012AE"/>
    <w:rsid w:val="00401BD2"/>
    <w:rsid w:val="00404116"/>
    <w:rsid w:val="00405E52"/>
    <w:rsid w:val="00407147"/>
    <w:rsid w:val="004103CE"/>
    <w:rsid w:val="004105D0"/>
    <w:rsid w:val="00410F06"/>
    <w:rsid w:val="0041210D"/>
    <w:rsid w:val="00413C85"/>
    <w:rsid w:val="0041427B"/>
    <w:rsid w:val="00414F18"/>
    <w:rsid w:val="00416D5D"/>
    <w:rsid w:val="00417BD1"/>
    <w:rsid w:val="00420FA2"/>
    <w:rsid w:val="0042289D"/>
    <w:rsid w:val="0042502D"/>
    <w:rsid w:val="004312B5"/>
    <w:rsid w:val="004328F7"/>
    <w:rsid w:val="004337DB"/>
    <w:rsid w:val="00433819"/>
    <w:rsid w:val="00433E6C"/>
    <w:rsid w:val="004359D3"/>
    <w:rsid w:val="00435A13"/>
    <w:rsid w:val="00435D40"/>
    <w:rsid w:val="00435ED3"/>
    <w:rsid w:val="00440228"/>
    <w:rsid w:val="00440577"/>
    <w:rsid w:val="0044171B"/>
    <w:rsid w:val="004422FF"/>
    <w:rsid w:val="004429EE"/>
    <w:rsid w:val="00444B30"/>
    <w:rsid w:val="00444F2A"/>
    <w:rsid w:val="00445769"/>
    <w:rsid w:val="00445EB8"/>
    <w:rsid w:val="00450B42"/>
    <w:rsid w:val="00450EDA"/>
    <w:rsid w:val="0045183B"/>
    <w:rsid w:val="00451939"/>
    <w:rsid w:val="00451B82"/>
    <w:rsid w:val="00451FA8"/>
    <w:rsid w:val="00453330"/>
    <w:rsid w:val="00454E50"/>
    <w:rsid w:val="0045799D"/>
    <w:rsid w:val="0046257E"/>
    <w:rsid w:val="004628DC"/>
    <w:rsid w:val="00463ABB"/>
    <w:rsid w:val="00465D3C"/>
    <w:rsid w:val="004678FE"/>
    <w:rsid w:val="00473570"/>
    <w:rsid w:val="00477C22"/>
    <w:rsid w:val="00480430"/>
    <w:rsid w:val="00482A4B"/>
    <w:rsid w:val="00482B2A"/>
    <w:rsid w:val="00483286"/>
    <w:rsid w:val="00486148"/>
    <w:rsid w:val="00486DED"/>
    <w:rsid w:val="0049018B"/>
    <w:rsid w:val="004908DC"/>
    <w:rsid w:val="00491255"/>
    <w:rsid w:val="00492766"/>
    <w:rsid w:val="00492E83"/>
    <w:rsid w:val="00492FA2"/>
    <w:rsid w:val="004946DD"/>
    <w:rsid w:val="004A093B"/>
    <w:rsid w:val="004A0C33"/>
    <w:rsid w:val="004A144E"/>
    <w:rsid w:val="004A53A5"/>
    <w:rsid w:val="004A65C6"/>
    <w:rsid w:val="004B0D72"/>
    <w:rsid w:val="004B453A"/>
    <w:rsid w:val="004B6B9B"/>
    <w:rsid w:val="004B7A87"/>
    <w:rsid w:val="004C31CF"/>
    <w:rsid w:val="004C4D87"/>
    <w:rsid w:val="004C7DAE"/>
    <w:rsid w:val="004C7E66"/>
    <w:rsid w:val="004D15E1"/>
    <w:rsid w:val="004D26C7"/>
    <w:rsid w:val="004D4634"/>
    <w:rsid w:val="004D4872"/>
    <w:rsid w:val="004D5D99"/>
    <w:rsid w:val="004D70BC"/>
    <w:rsid w:val="004D7127"/>
    <w:rsid w:val="004E17D7"/>
    <w:rsid w:val="004E62C2"/>
    <w:rsid w:val="004E6F25"/>
    <w:rsid w:val="004F0FA2"/>
    <w:rsid w:val="004F11EF"/>
    <w:rsid w:val="004F1797"/>
    <w:rsid w:val="004F3BDB"/>
    <w:rsid w:val="004F4D28"/>
    <w:rsid w:val="004F5EEF"/>
    <w:rsid w:val="005015A2"/>
    <w:rsid w:val="00502041"/>
    <w:rsid w:val="00502A6C"/>
    <w:rsid w:val="00502CA1"/>
    <w:rsid w:val="00503954"/>
    <w:rsid w:val="00504542"/>
    <w:rsid w:val="005066EF"/>
    <w:rsid w:val="00506FCC"/>
    <w:rsid w:val="00522D24"/>
    <w:rsid w:val="0052572D"/>
    <w:rsid w:val="00526ACE"/>
    <w:rsid w:val="005319FA"/>
    <w:rsid w:val="00534435"/>
    <w:rsid w:val="00540734"/>
    <w:rsid w:val="00540BE7"/>
    <w:rsid w:val="005415A9"/>
    <w:rsid w:val="005469D2"/>
    <w:rsid w:val="0054726E"/>
    <w:rsid w:val="00550E5C"/>
    <w:rsid w:val="00552095"/>
    <w:rsid w:val="005538D9"/>
    <w:rsid w:val="005538E4"/>
    <w:rsid w:val="00553C27"/>
    <w:rsid w:val="005543CD"/>
    <w:rsid w:val="00554A91"/>
    <w:rsid w:val="00556874"/>
    <w:rsid w:val="00557E9E"/>
    <w:rsid w:val="00557FD4"/>
    <w:rsid w:val="00561CC1"/>
    <w:rsid w:val="00564843"/>
    <w:rsid w:val="005712D7"/>
    <w:rsid w:val="005736D9"/>
    <w:rsid w:val="00574529"/>
    <w:rsid w:val="005745B2"/>
    <w:rsid w:val="00582CD6"/>
    <w:rsid w:val="00590592"/>
    <w:rsid w:val="005908F0"/>
    <w:rsid w:val="0059200D"/>
    <w:rsid w:val="00592CC7"/>
    <w:rsid w:val="0059658A"/>
    <w:rsid w:val="00596EC7"/>
    <w:rsid w:val="005A03BC"/>
    <w:rsid w:val="005A0AE9"/>
    <w:rsid w:val="005A0D18"/>
    <w:rsid w:val="005A12BF"/>
    <w:rsid w:val="005A38FF"/>
    <w:rsid w:val="005A43BD"/>
    <w:rsid w:val="005A50C7"/>
    <w:rsid w:val="005A56AE"/>
    <w:rsid w:val="005A5D33"/>
    <w:rsid w:val="005B1B78"/>
    <w:rsid w:val="005B43B4"/>
    <w:rsid w:val="005B4520"/>
    <w:rsid w:val="005B48D0"/>
    <w:rsid w:val="005B4B1C"/>
    <w:rsid w:val="005B5096"/>
    <w:rsid w:val="005C0297"/>
    <w:rsid w:val="005C06BE"/>
    <w:rsid w:val="005C072F"/>
    <w:rsid w:val="005C07EB"/>
    <w:rsid w:val="005C3169"/>
    <w:rsid w:val="005C34AF"/>
    <w:rsid w:val="005D0588"/>
    <w:rsid w:val="005D299D"/>
    <w:rsid w:val="005D2E6E"/>
    <w:rsid w:val="005D3D85"/>
    <w:rsid w:val="005D5EC6"/>
    <w:rsid w:val="005D6902"/>
    <w:rsid w:val="005D6AB7"/>
    <w:rsid w:val="005E1033"/>
    <w:rsid w:val="005E1476"/>
    <w:rsid w:val="005E14EC"/>
    <w:rsid w:val="005E216B"/>
    <w:rsid w:val="005E2E61"/>
    <w:rsid w:val="005E3877"/>
    <w:rsid w:val="005E76DB"/>
    <w:rsid w:val="005E76E6"/>
    <w:rsid w:val="005E7A80"/>
    <w:rsid w:val="005F15B9"/>
    <w:rsid w:val="005F16FE"/>
    <w:rsid w:val="005F31FB"/>
    <w:rsid w:val="005F4041"/>
    <w:rsid w:val="00600425"/>
    <w:rsid w:val="006010A0"/>
    <w:rsid w:val="006010E3"/>
    <w:rsid w:val="00601C3C"/>
    <w:rsid w:val="00602F0D"/>
    <w:rsid w:val="00603D94"/>
    <w:rsid w:val="006065AF"/>
    <w:rsid w:val="00606C75"/>
    <w:rsid w:val="00607926"/>
    <w:rsid w:val="0061033C"/>
    <w:rsid w:val="00611BCE"/>
    <w:rsid w:val="006164B5"/>
    <w:rsid w:val="00616F54"/>
    <w:rsid w:val="006222BC"/>
    <w:rsid w:val="00627CD3"/>
    <w:rsid w:val="006343E2"/>
    <w:rsid w:val="006346C8"/>
    <w:rsid w:val="0063483B"/>
    <w:rsid w:val="00634859"/>
    <w:rsid w:val="0063621F"/>
    <w:rsid w:val="006365D9"/>
    <w:rsid w:val="0063709F"/>
    <w:rsid w:val="006378FD"/>
    <w:rsid w:val="00640D05"/>
    <w:rsid w:val="0064193B"/>
    <w:rsid w:val="00641A77"/>
    <w:rsid w:val="006436BB"/>
    <w:rsid w:val="00643B17"/>
    <w:rsid w:val="00643FE2"/>
    <w:rsid w:val="00644358"/>
    <w:rsid w:val="00646810"/>
    <w:rsid w:val="00646BA8"/>
    <w:rsid w:val="00651449"/>
    <w:rsid w:val="00655A81"/>
    <w:rsid w:val="00657305"/>
    <w:rsid w:val="00660792"/>
    <w:rsid w:val="0066115F"/>
    <w:rsid w:val="0066342C"/>
    <w:rsid w:val="00664E97"/>
    <w:rsid w:val="00670312"/>
    <w:rsid w:val="00670F30"/>
    <w:rsid w:val="00671704"/>
    <w:rsid w:val="0067320F"/>
    <w:rsid w:val="006768A9"/>
    <w:rsid w:val="00677498"/>
    <w:rsid w:val="00677ABA"/>
    <w:rsid w:val="006804D1"/>
    <w:rsid w:val="00681635"/>
    <w:rsid w:val="00685A85"/>
    <w:rsid w:val="00687483"/>
    <w:rsid w:val="00690F89"/>
    <w:rsid w:val="00691953"/>
    <w:rsid w:val="0069246E"/>
    <w:rsid w:val="00692D46"/>
    <w:rsid w:val="00692F6F"/>
    <w:rsid w:val="00693306"/>
    <w:rsid w:val="00693820"/>
    <w:rsid w:val="00694677"/>
    <w:rsid w:val="006956A3"/>
    <w:rsid w:val="006964D4"/>
    <w:rsid w:val="006967A5"/>
    <w:rsid w:val="006A1A39"/>
    <w:rsid w:val="006A23CC"/>
    <w:rsid w:val="006A4F5E"/>
    <w:rsid w:val="006A5AF9"/>
    <w:rsid w:val="006A6207"/>
    <w:rsid w:val="006B0D16"/>
    <w:rsid w:val="006B2B6B"/>
    <w:rsid w:val="006B3228"/>
    <w:rsid w:val="006B3F1D"/>
    <w:rsid w:val="006C0A45"/>
    <w:rsid w:val="006C3A6D"/>
    <w:rsid w:val="006C3B9B"/>
    <w:rsid w:val="006C3DE2"/>
    <w:rsid w:val="006C4107"/>
    <w:rsid w:val="006C6A00"/>
    <w:rsid w:val="006D1039"/>
    <w:rsid w:val="006D3324"/>
    <w:rsid w:val="006D458D"/>
    <w:rsid w:val="006D6480"/>
    <w:rsid w:val="006D738D"/>
    <w:rsid w:val="006D73B3"/>
    <w:rsid w:val="006D76C6"/>
    <w:rsid w:val="006E0ADE"/>
    <w:rsid w:val="006E12D0"/>
    <w:rsid w:val="006E1B40"/>
    <w:rsid w:val="006E1CF2"/>
    <w:rsid w:val="006E20CA"/>
    <w:rsid w:val="006E2241"/>
    <w:rsid w:val="006E2EB2"/>
    <w:rsid w:val="006E3090"/>
    <w:rsid w:val="006F0F50"/>
    <w:rsid w:val="006F10EB"/>
    <w:rsid w:val="006F1383"/>
    <w:rsid w:val="006F2680"/>
    <w:rsid w:val="006F5ADC"/>
    <w:rsid w:val="006F6BB7"/>
    <w:rsid w:val="006F6F43"/>
    <w:rsid w:val="0070169B"/>
    <w:rsid w:val="00701ABC"/>
    <w:rsid w:val="0070287A"/>
    <w:rsid w:val="00703F96"/>
    <w:rsid w:val="00706ED8"/>
    <w:rsid w:val="007138AD"/>
    <w:rsid w:val="00714753"/>
    <w:rsid w:val="00714781"/>
    <w:rsid w:val="00716512"/>
    <w:rsid w:val="00716E92"/>
    <w:rsid w:val="00717ED1"/>
    <w:rsid w:val="00723211"/>
    <w:rsid w:val="00723FFF"/>
    <w:rsid w:val="0072403D"/>
    <w:rsid w:val="00724CC2"/>
    <w:rsid w:val="0072582F"/>
    <w:rsid w:val="0072599F"/>
    <w:rsid w:val="00725C4C"/>
    <w:rsid w:val="00727491"/>
    <w:rsid w:val="00730659"/>
    <w:rsid w:val="00730AE3"/>
    <w:rsid w:val="0073310A"/>
    <w:rsid w:val="007405EE"/>
    <w:rsid w:val="00741936"/>
    <w:rsid w:val="00741EF3"/>
    <w:rsid w:val="00747647"/>
    <w:rsid w:val="00747846"/>
    <w:rsid w:val="007501BF"/>
    <w:rsid w:val="007501DC"/>
    <w:rsid w:val="0075098A"/>
    <w:rsid w:val="00750E53"/>
    <w:rsid w:val="007535B3"/>
    <w:rsid w:val="00754496"/>
    <w:rsid w:val="00755194"/>
    <w:rsid w:val="00761887"/>
    <w:rsid w:val="00762CA5"/>
    <w:rsid w:val="0076489B"/>
    <w:rsid w:val="00766414"/>
    <w:rsid w:val="00767CC3"/>
    <w:rsid w:val="007712D3"/>
    <w:rsid w:val="00772C08"/>
    <w:rsid w:val="00774617"/>
    <w:rsid w:val="0077614B"/>
    <w:rsid w:val="00780351"/>
    <w:rsid w:val="00781036"/>
    <w:rsid w:val="00786379"/>
    <w:rsid w:val="007872B7"/>
    <w:rsid w:val="007910D6"/>
    <w:rsid w:val="007935D4"/>
    <w:rsid w:val="00794218"/>
    <w:rsid w:val="00794395"/>
    <w:rsid w:val="00794F99"/>
    <w:rsid w:val="00797500"/>
    <w:rsid w:val="007A03FF"/>
    <w:rsid w:val="007A1C70"/>
    <w:rsid w:val="007A3677"/>
    <w:rsid w:val="007A3696"/>
    <w:rsid w:val="007A58E0"/>
    <w:rsid w:val="007A59AD"/>
    <w:rsid w:val="007A743E"/>
    <w:rsid w:val="007A759E"/>
    <w:rsid w:val="007B03A6"/>
    <w:rsid w:val="007B06B3"/>
    <w:rsid w:val="007B175C"/>
    <w:rsid w:val="007B1C08"/>
    <w:rsid w:val="007B2155"/>
    <w:rsid w:val="007B2968"/>
    <w:rsid w:val="007B44B4"/>
    <w:rsid w:val="007C1F22"/>
    <w:rsid w:val="007C22B4"/>
    <w:rsid w:val="007C3600"/>
    <w:rsid w:val="007C45D4"/>
    <w:rsid w:val="007C4B88"/>
    <w:rsid w:val="007C55EA"/>
    <w:rsid w:val="007C5CDC"/>
    <w:rsid w:val="007C6B91"/>
    <w:rsid w:val="007C79D3"/>
    <w:rsid w:val="007D097B"/>
    <w:rsid w:val="007D4436"/>
    <w:rsid w:val="007D4C80"/>
    <w:rsid w:val="007D7F35"/>
    <w:rsid w:val="007E4152"/>
    <w:rsid w:val="007E5DA1"/>
    <w:rsid w:val="007E615D"/>
    <w:rsid w:val="007F15E2"/>
    <w:rsid w:val="007F5E4E"/>
    <w:rsid w:val="007F77E7"/>
    <w:rsid w:val="007F79B9"/>
    <w:rsid w:val="00800ECF"/>
    <w:rsid w:val="00801076"/>
    <w:rsid w:val="0080225C"/>
    <w:rsid w:val="00802A37"/>
    <w:rsid w:val="00803760"/>
    <w:rsid w:val="008064F8"/>
    <w:rsid w:val="008072E3"/>
    <w:rsid w:val="008122E2"/>
    <w:rsid w:val="008126A4"/>
    <w:rsid w:val="0081564A"/>
    <w:rsid w:val="00816350"/>
    <w:rsid w:val="00820F21"/>
    <w:rsid w:val="00821305"/>
    <w:rsid w:val="0082265C"/>
    <w:rsid w:val="00822D81"/>
    <w:rsid w:val="00823FD0"/>
    <w:rsid w:val="0082568E"/>
    <w:rsid w:val="00825AF4"/>
    <w:rsid w:val="00825D03"/>
    <w:rsid w:val="00827AEB"/>
    <w:rsid w:val="00827D2D"/>
    <w:rsid w:val="0083040F"/>
    <w:rsid w:val="00830475"/>
    <w:rsid w:val="00830C1D"/>
    <w:rsid w:val="00832415"/>
    <w:rsid w:val="00832F50"/>
    <w:rsid w:val="008338EC"/>
    <w:rsid w:val="00834C7A"/>
    <w:rsid w:val="008350A5"/>
    <w:rsid w:val="00837A29"/>
    <w:rsid w:val="00841156"/>
    <w:rsid w:val="00841A39"/>
    <w:rsid w:val="00842017"/>
    <w:rsid w:val="008420C1"/>
    <w:rsid w:val="00853C73"/>
    <w:rsid w:val="00853CBF"/>
    <w:rsid w:val="008635D5"/>
    <w:rsid w:val="008637CF"/>
    <w:rsid w:val="0086415A"/>
    <w:rsid w:val="00864693"/>
    <w:rsid w:val="00864CAD"/>
    <w:rsid w:val="008667AB"/>
    <w:rsid w:val="00872310"/>
    <w:rsid w:val="00873935"/>
    <w:rsid w:val="00873C05"/>
    <w:rsid w:val="00876255"/>
    <w:rsid w:val="0088122F"/>
    <w:rsid w:val="0088153D"/>
    <w:rsid w:val="0088278A"/>
    <w:rsid w:val="00883257"/>
    <w:rsid w:val="008835E0"/>
    <w:rsid w:val="0088438B"/>
    <w:rsid w:val="008846BD"/>
    <w:rsid w:val="00884D0A"/>
    <w:rsid w:val="008851C2"/>
    <w:rsid w:val="00885544"/>
    <w:rsid w:val="00885738"/>
    <w:rsid w:val="00886CC4"/>
    <w:rsid w:val="00887891"/>
    <w:rsid w:val="00893093"/>
    <w:rsid w:val="00893CD2"/>
    <w:rsid w:val="00897A98"/>
    <w:rsid w:val="008A15E9"/>
    <w:rsid w:val="008A3E4A"/>
    <w:rsid w:val="008A4343"/>
    <w:rsid w:val="008A462E"/>
    <w:rsid w:val="008A4807"/>
    <w:rsid w:val="008A7C62"/>
    <w:rsid w:val="008B0A45"/>
    <w:rsid w:val="008B3B75"/>
    <w:rsid w:val="008C1639"/>
    <w:rsid w:val="008C58F5"/>
    <w:rsid w:val="008C71F7"/>
    <w:rsid w:val="008D06EF"/>
    <w:rsid w:val="008D124A"/>
    <w:rsid w:val="008D19BB"/>
    <w:rsid w:val="008D231D"/>
    <w:rsid w:val="008D6448"/>
    <w:rsid w:val="008D7D80"/>
    <w:rsid w:val="008E03EA"/>
    <w:rsid w:val="008E10CB"/>
    <w:rsid w:val="008E5264"/>
    <w:rsid w:val="008F16B2"/>
    <w:rsid w:val="008F20CD"/>
    <w:rsid w:val="008F372D"/>
    <w:rsid w:val="008F462D"/>
    <w:rsid w:val="008F7145"/>
    <w:rsid w:val="00901125"/>
    <w:rsid w:val="00901931"/>
    <w:rsid w:val="0090256D"/>
    <w:rsid w:val="009071FF"/>
    <w:rsid w:val="00911DFC"/>
    <w:rsid w:val="00912BF0"/>
    <w:rsid w:val="009227A9"/>
    <w:rsid w:val="00922936"/>
    <w:rsid w:val="0092434C"/>
    <w:rsid w:val="00925D3D"/>
    <w:rsid w:val="00925EEA"/>
    <w:rsid w:val="009275A6"/>
    <w:rsid w:val="00931CBE"/>
    <w:rsid w:val="00933D58"/>
    <w:rsid w:val="00937640"/>
    <w:rsid w:val="009377A7"/>
    <w:rsid w:val="00940925"/>
    <w:rsid w:val="00945E11"/>
    <w:rsid w:val="00951F4E"/>
    <w:rsid w:val="00952A3F"/>
    <w:rsid w:val="00961D32"/>
    <w:rsid w:val="00962266"/>
    <w:rsid w:val="00970310"/>
    <w:rsid w:val="00971A41"/>
    <w:rsid w:val="00971F8B"/>
    <w:rsid w:val="00972089"/>
    <w:rsid w:val="00975611"/>
    <w:rsid w:val="0098196A"/>
    <w:rsid w:val="0098222A"/>
    <w:rsid w:val="00982E5D"/>
    <w:rsid w:val="0098413A"/>
    <w:rsid w:val="0098458D"/>
    <w:rsid w:val="00986E0B"/>
    <w:rsid w:val="00987D5C"/>
    <w:rsid w:val="009906A6"/>
    <w:rsid w:val="00990740"/>
    <w:rsid w:val="00993CA4"/>
    <w:rsid w:val="009946B4"/>
    <w:rsid w:val="009957B1"/>
    <w:rsid w:val="00995D3B"/>
    <w:rsid w:val="009A08BD"/>
    <w:rsid w:val="009A0C3E"/>
    <w:rsid w:val="009A0DB6"/>
    <w:rsid w:val="009A0F44"/>
    <w:rsid w:val="009A23C8"/>
    <w:rsid w:val="009B23A0"/>
    <w:rsid w:val="009B78B1"/>
    <w:rsid w:val="009C02F4"/>
    <w:rsid w:val="009C0581"/>
    <w:rsid w:val="009C0E2D"/>
    <w:rsid w:val="009C5A4B"/>
    <w:rsid w:val="009C624F"/>
    <w:rsid w:val="009C64E4"/>
    <w:rsid w:val="009C68A0"/>
    <w:rsid w:val="009C6CBE"/>
    <w:rsid w:val="009D4D2F"/>
    <w:rsid w:val="009D4DC7"/>
    <w:rsid w:val="009D5139"/>
    <w:rsid w:val="009E1B3B"/>
    <w:rsid w:val="009E3D94"/>
    <w:rsid w:val="009F0360"/>
    <w:rsid w:val="009F18B6"/>
    <w:rsid w:val="009F3451"/>
    <w:rsid w:val="009F36D1"/>
    <w:rsid w:val="009F42F6"/>
    <w:rsid w:val="009F4E0C"/>
    <w:rsid w:val="009F60DC"/>
    <w:rsid w:val="009F6281"/>
    <w:rsid w:val="009F6B1D"/>
    <w:rsid w:val="00A006F9"/>
    <w:rsid w:val="00A02271"/>
    <w:rsid w:val="00A053A8"/>
    <w:rsid w:val="00A1198A"/>
    <w:rsid w:val="00A13812"/>
    <w:rsid w:val="00A14B9A"/>
    <w:rsid w:val="00A16DD5"/>
    <w:rsid w:val="00A21C4E"/>
    <w:rsid w:val="00A222C9"/>
    <w:rsid w:val="00A2232B"/>
    <w:rsid w:val="00A223F1"/>
    <w:rsid w:val="00A237C8"/>
    <w:rsid w:val="00A25CFF"/>
    <w:rsid w:val="00A30001"/>
    <w:rsid w:val="00A31E6E"/>
    <w:rsid w:val="00A322E2"/>
    <w:rsid w:val="00A334B7"/>
    <w:rsid w:val="00A3355D"/>
    <w:rsid w:val="00A3364C"/>
    <w:rsid w:val="00A37A85"/>
    <w:rsid w:val="00A424D8"/>
    <w:rsid w:val="00A43723"/>
    <w:rsid w:val="00A43743"/>
    <w:rsid w:val="00A44B75"/>
    <w:rsid w:val="00A4685C"/>
    <w:rsid w:val="00A47970"/>
    <w:rsid w:val="00A51ED6"/>
    <w:rsid w:val="00A523B7"/>
    <w:rsid w:val="00A52559"/>
    <w:rsid w:val="00A52581"/>
    <w:rsid w:val="00A52EF9"/>
    <w:rsid w:val="00A534E6"/>
    <w:rsid w:val="00A53610"/>
    <w:rsid w:val="00A54017"/>
    <w:rsid w:val="00A54A5F"/>
    <w:rsid w:val="00A559CE"/>
    <w:rsid w:val="00A57637"/>
    <w:rsid w:val="00A57981"/>
    <w:rsid w:val="00A604AB"/>
    <w:rsid w:val="00A63863"/>
    <w:rsid w:val="00A643F4"/>
    <w:rsid w:val="00A65F2B"/>
    <w:rsid w:val="00A65FF2"/>
    <w:rsid w:val="00A6626F"/>
    <w:rsid w:val="00A71979"/>
    <w:rsid w:val="00A72BDE"/>
    <w:rsid w:val="00A740E2"/>
    <w:rsid w:val="00A76FF1"/>
    <w:rsid w:val="00A80727"/>
    <w:rsid w:val="00A80916"/>
    <w:rsid w:val="00A81AB7"/>
    <w:rsid w:val="00A82831"/>
    <w:rsid w:val="00A82AC1"/>
    <w:rsid w:val="00A84D38"/>
    <w:rsid w:val="00A85BDD"/>
    <w:rsid w:val="00A867E3"/>
    <w:rsid w:val="00A86CE9"/>
    <w:rsid w:val="00A936BE"/>
    <w:rsid w:val="00A940B2"/>
    <w:rsid w:val="00A95376"/>
    <w:rsid w:val="00A953A0"/>
    <w:rsid w:val="00A9542D"/>
    <w:rsid w:val="00A974EA"/>
    <w:rsid w:val="00AA0CC9"/>
    <w:rsid w:val="00AA28A2"/>
    <w:rsid w:val="00AA3EE3"/>
    <w:rsid w:val="00AA4A64"/>
    <w:rsid w:val="00AA592A"/>
    <w:rsid w:val="00AA5F2C"/>
    <w:rsid w:val="00AB3271"/>
    <w:rsid w:val="00AB3A38"/>
    <w:rsid w:val="00AB550E"/>
    <w:rsid w:val="00AC10C1"/>
    <w:rsid w:val="00AC4BAA"/>
    <w:rsid w:val="00AC5C90"/>
    <w:rsid w:val="00AC6C04"/>
    <w:rsid w:val="00AC6C72"/>
    <w:rsid w:val="00AC7982"/>
    <w:rsid w:val="00AC7A23"/>
    <w:rsid w:val="00AD140D"/>
    <w:rsid w:val="00AD486E"/>
    <w:rsid w:val="00AD4DC4"/>
    <w:rsid w:val="00AD529C"/>
    <w:rsid w:val="00AD7F09"/>
    <w:rsid w:val="00AE118D"/>
    <w:rsid w:val="00AE2C47"/>
    <w:rsid w:val="00AE399E"/>
    <w:rsid w:val="00AE4C9A"/>
    <w:rsid w:val="00AE541C"/>
    <w:rsid w:val="00AE5A1B"/>
    <w:rsid w:val="00AE74D7"/>
    <w:rsid w:val="00AF0433"/>
    <w:rsid w:val="00AF05DF"/>
    <w:rsid w:val="00AF32DC"/>
    <w:rsid w:val="00AF5A63"/>
    <w:rsid w:val="00AF656C"/>
    <w:rsid w:val="00AF7D72"/>
    <w:rsid w:val="00B04461"/>
    <w:rsid w:val="00B05D7F"/>
    <w:rsid w:val="00B108AC"/>
    <w:rsid w:val="00B1205E"/>
    <w:rsid w:val="00B12572"/>
    <w:rsid w:val="00B1271F"/>
    <w:rsid w:val="00B14E99"/>
    <w:rsid w:val="00B15FF6"/>
    <w:rsid w:val="00B16736"/>
    <w:rsid w:val="00B2235E"/>
    <w:rsid w:val="00B23FB6"/>
    <w:rsid w:val="00B306FE"/>
    <w:rsid w:val="00B31CC6"/>
    <w:rsid w:val="00B31E16"/>
    <w:rsid w:val="00B35844"/>
    <w:rsid w:val="00B37D91"/>
    <w:rsid w:val="00B416F4"/>
    <w:rsid w:val="00B536BB"/>
    <w:rsid w:val="00B56A54"/>
    <w:rsid w:val="00B57E68"/>
    <w:rsid w:val="00B60753"/>
    <w:rsid w:val="00B629A4"/>
    <w:rsid w:val="00B63199"/>
    <w:rsid w:val="00B6352B"/>
    <w:rsid w:val="00B66629"/>
    <w:rsid w:val="00B66AA5"/>
    <w:rsid w:val="00B66FE0"/>
    <w:rsid w:val="00B70441"/>
    <w:rsid w:val="00B71803"/>
    <w:rsid w:val="00B75C1F"/>
    <w:rsid w:val="00B76940"/>
    <w:rsid w:val="00B77CB1"/>
    <w:rsid w:val="00B83FE8"/>
    <w:rsid w:val="00B84F5B"/>
    <w:rsid w:val="00B869BB"/>
    <w:rsid w:val="00B953A8"/>
    <w:rsid w:val="00B96E2B"/>
    <w:rsid w:val="00B9718B"/>
    <w:rsid w:val="00BA2309"/>
    <w:rsid w:val="00BA4676"/>
    <w:rsid w:val="00BA479A"/>
    <w:rsid w:val="00BA492A"/>
    <w:rsid w:val="00BA5EDB"/>
    <w:rsid w:val="00BA6AC6"/>
    <w:rsid w:val="00BB36E4"/>
    <w:rsid w:val="00BB41D0"/>
    <w:rsid w:val="00BB43F0"/>
    <w:rsid w:val="00BB61FB"/>
    <w:rsid w:val="00BB6AD4"/>
    <w:rsid w:val="00BC46E3"/>
    <w:rsid w:val="00BC5090"/>
    <w:rsid w:val="00BC7965"/>
    <w:rsid w:val="00BD314D"/>
    <w:rsid w:val="00BD3F5A"/>
    <w:rsid w:val="00BD55E3"/>
    <w:rsid w:val="00BD5E3A"/>
    <w:rsid w:val="00BD5EF5"/>
    <w:rsid w:val="00BD6574"/>
    <w:rsid w:val="00BD67AC"/>
    <w:rsid w:val="00BD756B"/>
    <w:rsid w:val="00BE0BAD"/>
    <w:rsid w:val="00BE24E2"/>
    <w:rsid w:val="00BE2DFC"/>
    <w:rsid w:val="00BE4337"/>
    <w:rsid w:val="00BE51D7"/>
    <w:rsid w:val="00BE5B68"/>
    <w:rsid w:val="00BE5D65"/>
    <w:rsid w:val="00BF0B29"/>
    <w:rsid w:val="00BF2872"/>
    <w:rsid w:val="00BF2911"/>
    <w:rsid w:val="00BF333D"/>
    <w:rsid w:val="00C0174A"/>
    <w:rsid w:val="00C03E0B"/>
    <w:rsid w:val="00C06ECD"/>
    <w:rsid w:val="00C070F1"/>
    <w:rsid w:val="00C13999"/>
    <w:rsid w:val="00C149CB"/>
    <w:rsid w:val="00C15463"/>
    <w:rsid w:val="00C22124"/>
    <w:rsid w:val="00C225D5"/>
    <w:rsid w:val="00C22CDB"/>
    <w:rsid w:val="00C24195"/>
    <w:rsid w:val="00C24652"/>
    <w:rsid w:val="00C25A9D"/>
    <w:rsid w:val="00C25D35"/>
    <w:rsid w:val="00C33746"/>
    <w:rsid w:val="00C339EA"/>
    <w:rsid w:val="00C37509"/>
    <w:rsid w:val="00C3788D"/>
    <w:rsid w:val="00C42DA2"/>
    <w:rsid w:val="00C506A7"/>
    <w:rsid w:val="00C52026"/>
    <w:rsid w:val="00C52F22"/>
    <w:rsid w:val="00C5509B"/>
    <w:rsid w:val="00C607BA"/>
    <w:rsid w:val="00C610AB"/>
    <w:rsid w:val="00C62168"/>
    <w:rsid w:val="00C62369"/>
    <w:rsid w:val="00C6244C"/>
    <w:rsid w:val="00C62BC2"/>
    <w:rsid w:val="00C639D0"/>
    <w:rsid w:val="00C64E72"/>
    <w:rsid w:val="00C6539D"/>
    <w:rsid w:val="00C65B8A"/>
    <w:rsid w:val="00C6789B"/>
    <w:rsid w:val="00C702FC"/>
    <w:rsid w:val="00C705DF"/>
    <w:rsid w:val="00C81241"/>
    <w:rsid w:val="00C82CBA"/>
    <w:rsid w:val="00C85BD5"/>
    <w:rsid w:val="00C87593"/>
    <w:rsid w:val="00C879CB"/>
    <w:rsid w:val="00C87B18"/>
    <w:rsid w:val="00C94145"/>
    <w:rsid w:val="00CA1E05"/>
    <w:rsid w:val="00CA42E2"/>
    <w:rsid w:val="00CA5309"/>
    <w:rsid w:val="00CB00CC"/>
    <w:rsid w:val="00CB116E"/>
    <w:rsid w:val="00CB1A88"/>
    <w:rsid w:val="00CB39E6"/>
    <w:rsid w:val="00CB3E60"/>
    <w:rsid w:val="00CB490F"/>
    <w:rsid w:val="00CB5AF1"/>
    <w:rsid w:val="00CB5DC8"/>
    <w:rsid w:val="00CC109B"/>
    <w:rsid w:val="00CC1F6A"/>
    <w:rsid w:val="00CC283D"/>
    <w:rsid w:val="00CC3644"/>
    <w:rsid w:val="00CC5715"/>
    <w:rsid w:val="00CC7709"/>
    <w:rsid w:val="00CC775A"/>
    <w:rsid w:val="00CD2A6C"/>
    <w:rsid w:val="00CD4B56"/>
    <w:rsid w:val="00CD546E"/>
    <w:rsid w:val="00CD6340"/>
    <w:rsid w:val="00CD69BB"/>
    <w:rsid w:val="00CE0502"/>
    <w:rsid w:val="00CE1160"/>
    <w:rsid w:val="00CE1F9E"/>
    <w:rsid w:val="00CE285C"/>
    <w:rsid w:val="00CE375E"/>
    <w:rsid w:val="00CE3C9D"/>
    <w:rsid w:val="00CE426B"/>
    <w:rsid w:val="00CE4446"/>
    <w:rsid w:val="00CE606B"/>
    <w:rsid w:val="00CE6E2B"/>
    <w:rsid w:val="00CF5B4B"/>
    <w:rsid w:val="00CF677B"/>
    <w:rsid w:val="00CF6C7A"/>
    <w:rsid w:val="00CF6D03"/>
    <w:rsid w:val="00CF6EA3"/>
    <w:rsid w:val="00CF712A"/>
    <w:rsid w:val="00D0343A"/>
    <w:rsid w:val="00D035D3"/>
    <w:rsid w:val="00D03F36"/>
    <w:rsid w:val="00D05C4C"/>
    <w:rsid w:val="00D10244"/>
    <w:rsid w:val="00D11469"/>
    <w:rsid w:val="00D21846"/>
    <w:rsid w:val="00D23E63"/>
    <w:rsid w:val="00D30647"/>
    <w:rsid w:val="00D328D6"/>
    <w:rsid w:val="00D32ECF"/>
    <w:rsid w:val="00D34076"/>
    <w:rsid w:val="00D35D30"/>
    <w:rsid w:val="00D378F1"/>
    <w:rsid w:val="00D40610"/>
    <w:rsid w:val="00D41EAF"/>
    <w:rsid w:val="00D453E8"/>
    <w:rsid w:val="00D53D36"/>
    <w:rsid w:val="00D60852"/>
    <w:rsid w:val="00D619DE"/>
    <w:rsid w:val="00D62DE5"/>
    <w:rsid w:val="00D62E13"/>
    <w:rsid w:val="00D630F4"/>
    <w:rsid w:val="00D64616"/>
    <w:rsid w:val="00D6467D"/>
    <w:rsid w:val="00D65BA8"/>
    <w:rsid w:val="00D66290"/>
    <w:rsid w:val="00D67E6B"/>
    <w:rsid w:val="00D67F6E"/>
    <w:rsid w:val="00D703CA"/>
    <w:rsid w:val="00D72D18"/>
    <w:rsid w:val="00D80358"/>
    <w:rsid w:val="00D83EE0"/>
    <w:rsid w:val="00D84B8E"/>
    <w:rsid w:val="00D84C9C"/>
    <w:rsid w:val="00D914DB"/>
    <w:rsid w:val="00D93C5C"/>
    <w:rsid w:val="00D94574"/>
    <w:rsid w:val="00D95885"/>
    <w:rsid w:val="00D95F47"/>
    <w:rsid w:val="00D96281"/>
    <w:rsid w:val="00DB07CD"/>
    <w:rsid w:val="00DB2948"/>
    <w:rsid w:val="00DB2F31"/>
    <w:rsid w:val="00DB3779"/>
    <w:rsid w:val="00DB59E0"/>
    <w:rsid w:val="00DB64C5"/>
    <w:rsid w:val="00DB7339"/>
    <w:rsid w:val="00DC0BA1"/>
    <w:rsid w:val="00DC2D2E"/>
    <w:rsid w:val="00DC4B0D"/>
    <w:rsid w:val="00DC500B"/>
    <w:rsid w:val="00DC5895"/>
    <w:rsid w:val="00DC70FA"/>
    <w:rsid w:val="00DC71DB"/>
    <w:rsid w:val="00DC73E6"/>
    <w:rsid w:val="00DD28F9"/>
    <w:rsid w:val="00DD324E"/>
    <w:rsid w:val="00DD4F75"/>
    <w:rsid w:val="00DD5488"/>
    <w:rsid w:val="00DD6018"/>
    <w:rsid w:val="00DE153E"/>
    <w:rsid w:val="00DE3415"/>
    <w:rsid w:val="00DE4EAB"/>
    <w:rsid w:val="00DE746E"/>
    <w:rsid w:val="00DF04CD"/>
    <w:rsid w:val="00DF0883"/>
    <w:rsid w:val="00DF13DF"/>
    <w:rsid w:val="00DF30DD"/>
    <w:rsid w:val="00DF4D4C"/>
    <w:rsid w:val="00DF4D5D"/>
    <w:rsid w:val="00E0056B"/>
    <w:rsid w:val="00E00C8A"/>
    <w:rsid w:val="00E00DDC"/>
    <w:rsid w:val="00E048AF"/>
    <w:rsid w:val="00E10C2B"/>
    <w:rsid w:val="00E11D3E"/>
    <w:rsid w:val="00E13A3E"/>
    <w:rsid w:val="00E15648"/>
    <w:rsid w:val="00E16149"/>
    <w:rsid w:val="00E1615D"/>
    <w:rsid w:val="00E16741"/>
    <w:rsid w:val="00E17CF7"/>
    <w:rsid w:val="00E235E2"/>
    <w:rsid w:val="00E239C3"/>
    <w:rsid w:val="00E246B8"/>
    <w:rsid w:val="00E24E30"/>
    <w:rsid w:val="00E25AF1"/>
    <w:rsid w:val="00E3057F"/>
    <w:rsid w:val="00E318F8"/>
    <w:rsid w:val="00E3190D"/>
    <w:rsid w:val="00E31B18"/>
    <w:rsid w:val="00E34FFA"/>
    <w:rsid w:val="00E3518F"/>
    <w:rsid w:val="00E370D0"/>
    <w:rsid w:val="00E3715C"/>
    <w:rsid w:val="00E40B71"/>
    <w:rsid w:val="00E43287"/>
    <w:rsid w:val="00E437FB"/>
    <w:rsid w:val="00E44896"/>
    <w:rsid w:val="00E44EC2"/>
    <w:rsid w:val="00E46FB6"/>
    <w:rsid w:val="00E47DC3"/>
    <w:rsid w:val="00E511A7"/>
    <w:rsid w:val="00E54F77"/>
    <w:rsid w:val="00E57161"/>
    <w:rsid w:val="00E571E3"/>
    <w:rsid w:val="00E57E47"/>
    <w:rsid w:val="00E601EE"/>
    <w:rsid w:val="00E60D0B"/>
    <w:rsid w:val="00E64604"/>
    <w:rsid w:val="00E67EA6"/>
    <w:rsid w:val="00E70D8C"/>
    <w:rsid w:val="00E72903"/>
    <w:rsid w:val="00E73577"/>
    <w:rsid w:val="00E76659"/>
    <w:rsid w:val="00E776E0"/>
    <w:rsid w:val="00E84F18"/>
    <w:rsid w:val="00E859FB"/>
    <w:rsid w:val="00E8624F"/>
    <w:rsid w:val="00E91CAE"/>
    <w:rsid w:val="00E92766"/>
    <w:rsid w:val="00E9513E"/>
    <w:rsid w:val="00E95B81"/>
    <w:rsid w:val="00EA17D6"/>
    <w:rsid w:val="00EA2238"/>
    <w:rsid w:val="00EA4C9D"/>
    <w:rsid w:val="00EA5CF4"/>
    <w:rsid w:val="00EA7DBF"/>
    <w:rsid w:val="00EA7F85"/>
    <w:rsid w:val="00EB382F"/>
    <w:rsid w:val="00EB3837"/>
    <w:rsid w:val="00EB4566"/>
    <w:rsid w:val="00EB7FE4"/>
    <w:rsid w:val="00EC0FAA"/>
    <w:rsid w:val="00EC1167"/>
    <w:rsid w:val="00EC2989"/>
    <w:rsid w:val="00EC3912"/>
    <w:rsid w:val="00EC465D"/>
    <w:rsid w:val="00EC5EF0"/>
    <w:rsid w:val="00EC6AE2"/>
    <w:rsid w:val="00ED134A"/>
    <w:rsid w:val="00ED1FE0"/>
    <w:rsid w:val="00ED2D06"/>
    <w:rsid w:val="00ED40AA"/>
    <w:rsid w:val="00ED6EB7"/>
    <w:rsid w:val="00EE0609"/>
    <w:rsid w:val="00EE0D38"/>
    <w:rsid w:val="00EE3014"/>
    <w:rsid w:val="00EE5403"/>
    <w:rsid w:val="00EE6119"/>
    <w:rsid w:val="00EE6AE7"/>
    <w:rsid w:val="00EE7331"/>
    <w:rsid w:val="00EE7E76"/>
    <w:rsid w:val="00EF3C7B"/>
    <w:rsid w:val="00EF5406"/>
    <w:rsid w:val="00EF6C15"/>
    <w:rsid w:val="00F004D9"/>
    <w:rsid w:val="00F0074A"/>
    <w:rsid w:val="00F0211F"/>
    <w:rsid w:val="00F023DF"/>
    <w:rsid w:val="00F05FC4"/>
    <w:rsid w:val="00F10447"/>
    <w:rsid w:val="00F12873"/>
    <w:rsid w:val="00F13282"/>
    <w:rsid w:val="00F23B8D"/>
    <w:rsid w:val="00F24066"/>
    <w:rsid w:val="00F252B6"/>
    <w:rsid w:val="00F25B2F"/>
    <w:rsid w:val="00F25C3A"/>
    <w:rsid w:val="00F266B3"/>
    <w:rsid w:val="00F26FE6"/>
    <w:rsid w:val="00F27A4A"/>
    <w:rsid w:val="00F27A5B"/>
    <w:rsid w:val="00F3066D"/>
    <w:rsid w:val="00F30895"/>
    <w:rsid w:val="00F308F3"/>
    <w:rsid w:val="00F30E18"/>
    <w:rsid w:val="00F31186"/>
    <w:rsid w:val="00F350AA"/>
    <w:rsid w:val="00F40FD0"/>
    <w:rsid w:val="00F43DE4"/>
    <w:rsid w:val="00F445B8"/>
    <w:rsid w:val="00F452FE"/>
    <w:rsid w:val="00F46777"/>
    <w:rsid w:val="00F4678E"/>
    <w:rsid w:val="00F470C2"/>
    <w:rsid w:val="00F471E8"/>
    <w:rsid w:val="00F4772B"/>
    <w:rsid w:val="00F47917"/>
    <w:rsid w:val="00F52CC9"/>
    <w:rsid w:val="00F562D9"/>
    <w:rsid w:val="00F6030B"/>
    <w:rsid w:val="00F6126F"/>
    <w:rsid w:val="00F61CAA"/>
    <w:rsid w:val="00F6245B"/>
    <w:rsid w:val="00F63288"/>
    <w:rsid w:val="00F651FF"/>
    <w:rsid w:val="00F657F6"/>
    <w:rsid w:val="00F65A3E"/>
    <w:rsid w:val="00F7012D"/>
    <w:rsid w:val="00F75441"/>
    <w:rsid w:val="00F757D1"/>
    <w:rsid w:val="00F808BC"/>
    <w:rsid w:val="00F814E1"/>
    <w:rsid w:val="00F8242B"/>
    <w:rsid w:val="00F8274B"/>
    <w:rsid w:val="00F83843"/>
    <w:rsid w:val="00F86573"/>
    <w:rsid w:val="00F8685C"/>
    <w:rsid w:val="00F93E87"/>
    <w:rsid w:val="00F965BE"/>
    <w:rsid w:val="00FA0BEC"/>
    <w:rsid w:val="00FA4791"/>
    <w:rsid w:val="00FA537F"/>
    <w:rsid w:val="00FA5F7F"/>
    <w:rsid w:val="00FB03F4"/>
    <w:rsid w:val="00FB1723"/>
    <w:rsid w:val="00FB20F7"/>
    <w:rsid w:val="00FB23F7"/>
    <w:rsid w:val="00FB3C09"/>
    <w:rsid w:val="00FB3FBF"/>
    <w:rsid w:val="00FC242F"/>
    <w:rsid w:val="00FC30B9"/>
    <w:rsid w:val="00FC37A5"/>
    <w:rsid w:val="00FC3CD0"/>
    <w:rsid w:val="00FC50DF"/>
    <w:rsid w:val="00FC713F"/>
    <w:rsid w:val="00FC7DDB"/>
    <w:rsid w:val="00FD000F"/>
    <w:rsid w:val="00FD125D"/>
    <w:rsid w:val="00FD1A16"/>
    <w:rsid w:val="00FD3E60"/>
    <w:rsid w:val="00FD4C14"/>
    <w:rsid w:val="00FE01CC"/>
    <w:rsid w:val="00FE02A5"/>
    <w:rsid w:val="00FE04EB"/>
    <w:rsid w:val="00FE04FC"/>
    <w:rsid w:val="00FE3301"/>
    <w:rsid w:val="00FE58B3"/>
    <w:rsid w:val="00FE7EAF"/>
    <w:rsid w:val="00FF11FF"/>
    <w:rsid w:val="00FF1BA6"/>
    <w:rsid w:val="00FF1E5E"/>
    <w:rsid w:val="00FF4DFF"/>
    <w:rsid w:val="00FF7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F12"/>
    <w:rPr>
      <w:sz w:val="24"/>
    </w:rPr>
  </w:style>
  <w:style w:type="paragraph" w:styleId="Heading1">
    <w:name w:val="heading 1"/>
    <w:next w:val="Normal"/>
    <w:link w:val="Heading1Char"/>
    <w:qFormat/>
    <w:rsid w:val="00341F12"/>
    <w:pPr>
      <w:keepNext/>
      <w:tabs>
        <w:tab w:val="left" w:pos="1152"/>
      </w:tabs>
      <w:spacing w:before="120" w:after="240"/>
      <w:ind w:left="1152" w:hanging="1152"/>
      <w:outlineLvl w:val="0"/>
    </w:pPr>
    <w:rPr>
      <w:rFonts w:ascii="Arial" w:eastAsia="Times New Roman" w:hAnsi="Arial"/>
      <w:b/>
      <w:caps/>
      <w:color w:val="000000"/>
      <w:sz w:val="28"/>
    </w:rPr>
  </w:style>
  <w:style w:type="paragraph" w:styleId="Heading2">
    <w:name w:val="heading 2"/>
    <w:next w:val="Normal"/>
    <w:link w:val="Heading2Char"/>
    <w:qFormat/>
    <w:rsid w:val="00341F12"/>
    <w:pPr>
      <w:keepNext/>
      <w:tabs>
        <w:tab w:val="left" w:pos="1152"/>
      </w:tabs>
      <w:spacing w:before="120" w:after="240"/>
      <w:ind w:left="1152" w:hanging="1152"/>
      <w:outlineLvl w:val="1"/>
    </w:pPr>
    <w:rPr>
      <w:rFonts w:ascii="Arial" w:eastAsia="Times New Roman" w:hAnsi="Arial"/>
      <w:b/>
      <w:color w:val="000000"/>
      <w:sz w:val="28"/>
    </w:rPr>
  </w:style>
  <w:style w:type="paragraph" w:styleId="Heading3">
    <w:name w:val="heading 3"/>
    <w:aliases w:val="3 bullet,b,2"/>
    <w:next w:val="Normal"/>
    <w:link w:val="Heading3Char"/>
    <w:qFormat/>
    <w:rsid w:val="00341F12"/>
    <w:pPr>
      <w:keepNext/>
      <w:tabs>
        <w:tab w:val="left" w:pos="1152"/>
      </w:tabs>
      <w:spacing w:before="120" w:after="240"/>
      <w:ind w:left="1152" w:hanging="1152"/>
      <w:outlineLvl w:val="2"/>
    </w:pPr>
    <w:rPr>
      <w:rFonts w:ascii="Arial" w:eastAsia="Times New Roman" w:hAnsi="Arial"/>
      <w:b/>
      <w:color w:val="000000"/>
      <w:sz w:val="24"/>
    </w:rPr>
  </w:style>
  <w:style w:type="paragraph" w:styleId="Heading4">
    <w:name w:val="heading 4"/>
    <w:next w:val="Normal"/>
    <w:link w:val="Heading4Char"/>
    <w:qFormat/>
    <w:rsid w:val="00341F12"/>
    <w:pPr>
      <w:keepNext/>
      <w:tabs>
        <w:tab w:val="left" w:pos="1152"/>
      </w:tabs>
      <w:spacing w:before="120" w:after="240"/>
      <w:ind w:left="1152" w:hanging="1152"/>
      <w:outlineLvl w:val="3"/>
    </w:pPr>
    <w:rPr>
      <w:rFonts w:ascii="Arial" w:eastAsia="Times New Roman" w:hAnsi="Arial"/>
      <w:b/>
      <w:i/>
      <w:color w:val="000000"/>
      <w:sz w:val="24"/>
    </w:rPr>
  </w:style>
  <w:style w:type="paragraph" w:styleId="Heading5">
    <w:name w:val="heading 5"/>
    <w:basedOn w:val="Normal"/>
    <w:next w:val="Normal"/>
    <w:link w:val="Heading5Char"/>
    <w:qFormat/>
    <w:rsid w:val="00341F12"/>
    <w:pPr>
      <w:tabs>
        <w:tab w:val="num" w:pos="1008"/>
      </w:tabs>
      <w:spacing w:before="240" w:after="60"/>
      <w:ind w:left="1008" w:hanging="1008"/>
      <w:outlineLvl w:val="4"/>
    </w:pPr>
    <w:rPr>
      <w:rFonts w:eastAsia="Times New Roman"/>
      <w:sz w:val="22"/>
      <w:lang w:val="x-none" w:eastAsia="x-none"/>
    </w:rPr>
  </w:style>
  <w:style w:type="paragraph" w:styleId="Heading6">
    <w:name w:val="heading 6"/>
    <w:basedOn w:val="Normal"/>
    <w:next w:val="Normal"/>
    <w:link w:val="Heading6Char"/>
    <w:qFormat/>
    <w:rsid w:val="00341F12"/>
    <w:pPr>
      <w:tabs>
        <w:tab w:val="num" w:pos="1152"/>
      </w:tabs>
      <w:spacing w:before="240" w:after="60"/>
      <w:ind w:left="1152" w:hanging="1152"/>
      <w:outlineLvl w:val="5"/>
    </w:pPr>
    <w:rPr>
      <w:rFonts w:eastAsia="Times New Roman"/>
      <w:i/>
      <w:sz w:val="22"/>
      <w:lang w:val="x-none" w:eastAsia="x-none"/>
    </w:rPr>
  </w:style>
  <w:style w:type="paragraph" w:styleId="Heading7">
    <w:name w:val="heading 7"/>
    <w:aliases w:val="Appendix Heading"/>
    <w:basedOn w:val="Normal"/>
    <w:next w:val="Normal"/>
    <w:link w:val="Heading7Char"/>
    <w:qFormat/>
    <w:rsid w:val="00341F12"/>
    <w:pPr>
      <w:tabs>
        <w:tab w:val="num" w:pos="1296"/>
      </w:tabs>
      <w:spacing w:before="240" w:after="60"/>
      <w:ind w:left="1296" w:hanging="1296"/>
      <w:outlineLvl w:val="6"/>
    </w:pPr>
    <w:rPr>
      <w:rFonts w:ascii="Arial" w:eastAsia="Times New Roman" w:hAnsi="Arial"/>
      <w:sz w:val="20"/>
      <w:lang w:val="x-none" w:eastAsia="x-none"/>
    </w:rPr>
  </w:style>
  <w:style w:type="paragraph" w:styleId="Heading8">
    <w:name w:val="heading 8"/>
    <w:basedOn w:val="Normal"/>
    <w:next w:val="Normal"/>
    <w:link w:val="Heading8Char"/>
    <w:qFormat/>
    <w:rsid w:val="00341F12"/>
    <w:pPr>
      <w:tabs>
        <w:tab w:val="num" w:pos="1440"/>
      </w:tabs>
      <w:spacing w:before="240" w:after="60"/>
      <w:ind w:left="1440" w:hanging="1440"/>
      <w:outlineLvl w:val="7"/>
    </w:pPr>
    <w:rPr>
      <w:rFonts w:ascii="Arial" w:eastAsia="Times New Roman" w:hAnsi="Arial"/>
      <w:i/>
      <w:sz w:val="20"/>
      <w:lang w:val="x-none" w:eastAsia="x-none"/>
    </w:rPr>
  </w:style>
  <w:style w:type="paragraph" w:styleId="Heading9">
    <w:name w:val="heading 9"/>
    <w:basedOn w:val="Normal"/>
    <w:next w:val="Normal"/>
    <w:link w:val="Heading9Char"/>
    <w:qFormat/>
    <w:rsid w:val="00341F12"/>
    <w:pPr>
      <w:tabs>
        <w:tab w:val="num" w:pos="1584"/>
      </w:tabs>
      <w:spacing w:before="240" w:after="60"/>
      <w:ind w:left="1584" w:hanging="1584"/>
      <w:outlineLvl w:val="8"/>
    </w:pPr>
    <w:rPr>
      <w:rFonts w:ascii="Arial" w:eastAsia="Times New Roman" w:hAnsi="Arial"/>
      <w:b/>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41F12"/>
    <w:pPr>
      <w:spacing w:after="120"/>
      <w:jc w:val="both"/>
    </w:pPr>
    <w:rPr>
      <w:rFonts w:eastAsia="Times New Roman"/>
      <w:color w:val="000000"/>
    </w:rPr>
  </w:style>
  <w:style w:type="paragraph" w:customStyle="1" w:styleId="Style2">
    <w:name w:val="Style2"/>
    <w:basedOn w:val="Normal"/>
    <w:qFormat/>
    <w:rsid w:val="00341F12"/>
    <w:pPr>
      <w:spacing w:after="120" w:line="264" w:lineRule="auto"/>
      <w:jc w:val="both"/>
    </w:pPr>
    <w:rPr>
      <w:rFonts w:eastAsia="Times New Roman"/>
      <w:b/>
      <w:color w:val="000000"/>
      <w:sz w:val="52"/>
    </w:rPr>
  </w:style>
  <w:style w:type="paragraph" w:customStyle="1" w:styleId="GothicStyle">
    <w:name w:val="GothicStyle"/>
    <w:basedOn w:val="Normal"/>
    <w:qFormat/>
    <w:rsid w:val="00341F12"/>
    <w:pPr>
      <w:spacing w:after="120" w:line="264" w:lineRule="auto"/>
      <w:ind w:left="1152" w:hanging="1152"/>
      <w:jc w:val="both"/>
    </w:pPr>
    <w:rPr>
      <w:rFonts w:ascii="Algerian" w:eastAsia="Times New Roman" w:hAnsi="Algerian"/>
      <w:b/>
      <w:i/>
      <w:color w:val="000000"/>
      <w:sz w:val="36"/>
    </w:rPr>
  </w:style>
  <w:style w:type="paragraph" w:customStyle="1" w:styleId="NewStyle1">
    <w:name w:val="NewStyle1"/>
    <w:basedOn w:val="Normal"/>
    <w:qFormat/>
    <w:rsid w:val="00341F12"/>
    <w:pPr>
      <w:spacing w:after="120" w:line="264" w:lineRule="auto"/>
      <w:jc w:val="both"/>
    </w:pPr>
    <w:rPr>
      <w:rFonts w:ascii="Apple Chancery" w:eastAsia="Times New Roman" w:hAnsi="Apple Chancery"/>
      <w:b/>
      <w:i/>
      <w:color w:val="C0504D"/>
      <w:sz w:val="48"/>
      <w:u w:val="single"/>
    </w:rPr>
  </w:style>
  <w:style w:type="character" w:customStyle="1" w:styleId="teststylefeb2012">
    <w:name w:val="teststylefeb2012"/>
    <w:basedOn w:val="DefaultParagraphFont"/>
    <w:qFormat/>
    <w:rsid w:val="00341F12"/>
    <w:rPr>
      <w:sz w:val="32"/>
    </w:rPr>
  </w:style>
  <w:style w:type="paragraph" w:customStyle="1" w:styleId="GothicSTyle0">
    <w:name w:val="GothicSTyle"/>
    <w:basedOn w:val="Normal"/>
    <w:qFormat/>
    <w:rsid w:val="00341F12"/>
    <w:rPr>
      <w:rFonts w:ascii="Algerian" w:eastAsia="Times New Roman" w:hAnsi="Algerian"/>
      <w:b/>
      <w:i/>
      <w:sz w:val="32"/>
      <w:szCs w:val="16"/>
    </w:rPr>
  </w:style>
  <w:style w:type="paragraph" w:customStyle="1" w:styleId="ComputeStyle">
    <w:name w:val="ComputeStyle"/>
    <w:basedOn w:val="Normal"/>
    <w:qFormat/>
    <w:rsid w:val="00341F12"/>
    <w:rPr>
      <w:rFonts w:ascii="Bradley Hand ITC" w:eastAsia="Times New Roman" w:hAnsi="Bradley Hand ITC"/>
      <w:sz w:val="40"/>
      <w:szCs w:val="16"/>
    </w:rPr>
  </w:style>
  <w:style w:type="paragraph" w:customStyle="1" w:styleId="TestStyle1">
    <w:name w:val="TestStyle1"/>
    <w:basedOn w:val="Normal"/>
    <w:qFormat/>
    <w:rsid w:val="00341F12"/>
    <w:pPr>
      <w:spacing w:after="120" w:line="264" w:lineRule="auto"/>
      <w:jc w:val="both"/>
    </w:pPr>
    <w:rPr>
      <w:rFonts w:ascii="Bradley Hand ITC" w:eastAsia="Times New Roman" w:hAnsi="Bradley Hand ITC"/>
      <w:color w:val="FF0000"/>
    </w:rPr>
  </w:style>
  <w:style w:type="paragraph" w:customStyle="1" w:styleId="TestStyle2">
    <w:name w:val="TestStyle2"/>
    <w:basedOn w:val="Normal"/>
    <w:qFormat/>
    <w:rsid w:val="00341F12"/>
    <w:pPr>
      <w:spacing w:after="120" w:line="264" w:lineRule="auto"/>
      <w:jc w:val="both"/>
    </w:pPr>
    <w:rPr>
      <w:rFonts w:ascii="Algerian" w:eastAsia="Times New Roman" w:hAnsi="Algerian"/>
      <w:b/>
      <w:i/>
      <w:color w:val="000000"/>
    </w:rPr>
  </w:style>
  <w:style w:type="paragraph" w:customStyle="1" w:styleId="BMSSignatureStyle">
    <w:name w:val="BMS Signature Style"/>
    <w:basedOn w:val="Normal"/>
    <w:qFormat/>
    <w:rsid w:val="00341F12"/>
    <w:pPr>
      <w:spacing w:after="120" w:line="264" w:lineRule="auto"/>
      <w:jc w:val="both"/>
    </w:pPr>
    <w:rPr>
      <w:rFonts w:ascii="Brush Script MT" w:eastAsia="Times New Roman" w:hAnsi="Brush Script MT"/>
      <w:color w:val="1403EB"/>
      <w:sz w:val="40"/>
    </w:rPr>
  </w:style>
  <w:style w:type="paragraph" w:customStyle="1" w:styleId="BMSEquations">
    <w:name w:val="BMS Equations"/>
    <w:basedOn w:val="Normal"/>
    <w:qFormat/>
    <w:rsid w:val="00341F12"/>
    <w:pPr>
      <w:widowControl w:val="0"/>
      <w:autoSpaceDE w:val="0"/>
      <w:autoSpaceDN w:val="0"/>
      <w:adjustRightInd w:val="0"/>
      <w:spacing w:before="120" w:after="120"/>
      <w:jc w:val="center"/>
    </w:pPr>
    <w:rPr>
      <w:rFonts w:eastAsia="Times New Roman"/>
      <w:i/>
      <w:color w:val="000000"/>
      <w:spacing w:val="-1"/>
      <w:szCs w:val="22"/>
    </w:rPr>
  </w:style>
  <w:style w:type="character" w:customStyle="1" w:styleId="Heading1Char">
    <w:name w:val="Heading 1 Char"/>
    <w:link w:val="Heading1"/>
    <w:rsid w:val="00341F12"/>
    <w:rPr>
      <w:rFonts w:ascii="Arial" w:eastAsia="Times New Roman" w:hAnsi="Arial"/>
      <w:b/>
      <w:caps/>
      <w:color w:val="000000"/>
      <w:sz w:val="28"/>
    </w:rPr>
  </w:style>
  <w:style w:type="character" w:customStyle="1" w:styleId="Heading2Char">
    <w:name w:val="Heading 2 Char"/>
    <w:link w:val="Heading2"/>
    <w:rsid w:val="00341F12"/>
    <w:rPr>
      <w:rFonts w:ascii="Arial" w:eastAsia="Times New Roman" w:hAnsi="Arial"/>
      <w:b/>
      <w:color w:val="000000"/>
      <w:sz w:val="28"/>
    </w:rPr>
  </w:style>
  <w:style w:type="character" w:customStyle="1" w:styleId="Heading3Char">
    <w:name w:val="Heading 3 Char"/>
    <w:aliases w:val="3 bullet Char,b Char,2 Char"/>
    <w:link w:val="Heading3"/>
    <w:rsid w:val="00341F12"/>
    <w:rPr>
      <w:rFonts w:ascii="Arial" w:eastAsia="Times New Roman" w:hAnsi="Arial"/>
      <w:b/>
      <w:color w:val="000000"/>
      <w:sz w:val="24"/>
    </w:rPr>
  </w:style>
  <w:style w:type="character" w:customStyle="1" w:styleId="Heading4Char">
    <w:name w:val="Heading 4 Char"/>
    <w:link w:val="Heading4"/>
    <w:rsid w:val="00341F12"/>
    <w:rPr>
      <w:rFonts w:ascii="Arial" w:eastAsia="Times New Roman" w:hAnsi="Arial"/>
      <w:b/>
      <w:i/>
      <w:color w:val="000000"/>
      <w:sz w:val="24"/>
    </w:rPr>
  </w:style>
  <w:style w:type="character" w:customStyle="1" w:styleId="Heading5Char">
    <w:name w:val="Heading 5 Char"/>
    <w:link w:val="Heading5"/>
    <w:rsid w:val="00341F12"/>
    <w:rPr>
      <w:rFonts w:eastAsia="Times New Roman"/>
      <w:sz w:val="22"/>
      <w:lang w:val="x-none" w:eastAsia="x-none"/>
    </w:rPr>
  </w:style>
  <w:style w:type="character" w:customStyle="1" w:styleId="Heading6Char">
    <w:name w:val="Heading 6 Char"/>
    <w:link w:val="Heading6"/>
    <w:rsid w:val="00341F12"/>
    <w:rPr>
      <w:rFonts w:eastAsia="Times New Roman"/>
      <w:i/>
      <w:sz w:val="22"/>
      <w:lang w:val="x-none" w:eastAsia="x-none"/>
    </w:rPr>
  </w:style>
  <w:style w:type="character" w:customStyle="1" w:styleId="Heading7Char">
    <w:name w:val="Heading 7 Char"/>
    <w:aliases w:val="Appendix Heading Char"/>
    <w:link w:val="Heading7"/>
    <w:rsid w:val="00341F12"/>
    <w:rPr>
      <w:rFonts w:ascii="Arial" w:eastAsia="Times New Roman" w:hAnsi="Arial"/>
      <w:lang w:val="x-none" w:eastAsia="x-none"/>
    </w:rPr>
  </w:style>
  <w:style w:type="character" w:customStyle="1" w:styleId="Heading8Char">
    <w:name w:val="Heading 8 Char"/>
    <w:link w:val="Heading8"/>
    <w:rsid w:val="00341F12"/>
    <w:rPr>
      <w:rFonts w:ascii="Arial" w:eastAsia="Times New Roman" w:hAnsi="Arial"/>
      <w:i/>
      <w:lang w:val="x-none" w:eastAsia="x-none"/>
    </w:rPr>
  </w:style>
  <w:style w:type="character" w:customStyle="1" w:styleId="Heading9Char">
    <w:name w:val="Heading 9 Char"/>
    <w:link w:val="Heading9"/>
    <w:rsid w:val="00341F12"/>
    <w:rPr>
      <w:rFonts w:ascii="Arial" w:eastAsia="Times New Roman" w:hAnsi="Arial"/>
      <w:b/>
      <w:i/>
      <w:sz w:val="18"/>
      <w:lang w:val="x-none" w:eastAsia="x-none"/>
    </w:rPr>
  </w:style>
  <w:style w:type="paragraph" w:styleId="Caption">
    <w:name w:val="caption"/>
    <w:basedOn w:val="Normal"/>
    <w:next w:val="Normal"/>
    <w:qFormat/>
    <w:rsid w:val="00341F12"/>
    <w:pPr>
      <w:spacing w:before="120" w:after="120"/>
    </w:pPr>
    <w:rPr>
      <w:rFonts w:eastAsia="Times New Roman"/>
      <w:b/>
    </w:rPr>
  </w:style>
  <w:style w:type="paragraph" w:styleId="Title">
    <w:name w:val="Title"/>
    <w:next w:val="Normal"/>
    <w:link w:val="TitleChar"/>
    <w:qFormat/>
    <w:rsid w:val="00341F12"/>
    <w:pPr>
      <w:spacing w:before="120" w:after="240" w:line="300" w:lineRule="auto"/>
      <w:ind w:left="1152" w:hanging="1152"/>
    </w:pPr>
    <w:rPr>
      <w:rFonts w:ascii="Arial" w:eastAsia="Times New Roman" w:hAnsi="Arial"/>
      <w:b/>
      <w:caps/>
      <w:kern w:val="28"/>
      <w:sz w:val="28"/>
    </w:rPr>
  </w:style>
  <w:style w:type="character" w:customStyle="1" w:styleId="TitleChar">
    <w:name w:val="Title Char"/>
    <w:link w:val="Title"/>
    <w:rsid w:val="00341F12"/>
    <w:rPr>
      <w:rFonts w:ascii="Arial" w:eastAsia="Times New Roman" w:hAnsi="Arial"/>
      <w:b/>
      <w:caps/>
      <w:kern w:val="28"/>
      <w:sz w:val="28"/>
    </w:rPr>
  </w:style>
  <w:style w:type="character" w:styleId="Emphasis">
    <w:name w:val="Emphasis"/>
    <w:basedOn w:val="DefaultParagraphFont"/>
    <w:uiPriority w:val="20"/>
    <w:qFormat/>
    <w:rsid w:val="00341F12"/>
    <w:rPr>
      <w:i/>
      <w:iCs/>
    </w:rPr>
  </w:style>
  <w:style w:type="paragraph" w:styleId="ListParagraph">
    <w:name w:val="List Paragraph"/>
    <w:basedOn w:val="Normal"/>
    <w:uiPriority w:val="34"/>
    <w:qFormat/>
    <w:rsid w:val="00341F12"/>
    <w:pPr>
      <w:spacing w:after="200" w:line="276" w:lineRule="auto"/>
      <w:ind w:left="720"/>
      <w:contextualSpacing/>
    </w:pPr>
    <w:rPr>
      <w:rFonts w:ascii="Calibri" w:eastAsia="Calibri" w:hAnsi="Calibri"/>
      <w:sz w:val="22"/>
      <w:szCs w:val="22"/>
    </w:rPr>
  </w:style>
  <w:style w:type="paragraph" w:customStyle="1" w:styleId="ColorfulList-Accent11">
    <w:name w:val="Colorful List - Accent 11"/>
    <w:basedOn w:val="Normal"/>
    <w:uiPriority w:val="34"/>
    <w:qFormat/>
    <w:rsid w:val="00CE6E2B"/>
    <w:pPr>
      <w:spacing w:after="200" w:line="276" w:lineRule="auto"/>
      <w:ind w:left="720"/>
      <w:contextualSpacing/>
    </w:pPr>
    <w:rPr>
      <w:rFonts w:ascii="Arial" w:eastAsia="PMingLiU" w:hAnsi="Arial"/>
      <w:sz w:val="22"/>
      <w:szCs w:val="22"/>
      <w:lang w:eastAsia="en-US"/>
    </w:rPr>
  </w:style>
  <w:style w:type="table" w:styleId="TableGrid">
    <w:name w:val="Table Grid"/>
    <w:basedOn w:val="TableNormal"/>
    <w:uiPriority w:val="59"/>
    <w:rsid w:val="00616F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6F54"/>
    <w:rPr>
      <w:rFonts w:ascii="Tahoma" w:hAnsi="Tahoma" w:cs="Tahoma"/>
      <w:sz w:val="16"/>
      <w:szCs w:val="16"/>
    </w:rPr>
  </w:style>
  <w:style w:type="character" w:customStyle="1" w:styleId="BalloonTextChar">
    <w:name w:val="Balloon Text Char"/>
    <w:basedOn w:val="DefaultParagraphFont"/>
    <w:link w:val="BalloonText"/>
    <w:uiPriority w:val="99"/>
    <w:semiHidden/>
    <w:rsid w:val="00616F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F12"/>
    <w:rPr>
      <w:sz w:val="24"/>
    </w:rPr>
  </w:style>
  <w:style w:type="paragraph" w:styleId="Heading1">
    <w:name w:val="heading 1"/>
    <w:next w:val="Normal"/>
    <w:link w:val="Heading1Char"/>
    <w:qFormat/>
    <w:rsid w:val="00341F12"/>
    <w:pPr>
      <w:keepNext/>
      <w:tabs>
        <w:tab w:val="left" w:pos="1152"/>
      </w:tabs>
      <w:spacing w:before="120" w:after="240"/>
      <w:ind w:left="1152" w:hanging="1152"/>
      <w:outlineLvl w:val="0"/>
    </w:pPr>
    <w:rPr>
      <w:rFonts w:ascii="Arial" w:eastAsia="Times New Roman" w:hAnsi="Arial"/>
      <w:b/>
      <w:caps/>
      <w:color w:val="000000"/>
      <w:sz w:val="28"/>
    </w:rPr>
  </w:style>
  <w:style w:type="paragraph" w:styleId="Heading2">
    <w:name w:val="heading 2"/>
    <w:next w:val="Normal"/>
    <w:link w:val="Heading2Char"/>
    <w:qFormat/>
    <w:rsid w:val="00341F12"/>
    <w:pPr>
      <w:keepNext/>
      <w:tabs>
        <w:tab w:val="left" w:pos="1152"/>
      </w:tabs>
      <w:spacing w:before="120" w:after="240"/>
      <w:ind w:left="1152" w:hanging="1152"/>
      <w:outlineLvl w:val="1"/>
    </w:pPr>
    <w:rPr>
      <w:rFonts w:ascii="Arial" w:eastAsia="Times New Roman" w:hAnsi="Arial"/>
      <w:b/>
      <w:color w:val="000000"/>
      <w:sz w:val="28"/>
    </w:rPr>
  </w:style>
  <w:style w:type="paragraph" w:styleId="Heading3">
    <w:name w:val="heading 3"/>
    <w:aliases w:val="3 bullet,b,2"/>
    <w:next w:val="Normal"/>
    <w:link w:val="Heading3Char"/>
    <w:qFormat/>
    <w:rsid w:val="00341F12"/>
    <w:pPr>
      <w:keepNext/>
      <w:tabs>
        <w:tab w:val="left" w:pos="1152"/>
      </w:tabs>
      <w:spacing w:before="120" w:after="240"/>
      <w:ind w:left="1152" w:hanging="1152"/>
      <w:outlineLvl w:val="2"/>
    </w:pPr>
    <w:rPr>
      <w:rFonts w:ascii="Arial" w:eastAsia="Times New Roman" w:hAnsi="Arial"/>
      <w:b/>
      <w:color w:val="000000"/>
      <w:sz w:val="24"/>
    </w:rPr>
  </w:style>
  <w:style w:type="paragraph" w:styleId="Heading4">
    <w:name w:val="heading 4"/>
    <w:next w:val="Normal"/>
    <w:link w:val="Heading4Char"/>
    <w:qFormat/>
    <w:rsid w:val="00341F12"/>
    <w:pPr>
      <w:keepNext/>
      <w:tabs>
        <w:tab w:val="left" w:pos="1152"/>
      </w:tabs>
      <w:spacing w:before="120" w:after="240"/>
      <w:ind w:left="1152" w:hanging="1152"/>
      <w:outlineLvl w:val="3"/>
    </w:pPr>
    <w:rPr>
      <w:rFonts w:ascii="Arial" w:eastAsia="Times New Roman" w:hAnsi="Arial"/>
      <w:b/>
      <w:i/>
      <w:color w:val="000000"/>
      <w:sz w:val="24"/>
    </w:rPr>
  </w:style>
  <w:style w:type="paragraph" w:styleId="Heading5">
    <w:name w:val="heading 5"/>
    <w:basedOn w:val="Normal"/>
    <w:next w:val="Normal"/>
    <w:link w:val="Heading5Char"/>
    <w:qFormat/>
    <w:rsid w:val="00341F12"/>
    <w:pPr>
      <w:tabs>
        <w:tab w:val="num" w:pos="1008"/>
      </w:tabs>
      <w:spacing w:before="240" w:after="60"/>
      <w:ind w:left="1008" w:hanging="1008"/>
      <w:outlineLvl w:val="4"/>
    </w:pPr>
    <w:rPr>
      <w:rFonts w:eastAsia="Times New Roman"/>
      <w:sz w:val="22"/>
      <w:lang w:val="x-none" w:eastAsia="x-none"/>
    </w:rPr>
  </w:style>
  <w:style w:type="paragraph" w:styleId="Heading6">
    <w:name w:val="heading 6"/>
    <w:basedOn w:val="Normal"/>
    <w:next w:val="Normal"/>
    <w:link w:val="Heading6Char"/>
    <w:qFormat/>
    <w:rsid w:val="00341F12"/>
    <w:pPr>
      <w:tabs>
        <w:tab w:val="num" w:pos="1152"/>
      </w:tabs>
      <w:spacing w:before="240" w:after="60"/>
      <w:ind w:left="1152" w:hanging="1152"/>
      <w:outlineLvl w:val="5"/>
    </w:pPr>
    <w:rPr>
      <w:rFonts w:eastAsia="Times New Roman"/>
      <w:i/>
      <w:sz w:val="22"/>
      <w:lang w:val="x-none" w:eastAsia="x-none"/>
    </w:rPr>
  </w:style>
  <w:style w:type="paragraph" w:styleId="Heading7">
    <w:name w:val="heading 7"/>
    <w:aliases w:val="Appendix Heading"/>
    <w:basedOn w:val="Normal"/>
    <w:next w:val="Normal"/>
    <w:link w:val="Heading7Char"/>
    <w:qFormat/>
    <w:rsid w:val="00341F12"/>
    <w:pPr>
      <w:tabs>
        <w:tab w:val="num" w:pos="1296"/>
      </w:tabs>
      <w:spacing w:before="240" w:after="60"/>
      <w:ind w:left="1296" w:hanging="1296"/>
      <w:outlineLvl w:val="6"/>
    </w:pPr>
    <w:rPr>
      <w:rFonts w:ascii="Arial" w:eastAsia="Times New Roman" w:hAnsi="Arial"/>
      <w:sz w:val="20"/>
      <w:lang w:val="x-none" w:eastAsia="x-none"/>
    </w:rPr>
  </w:style>
  <w:style w:type="paragraph" w:styleId="Heading8">
    <w:name w:val="heading 8"/>
    <w:basedOn w:val="Normal"/>
    <w:next w:val="Normal"/>
    <w:link w:val="Heading8Char"/>
    <w:qFormat/>
    <w:rsid w:val="00341F12"/>
    <w:pPr>
      <w:tabs>
        <w:tab w:val="num" w:pos="1440"/>
      </w:tabs>
      <w:spacing w:before="240" w:after="60"/>
      <w:ind w:left="1440" w:hanging="1440"/>
      <w:outlineLvl w:val="7"/>
    </w:pPr>
    <w:rPr>
      <w:rFonts w:ascii="Arial" w:eastAsia="Times New Roman" w:hAnsi="Arial"/>
      <w:i/>
      <w:sz w:val="20"/>
      <w:lang w:val="x-none" w:eastAsia="x-none"/>
    </w:rPr>
  </w:style>
  <w:style w:type="paragraph" w:styleId="Heading9">
    <w:name w:val="heading 9"/>
    <w:basedOn w:val="Normal"/>
    <w:next w:val="Normal"/>
    <w:link w:val="Heading9Char"/>
    <w:qFormat/>
    <w:rsid w:val="00341F12"/>
    <w:pPr>
      <w:tabs>
        <w:tab w:val="num" w:pos="1584"/>
      </w:tabs>
      <w:spacing w:before="240" w:after="60"/>
      <w:ind w:left="1584" w:hanging="1584"/>
      <w:outlineLvl w:val="8"/>
    </w:pPr>
    <w:rPr>
      <w:rFonts w:ascii="Arial" w:eastAsia="Times New Roman" w:hAnsi="Arial"/>
      <w:b/>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41F12"/>
    <w:pPr>
      <w:spacing w:after="120"/>
      <w:jc w:val="both"/>
    </w:pPr>
    <w:rPr>
      <w:rFonts w:eastAsia="Times New Roman"/>
      <w:color w:val="000000"/>
    </w:rPr>
  </w:style>
  <w:style w:type="paragraph" w:customStyle="1" w:styleId="Style2">
    <w:name w:val="Style2"/>
    <w:basedOn w:val="Normal"/>
    <w:qFormat/>
    <w:rsid w:val="00341F12"/>
    <w:pPr>
      <w:spacing w:after="120" w:line="264" w:lineRule="auto"/>
      <w:jc w:val="both"/>
    </w:pPr>
    <w:rPr>
      <w:rFonts w:eastAsia="Times New Roman"/>
      <w:b/>
      <w:color w:val="000000"/>
      <w:sz w:val="52"/>
    </w:rPr>
  </w:style>
  <w:style w:type="paragraph" w:customStyle="1" w:styleId="GothicStyle">
    <w:name w:val="GothicStyle"/>
    <w:basedOn w:val="Normal"/>
    <w:qFormat/>
    <w:rsid w:val="00341F12"/>
    <w:pPr>
      <w:spacing w:after="120" w:line="264" w:lineRule="auto"/>
      <w:ind w:left="1152" w:hanging="1152"/>
      <w:jc w:val="both"/>
    </w:pPr>
    <w:rPr>
      <w:rFonts w:ascii="Algerian" w:eastAsia="Times New Roman" w:hAnsi="Algerian"/>
      <w:b/>
      <w:i/>
      <w:color w:val="000000"/>
      <w:sz w:val="36"/>
    </w:rPr>
  </w:style>
  <w:style w:type="paragraph" w:customStyle="1" w:styleId="NewStyle1">
    <w:name w:val="NewStyle1"/>
    <w:basedOn w:val="Normal"/>
    <w:qFormat/>
    <w:rsid w:val="00341F12"/>
    <w:pPr>
      <w:spacing w:after="120" w:line="264" w:lineRule="auto"/>
      <w:jc w:val="both"/>
    </w:pPr>
    <w:rPr>
      <w:rFonts w:ascii="Apple Chancery" w:eastAsia="Times New Roman" w:hAnsi="Apple Chancery"/>
      <w:b/>
      <w:i/>
      <w:color w:val="C0504D"/>
      <w:sz w:val="48"/>
      <w:u w:val="single"/>
    </w:rPr>
  </w:style>
  <w:style w:type="character" w:customStyle="1" w:styleId="teststylefeb2012">
    <w:name w:val="teststylefeb2012"/>
    <w:basedOn w:val="DefaultParagraphFont"/>
    <w:qFormat/>
    <w:rsid w:val="00341F12"/>
    <w:rPr>
      <w:sz w:val="32"/>
    </w:rPr>
  </w:style>
  <w:style w:type="paragraph" w:customStyle="1" w:styleId="GothicSTyle0">
    <w:name w:val="GothicSTyle"/>
    <w:basedOn w:val="Normal"/>
    <w:qFormat/>
    <w:rsid w:val="00341F12"/>
    <w:rPr>
      <w:rFonts w:ascii="Algerian" w:eastAsia="Times New Roman" w:hAnsi="Algerian"/>
      <w:b/>
      <w:i/>
      <w:sz w:val="32"/>
      <w:szCs w:val="16"/>
    </w:rPr>
  </w:style>
  <w:style w:type="paragraph" w:customStyle="1" w:styleId="ComputeStyle">
    <w:name w:val="ComputeStyle"/>
    <w:basedOn w:val="Normal"/>
    <w:qFormat/>
    <w:rsid w:val="00341F12"/>
    <w:rPr>
      <w:rFonts w:ascii="Bradley Hand ITC" w:eastAsia="Times New Roman" w:hAnsi="Bradley Hand ITC"/>
      <w:sz w:val="40"/>
      <w:szCs w:val="16"/>
    </w:rPr>
  </w:style>
  <w:style w:type="paragraph" w:customStyle="1" w:styleId="TestStyle1">
    <w:name w:val="TestStyle1"/>
    <w:basedOn w:val="Normal"/>
    <w:qFormat/>
    <w:rsid w:val="00341F12"/>
    <w:pPr>
      <w:spacing w:after="120" w:line="264" w:lineRule="auto"/>
      <w:jc w:val="both"/>
    </w:pPr>
    <w:rPr>
      <w:rFonts w:ascii="Bradley Hand ITC" w:eastAsia="Times New Roman" w:hAnsi="Bradley Hand ITC"/>
      <w:color w:val="FF0000"/>
    </w:rPr>
  </w:style>
  <w:style w:type="paragraph" w:customStyle="1" w:styleId="TestStyle2">
    <w:name w:val="TestStyle2"/>
    <w:basedOn w:val="Normal"/>
    <w:qFormat/>
    <w:rsid w:val="00341F12"/>
    <w:pPr>
      <w:spacing w:after="120" w:line="264" w:lineRule="auto"/>
      <w:jc w:val="both"/>
    </w:pPr>
    <w:rPr>
      <w:rFonts w:ascii="Algerian" w:eastAsia="Times New Roman" w:hAnsi="Algerian"/>
      <w:b/>
      <w:i/>
      <w:color w:val="000000"/>
    </w:rPr>
  </w:style>
  <w:style w:type="paragraph" w:customStyle="1" w:styleId="BMSSignatureStyle">
    <w:name w:val="BMS Signature Style"/>
    <w:basedOn w:val="Normal"/>
    <w:qFormat/>
    <w:rsid w:val="00341F12"/>
    <w:pPr>
      <w:spacing w:after="120" w:line="264" w:lineRule="auto"/>
      <w:jc w:val="both"/>
    </w:pPr>
    <w:rPr>
      <w:rFonts w:ascii="Brush Script MT" w:eastAsia="Times New Roman" w:hAnsi="Brush Script MT"/>
      <w:color w:val="1403EB"/>
      <w:sz w:val="40"/>
    </w:rPr>
  </w:style>
  <w:style w:type="paragraph" w:customStyle="1" w:styleId="BMSEquations">
    <w:name w:val="BMS Equations"/>
    <w:basedOn w:val="Normal"/>
    <w:qFormat/>
    <w:rsid w:val="00341F12"/>
    <w:pPr>
      <w:widowControl w:val="0"/>
      <w:autoSpaceDE w:val="0"/>
      <w:autoSpaceDN w:val="0"/>
      <w:adjustRightInd w:val="0"/>
      <w:spacing w:before="120" w:after="120"/>
      <w:jc w:val="center"/>
    </w:pPr>
    <w:rPr>
      <w:rFonts w:eastAsia="Times New Roman"/>
      <w:i/>
      <w:color w:val="000000"/>
      <w:spacing w:val="-1"/>
      <w:szCs w:val="22"/>
    </w:rPr>
  </w:style>
  <w:style w:type="character" w:customStyle="1" w:styleId="Heading1Char">
    <w:name w:val="Heading 1 Char"/>
    <w:link w:val="Heading1"/>
    <w:rsid w:val="00341F12"/>
    <w:rPr>
      <w:rFonts w:ascii="Arial" w:eastAsia="Times New Roman" w:hAnsi="Arial"/>
      <w:b/>
      <w:caps/>
      <w:color w:val="000000"/>
      <w:sz w:val="28"/>
    </w:rPr>
  </w:style>
  <w:style w:type="character" w:customStyle="1" w:styleId="Heading2Char">
    <w:name w:val="Heading 2 Char"/>
    <w:link w:val="Heading2"/>
    <w:rsid w:val="00341F12"/>
    <w:rPr>
      <w:rFonts w:ascii="Arial" w:eastAsia="Times New Roman" w:hAnsi="Arial"/>
      <w:b/>
      <w:color w:val="000000"/>
      <w:sz w:val="28"/>
    </w:rPr>
  </w:style>
  <w:style w:type="character" w:customStyle="1" w:styleId="Heading3Char">
    <w:name w:val="Heading 3 Char"/>
    <w:aliases w:val="3 bullet Char,b Char,2 Char"/>
    <w:link w:val="Heading3"/>
    <w:rsid w:val="00341F12"/>
    <w:rPr>
      <w:rFonts w:ascii="Arial" w:eastAsia="Times New Roman" w:hAnsi="Arial"/>
      <w:b/>
      <w:color w:val="000000"/>
      <w:sz w:val="24"/>
    </w:rPr>
  </w:style>
  <w:style w:type="character" w:customStyle="1" w:styleId="Heading4Char">
    <w:name w:val="Heading 4 Char"/>
    <w:link w:val="Heading4"/>
    <w:rsid w:val="00341F12"/>
    <w:rPr>
      <w:rFonts w:ascii="Arial" w:eastAsia="Times New Roman" w:hAnsi="Arial"/>
      <w:b/>
      <w:i/>
      <w:color w:val="000000"/>
      <w:sz w:val="24"/>
    </w:rPr>
  </w:style>
  <w:style w:type="character" w:customStyle="1" w:styleId="Heading5Char">
    <w:name w:val="Heading 5 Char"/>
    <w:link w:val="Heading5"/>
    <w:rsid w:val="00341F12"/>
    <w:rPr>
      <w:rFonts w:eastAsia="Times New Roman"/>
      <w:sz w:val="22"/>
      <w:lang w:val="x-none" w:eastAsia="x-none"/>
    </w:rPr>
  </w:style>
  <w:style w:type="character" w:customStyle="1" w:styleId="Heading6Char">
    <w:name w:val="Heading 6 Char"/>
    <w:link w:val="Heading6"/>
    <w:rsid w:val="00341F12"/>
    <w:rPr>
      <w:rFonts w:eastAsia="Times New Roman"/>
      <w:i/>
      <w:sz w:val="22"/>
      <w:lang w:val="x-none" w:eastAsia="x-none"/>
    </w:rPr>
  </w:style>
  <w:style w:type="character" w:customStyle="1" w:styleId="Heading7Char">
    <w:name w:val="Heading 7 Char"/>
    <w:aliases w:val="Appendix Heading Char"/>
    <w:link w:val="Heading7"/>
    <w:rsid w:val="00341F12"/>
    <w:rPr>
      <w:rFonts w:ascii="Arial" w:eastAsia="Times New Roman" w:hAnsi="Arial"/>
      <w:lang w:val="x-none" w:eastAsia="x-none"/>
    </w:rPr>
  </w:style>
  <w:style w:type="character" w:customStyle="1" w:styleId="Heading8Char">
    <w:name w:val="Heading 8 Char"/>
    <w:link w:val="Heading8"/>
    <w:rsid w:val="00341F12"/>
    <w:rPr>
      <w:rFonts w:ascii="Arial" w:eastAsia="Times New Roman" w:hAnsi="Arial"/>
      <w:i/>
      <w:lang w:val="x-none" w:eastAsia="x-none"/>
    </w:rPr>
  </w:style>
  <w:style w:type="character" w:customStyle="1" w:styleId="Heading9Char">
    <w:name w:val="Heading 9 Char"/>
    <w:link w:val="Heading9"/>
    <w:rsid w:val="00341F12"/>
    <w:rPr>
      <w:rFonts w:ascii="Arial" w:eastAsia="Times New Roman" w:hAnsi="Arial"/>
      <w:b/>
      <w:i/>
      <w:sz w:val="18"/>
      <w:lang w:val="x-none" w:eastAsia="x-none"/>
    </w:rPr>
  </w:style>
  <w:style w:type="paragraph" w:styleId="Caption">
    <w:name w:val="caption"/>
    <w:basedOn w:val="Normal"/>
    <w:next w:val="Normal"/>
    <w:qFormat/>
    <w:rsid w:val="00341F12"/>
    <w:pPr>
      <w:spacing w:before="120" w:after="120"/>
    </w:pPr>
    <w:rPr>
      <w:rFonts w:eastAsia="Times New Roman"/>
      <w:b/>
    </w:rPr>
  </w:style>
  <w:style w:type="paragraph" w:styleId="Title">
    <w:name w:val="Title"/>
    <w:next w:val="Normal"/>
    <w:link w:val="TitleChar"/>
    <w:qFormat/>
    <w:rsid w:val="00341F12"/>
    <w:pPr>
      <w:spacing w:before="120" w:after="240" w:line="300" w:lineRule="auto"/>
      <w:ind w:left="1152" w:hanging="1152"/>
    </w:pPr>
    <w:rPr>
      <w:rFonts w:ascii="Arial" w:eastAsia="Times New Roman" w:hAnsi="Arial"/>
      <w:b/>
      <w:caps/>
      <w:kern w:val="28"/>
      <w:sz w:val="28"/>
    </w:rPr>
  </w:style>
  <w:style w:type="character" w:customStyle="1" w:styleId="TitleChar">
    <w:name w:val="Title Char"/>
    <w:link w:val="Title"/>
    <w:rsid w:val="00341F12"/>
    <w:rPr>
      <w:rFonts w:ascii="Arial" w:eastAsia="Times New Roman" w:hAnsi="Arial"/>
      <w:b/>
      <w:caps/>
      <w:kern w:val="28"/>
      <w:sz w:val="28"/>
    </w:rPr>
  </w:style>
  <w:style w:type="character" w:styleId="Emphasis">
    <w:name w:val="Emphasis"/>
    <w:basedOn w:val="DefaultParagraphFont"/>
    <w:uiPriority w:val="20"/>
    <w:qFormat/>
    <w:rsid w:val="00341F12"/>
    <w:rPr>
      <w:i/>
      <w:iCs/>
    </w:rPr>
  </w:style>
  <w:style w:type="paragraph" w:styleId="ListParagraph">
    <w:name w:val="List Paragraph"/>
    <w:basedOn w:val="Normal"/>
    <w:uiPriority w:val="34"/>
    <w:qFormat/>
    <w:rsid w:val="00341F12"/>
    <w:pPr>
      <w:spacing w:after="200" w:line="276" w:lineRule="auto"/>
      <w:ind w:left="720"/>
      <w:contextualSpacing/>
    </w:pPr>
    <w:rPr>
      <w:rFonts w:ascii="Calibri" w:eastAsia="Calibri" w:hAnsi="Calibri"/>
      <w:sz w:val="22"/>
      <w:szCs w:val="22"/>
    </w:rPr>
  </w:style>
  <w:style w:type="paragraph" w:customStyle="1" w:styleId="ColorfulList-Accent11">
    <w:name w:val="Colorful List - Accent 11"/>
    <w:basedOn w:val="Normal"/>
    <w:uiPriority w:val="34"/>
    <w:qFormat/>
    <w:rsid w:val="00CE6E2B"/>
    <w:pPr>
      <w:spacing w:after="200" w:line="276" w:lineRule="auto"/>
      <w:ind w:left="720"/>
      <w:contextualSpacing/>
    </w:pPr>
    <w:rPr>
      <w:rFonts w:ascii="Arial" w:eastAsia="PMingLiU" w:hAnsi="Arial"/>
      <w:sz w:val="22"/>
      <w:szCs w:val="22"/>
      <w:lang w:eastAsia="en-US"/>
    </w:rPr>
  </w:style>
  <w:style w:type="table" w:styleId="TableGrid">
    <w:name w:val="Table Grid"/>
    <w:basedOn w:val="TableNormal"/>
    <w:uiPriority w:val="59"/>
    <w:rsid w:val="00616F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6F54"/>
    <w:rPr>
      <w:rFonts w:ascii="Tahoma" w:hAnsi="Tahoma" w:cs="Tahoma"/>
      <w:sz w:val="16"/>
      <w:szCs w:val="16"/>
    </w:rPr>
  </w:style>
  <w:style w:type="character" w:customStyle="1" w:styleId="BalloonTextChar">
    <w:name w:val="Balloon Text Char"/>
    <w:basedOn w:val="DefaultParagraphFont"/>
    <w:link w:val="BalloonText"/>
    <w:uiPriority w:val="99"/>
    <w:semiHidden/>
    <w:rsid w:val="00616F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2394</Words>
  <Characters>13647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Writer</dc:creator>
  <cp:lastModifiedBy>Medical Writer</cp:lastModifiedBy>
  <cp:revision>3</cp:revision>
  <dcterms:created xsi:type="dcterms:W3CDTF">2017-11-17T09:17:00Z</dcterms:created>
  <dcterms:modified xsi:type="dcterms:W3CDTF">2017-12-06T11:44:00Z</dcterms:modified>
</cp:coreProperties>
</file>