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1141" w:rsidRPr="00956A8E" w:rsidRDefault="00D91141" w:rsidP="00D91141">
      <w:pPr>
        <w:spacing w:line="480" w:lineRule="auto"/>
        <w:rPr>
          <w:rFonts w:ascii="Arial" w:hAnsi="Arial" w:cs="Arial"/>
          <w:b/>
          <w:i/>
          <w:lang w:val="en-GB"/>
        </w:rPr>
      </w:pPr>
      <w:r w:rsidRPr="00956A8E">
        <w:rPr>
          <w:rFonts w:ascii="Arial" w:hAnsi="Arial" w:cs="Arial"/>
          <w:b/>
          <w:lang w:val="en-GB"/>
        </w:rPr>
        <w:t>Supplemental Table 1.</w:t>
      </w:r>
      <w:r w:rsidRPr="00956A8E">
        <w:rPr>
          <w:rFonts w:ascii="Arial" w:hAnsi="Arial" w:cs="Arial"/>
          <w:b/>
          <w:i/>
          <w:lang w:val="en-GB"/>
        </w:rPr>
        <w:t xml:space="preserve"> </w:t>
      </w:r>
      <w:r w:rsidRPr="00956A8E">
        <w:rPr>
          <w:rFonts w:ascii="Arial" w:hAnsi="Arial" w:cs="Arial"/>
          <w:lang w:val="en-GB"/>
        </w:rPr>
        <w:t>Tumour response to pembrolizumab per RECIST v1.1 by central imaging vendor review based on prior therapies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6"/>
        <w:gridCol w:w="1068"/>
        <w:gridCol w:w="2225"/>
        <w:gridCol w:w="1154"/>
        <w:gridCol w:w="2667"/>
      </w:tblGrid>
      <w:tr w:rsidR="00D91141" w:rsidRPr="00956A8E" w:rsidTr="004F24D6">
        <w:trPr>
          <w:cantSplit/>
          <w:tblHeader/>
        </w:trPr>
        <w:tc>
          <w:tcPr>
            <w:tcW w:w="11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1141" w:rsidRPr="00956A8E" w:rsidRDefault="00D91141" w:rsidP="004F24D6">
            <w:pPr>
              <w:keepNext/>
              <w:spacing w:before="60" w:after="60" w:line="480" w:lineRule="auto"/>
              <w:rPr>
                <w:rFonts w:ascii="Arial" w:eastAsiaTheme="minorEastAsia" w:hAnsi="Arial" w:cs="Arial"/>
                <w:lang w:val="en-GB"/>
              </w:rPr>
            </w:pPr>
          </w:p>
        </w:tc>
        <w:tc>
          <w:tcPr>
            <w:tcW w:w="1761" w:type="pct"/>
            <w:gridSpan w:val="2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b/>
                <w:lang w:val="en-GB"/>
              </w:rPr>
            </w:pPr>
            <w:r w:rsidRPr="00956A8E">
              <w:rPr>
                <w:rFonts w:ascii="Arial" w:eastAsiaTheme="minorEastAsia" w:hAnsi="Arial" w:cs="Arial"/>
                <w:b/>
                <w:lang w:val="en-GB"/>
              </w:rPr>
              <w:t>Progressed after platinum therapy</w:t>
            </w:r>
          </w:p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b/>
                <w:lang w:val="en-GB"/>
              </w:rPr>
            </w:pPr>
            <w:r w:rsidRPr="00956A8E">
              <w:rPr>
                <w:rFonts w:ascii="Arial" w:eastAsiaTheme="minorEastAsia" w:hAnsi="Arial" w:cs="Arial"/>
                <w:b/>
                <w:i/>
                <w:lang w:val="en-GB"/>
              </w:rPr>
              <w:t>n</w:t>
            </w:r>
            <w:r w:rsidRPr="00956A8E">
              <w:rPr>
                <w:rFonts w:ascii="Arial" w:eastAsiaTheme="minorEastAsia" w:hAnsi="Arial" w:cs="Arial"/>
                <w:b/>
                <w:lang w:val="en-GB"/>
              </w:rPr>
              <w:t xml:space="preserve"> = 174</w:t>
            </w:r>
          </w:p>
        </w:tc>
        <w:tc>
          <w:tcPr>
            <w:tcW w:w="2044" w:type="pct"/>
            <w:gridSpan w:val="2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b/>
                <w:lang w:val="en-GB"/>
              </w:rPr>
            </w:pPr>
            <w:r w:rsidRPr="00956A8E">
              <w:rPr>
                <w:rFonts w:ascii="Arial" w:eastAsiaTheme="minorEastAsia" w:hAnsi="Arial" w:cs="Arial"/>
                <w:b/>
                <w:lang w:val="en-GB"/>
              </w:rPr>
              <w:t>Progressed after platinum and cetuximab therapy</w:t>
            </w:r>
          </w:p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b/>
                <w:lang w:val="en-GB"/>
              </w:rPr>
            </w:pPr>
            <w:r w:rsidRPr="00956A8E">
              <w:rPr>
                <w:rFonts w:ascii="Arial" w:eastAsiaTheme="minorEastAsia" w:hAnsi="Arial" w:cs="Arial"/>
                <w:b/>
                <w:i/>
                <w:lang w:val="en-GB"/>
              </w:rPr>
              <w:t>n</w:t>
            </w:r>
            <w:r w:rsidRPr="00956A8E">
              <w:rPr>
                <w:rFonts w:ascii="Arial" w:eastAsiaTheme="minorEastAsia" w:hAnsi="Arial" w:cs="Arial"/>
                <w:b/>
                <w:lang w:val="en-GB"/>
              </w:rPr>
              <w:t xml:space="preserve"> = 110</w:t>
            </w:r>
          </w:p>
        </w:tc>
      </w:tr>
      <w:tr w:rsidR="00D91141" w:rsidRPr="00956A8E" w:rsidTr="004F24D6">
        <w:trPr>
          <w:cantSplit/>
          <w:tblHeader/>
        </w:trPr>
        <w:tc>
          <w:tcPr>
            <w:tcW w:w="1196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D91141" w:rsidRPr="00956A8E" w:rsidRDefault="00D91141" w:rsidP="004F24D6">
            <w:pPr>
              <w:keepNext/>
              <w:spacing w:before="60" w:after="60" w:line="480" w:lineRule="auto"/>
              <w:rPr>
                <w:rFonts w:ascii="Arial" w:eastAsiaTheme="minorEastAsia" w:hAnsi="Arial" w:cs="Arial"/>
                <w:lang w:val="en-GB"/>
              </w:rPr>
            </w:pPr>
          </w:p>
        </w:tc>
        <w:tc>
          <w:tcPr>
            <w:tcW w:w="571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1141" w:rsidRPr="00956A8E" w:rsidRDefault="00D91141" w:rsidP="004F24D6">
            <w:pPr>
              <w:tabs>
                <w:tab w:val="left" w:pos="280"/>
                <w:tab w:val="center" w:pos="426"/>
              </w:tabs>
              <w:spacing w:before="60" w:after="60" w:line="480" w:lineRule="auto"/>
              <w:rPr>
                <w:rFonts w:ascii="Arial" w:eastAsiaTheme="minorEastAsia" w:hAnsi="Arial" w:cs="Arial"/>
                <w:b/>
                <w:lang w:val="en-GB"/>
              </w:rPr>
            </w:pPr>
            <w:r w:rsidRPr="00956A8E">
              <w:rPr>
                <w:rFonts w:ascii="Arial" w:eastAsiaTheme="minorEastAsia" w:hAnsi="Arial" w:cs="Arial"/>
                <w:b/>
                <w:lang w:val="en-GB"/>
              </w:rPr>
              <w:tab/>
            </w:r>
            <w:r w:rsidRPr="00956A8E">
              <w:rPr>
                <w:rFonts w:ascii="Arial" w:eastAsiaTheme="minorEastAsia" w:hAnsi="Arial" w:cs="Arial"/>
                <w:b/>
                <w:lang w:val="en-GB"/>
              </w:rPr>
              <w:tab/>
              <w:t>No.</w:t>
            </w:r>
          </w:p>
        </w:tc>
        <w:tc>
          <w:tcPr>
            <w:tcW w:w="1189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b/>
                <w:lang w:val="en-GB"/>
              </w:rPr>
            </w:pPr>
            <w:r w:rsidRPr="00956A8E">
              <w:rPr>
                <w:rFonts w:ascii="Arial" w:eastAsiaTheme="minorEastAsia" w:hAnsi="Arial" w:cs="Arial"/>
                <w:b/>
                <w:lang w:val="en-GB"/>
              </w:rPr>
              <w:t>% (95% CI)</w:t>
            </w:r>
          </w:p>
        </w:tc>
        <w:tc>
          <w:tcPr>
            <w:tcW w:w="61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b/>
                <w:lang w:val="en-GB"/>
              </w:rPr>
            </w:pPr>
            <w:r w:rsidRPr="00956A8E">
              <w:rPr>
                <w:rFonts w:ascii="Arial" w:eastAsiaTheme="minorEastAsia" w:hAnsi="Arial" w:cs="Arial"/>
                <w:b/>
                <w:lang w:val="en-GB"/>
              </w:rPr>
              <w:t>No.</w:t>
            </w:r>
          </w:p>
        </w:tc>
        <w:tc>
          <w:tcPr>
            <w:tcW w:w="1427" w:type="pct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b/>
                <w:lang w:val="en-GB"/>
              </w:rPr>
            </w:pPr>
            <w:r w:rsidRPr="00956A8E">
              <w:rPr>
                <w:rFonts w:ascii="Arial" w:eastAsiaTheme="minorEastAsia" w:hAnsi="Arial" w:cs="Arial"/>
                <w:b/>
                <w:lang w:val="en-GB"/>
              </w:rPr>
              <w:t>% (95% CI)</w:t>
            </w:r>
          </w:p>
        </w:tc>
      </w:tr>
      <w:tr w:rsidR="00D91141" w:rsidRPr="00956A8E" w:rsidTr="004F24D6">
        <w:trPr>
          <w:cantSplit/>
        </w:trPr>
        <w:tc>
          <w:tcPr>
            <w:tcW w:w="119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141" w:rsidRPr="00956A8E" w:rsidRDefault="00D91141" w:rsidP="004F24D6">
            <w:pPr>
              <w:spacing w:before="60" w:after="60" w:line="480" w:lineRule="auto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Overall response rate</w:t>
            </w:r>
          </w:p>
        </w:tc>
        <w:tc>
          <w:tcPr>
            <w:tcW w:w="57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29</w:t>
            </w:r>
          </w:p>
        </w:tc>
        <w:tc>
          <w:tcPr>
            <w:tcW w:w="118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17 (12–23)</w:t>
            </w:r>
          </w:p>
        </w:tc>
        <w:tc>
          <w:tcPr>
            <w:tcW w:w="61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16</w:t>
            </w:r>
          </w:p>
        </w:tc>
        <w:tc>
          <w:tcPr>
            <w:tcW w:w="142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15 (9–23)</w:t>
            </w:r>
          </w:p>
        </w:tc>
      </w:tr>
      <w:tr w:rsidR="00D91141" w:rsidRPr="00956A8E" w:rsidTr="004F24D6">
        <w:trPr>
          <w:cantSplit/>
        </w:trPr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141" w:rsidRPr="00956A8E" w:rsidRDefault="00D91141" w:rsidP="004F24D6">
            <w:pPr>
              <w:spacing w:before="60" w:after="60" w:line="480" w:lineRule="auto"/>
              <w:ind w:left="152" w:hanging="152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 xml:space="preserve">  Complete response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8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5 (2–9)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5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5 (2–10)</w:t>
            </w:r>
          </w:p>
        </w:tc>
      </w:tr>
      <w:tr w:rsidR="00D91141" w:rsidRPr="00956A8E" w:rsidTr="004F24D6">
        <w:trPr>
          <w:cantSplit/>
        </w:trPr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141" w:rsidRPr="00956A8E" w:rsidRDefault="00D91141" w:rsidP="004F24D6">
            <w:pPr>
              <w:spacing w:before="60" w:after="60" w:line="480" w:lineRule="auto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 xml:space="preserve">  Partial response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21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12 (8–18)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11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10 (5–17)</w:t>
            </w:r>
          </w:p>
        </w:tc>
      </w:tr>
      <w:tr w:rsidR="00D91141" w:rsidRPr="00956A8E" w:rsidTr="004F24D6">
        <w:trPr>
          <w:cantSplit/>
        </w:trPr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141" w:rsidRPr="00956A8E" w:rsidRDefault="00D91141" w:rsidP="004F24D6">
            <w:pPr>
              <w:spacing w:before="60" w:after="60" w:line="480" w:lineRule="auto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Stable disease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31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18 (12–24)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18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16 (10–25)</w:t>
            </w:r>
          </w:p>
        </w:tc>
      </w:tr>
      <w:tr w:rsidR="00D91141" w:rsidRPr="00956A8E" w:rsidTr="004F24D6">
        <w:trPr>
          <w:cantSplit/>
          <w:trHeight w:val="404"/>
        </w:trPr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141" w:rsidRPr="00956A8E" w:rsidRDefault="00D91141" w:rsidP="004F24D6">
            <w:pPr>
              <w:spacing w:before="60" w:after="60" w:line="480" w:lineRule="auto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Progressive disease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86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49 (42–57)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57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52 (42–61)</w:t>
            </w:r>
          </w:p>
        </w:tc>
      </w:tr>
      <w:tr w:rsidR="00D91141" w:rsidRPr="00956A8E" w:rsidTr="004F24D6">
        <w:trPr>
          <w:cantSplit/>
        </w:trPr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141" w:rsidRPr="00956A8E" w:rsidRDefault="00D91141" w:rsidP="004F24D6">
            <w:pPr>
              <w:spacing w:before="60" w:after="60" w:line="480" w:lineRule="auto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Non-CR/Non-PD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6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3 (1–7)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4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4 (1–9)</w:t>
            </w:r>
          </w:p>
        </w:tc>
      </w:tr>
      <w:tr w:rsidR="00D91141" w:rsidRPr="00956A8E" w:rsidTr="004F24D6">
        <w:trPr>
          <w:cantSplit/>
        </w:trPr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141" w:rsidRPr="00956A8E" w:rsidRDefault="00D91141" w:rsidP="004F24D6">
            <w:pPr>
              <w:spacing w:before="60" w:after="60" w:line="480" w:lineRule="auto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No assessment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19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11 (7–17)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13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12 (6–19)</w:t>
            </w:r>
          </w:p>
        </w:tc>
      </w:tr>
      <w:tr w:rsidR="00D91141" w:rsidRPr="00956A8E" w:rsidTr="004F24D6">
        <w:trPr>
          <w:cantSplit/>
        </w:trPr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1141" w:rsidRPr="00956A8E" w:rsidRDefault="00D91141" w:rsidP="004F24D6">
            <w:pPr>
              <w:spacing w:before="60" w:after="60" w:line="480" w:lineRule="auto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Not evaluable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3</w:t>
            </w:r>
          </w:p>
        </w:tc>
        <w:tc>
          <w:tcPr>
            <w:tcW w:w="1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2 (0.4–5)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2</w:t>
            </w:r>
          </w:p>
        </w:tc>
        <w:tc>
          <w:tcPr>
            <w:tcW w:w="1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141" w:rsidRPr="00956A8E" w:rsidRDefault="00D91141" w:rsidP="004F24D6">
            <w:pPr>
              <w:spacing w:before="60" w:after="60" w:line="480" w:lineRule="auto"/>
              <w:jc w:val="center"/>
              <w:rPr>
                <w:rFonts w:ascii="Arial" w:eastAsiaTheme="minorEastAsia" w:hAnsi="Arial" w:cs="Arial"/>
                <w:lang w:val="en-GB"/>
              </w:rPr>
            </w:pPr>
            <w:r w:rsidRPr="00956A8E">
              <w:rPr>
                <w:rFonts w:ascii="Arial" w:eastAsiaTheme="minorEastAsia" w:hAnsi="Arial" w:cs="Arial"/>
                <w:lang w:val="en-GB"/>
              </w:rPr>
              <w:t>2 (0.2–6)</w:t>
            </w:r>
          </w:p>
        </w:tc>
      </w:tr>
    </w:tbl>
    <w:p w:rsidR="00D91141" w:rsidRPr="00956A8E" w:rsidRDefault="00D91141" w:rsidP="00D91141">
      <w:pPr>
        <w:spacing w:before="120" w:line="480" w:lineRule="auto"/>
        <w:rPr>
          <w:rFonts w:ascii="Arial" w:hAnsi="Arial" w:cs="Arial"/>
          <w:lang w:val="en-GB"/>
        </w:rPr>
      </w:pPr>
      <w:r w:rsidRPr="00956A8E">
        <w:rPr>
          <w:rFonts w:ascii="Arial" w:hAnsi="Arial" w:cs="Arial"/>
          <w:lang w:val="en-GB"/>
        </w:rPr>
        <w:t xml:space="preserve">Abbreviations: CR = complete response; PD = progressive disease; RECIST = Response Evaluation Criteria in Solid </w:t>
      </w:r>
      <w:proofErr w:type="spellStart"/>
      <w:r w:rsidRPr="00956A8E">
        <w:rPr>
          <w:rFonts w:ascii="Arial" w:hAnsi="Arial" w:cs="Arial"/>
          <w:lang w:val="en-GB"/>
        </w:rPr>
        <w:t>Tumors</w:t>
      </w:r>
      <w:proofErr w:type="spellEnd"/>
      <w:r w:rsidRPr="00956A8E">
        <w:rPr>
          <w:rFonts w:ascii="Arial" w:hAnsi="Arial" w:cs="Arial"/>
          <w:lang w:val="en-GB"/>
        </w:rPr>
        <w:t>.</w:t>
      </w:r>
    </w:p>
    <w:p w:rsidR="00D91141" w:rsidRPr="00956A8E" w:rsidRDefault="00D91141" w:rsidP="00D91141">
      <w:pPr>
        <w:spacing w:before="120" w:line="480" w:lineRule="auto"/>
        <w:rPr>
          <w:rFonts w:ascii="Arial" w:hAnsi="Arial" w:cs="Arial"/>
          <w:lang w:val="en-GB"/>
        </w:rPr>
      </w:pPr>
      <w:r w:rsidRPr="00956A8E">
        <w:rPr>
          <w:rFonts w:ascii="Arial" w:hAnsi="Arial" w:cs="Arial"/>
          <w:lang w:val="en-GB"/>
        </w:rPr>
        <w:t>Only confirmed responses were included.</w:t>
      </w:r>
    </w:p>
    <w:p w:rsidR="00D91141" w:rsidRPr="00956A8E" w:rsidRDefault="00D91141" w:rsidP="00D91141">
      <w:pPr>
        <w:spacing w:before="120" w:line="480" w:lineRule="auto"/>
        <w:rPr>
          <w:rFonts w:ascii="Arial" w:hAnsi="Arial" w:cs="Arial"/>
          <w:lang w:val="en-GB"/>
        </w:rPr>
      </w:pPr>
      <w:r w:rsidRPr="00956A8E">
        <w:rPr>
          <w:rFonts w:ascii="Arial" w:hAnsi="Arial" w:cs="Arial"/>
          <w:lang w:val="en-GB"/>
        </w:rPr>
        <w:t>No assessment: patient had no postbaseline imaging.</w:t>
      </w:r>
    </w:p>
    <w:p w:rsidR="00F62DDC" w:rsidRDefault="00D91141" w:rsidP="00D91141">
      <w:r w:rsidRPr="00956A8E">
        <w:rPr>
          <w:rFonts w:ascii="Arial" w:hAnsi="Arial" w:cs="Arial"/>
          <w:lang w:val="en-GB"/>
        </w:rPr>
        <w:t>Not evaluable: patient had postbaseline imaging, but images were not of sufficient quality to determine response.</w:t>
      </w:r>
      <w:bookmarkStart w:id="0" w:name="_GoBack"/>
      <w:bookmarkEnd w:id="0"/>
    </w:p>
    <w:sectPr w:rsidR="00F62D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141"/>
    <w:rsid w:val="009619A3"/>
    <w:rsid w:val="00993017"/>
    <w:rsid w:val="00D91141"/>
    <w:rsid w:val="00F6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C385B1-2022-4276-9497-D0896DCF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11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Lisa</dc:creator>
  <cp:keywords/>
  <dc:description/>
  <cp:lastModifiedBy>Stephanie Lisa</cp:lastModifiedBy>
  <cp:revision>1</cp:revision>
  <dcterms:created xsi:type="dcterms:W3CDTF">2018-04-19T16:53:00Z</dcterms:created>
  <dcterms:modified xsi:type="dcterms:W3CDTF">2018-04-19T16:53:00Z</dcterms:modified>
</cp:coreProperties>
</file>