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C40" w:rsidRPr="00956A8E" w:rsidRDefault="00760C40" w:rsidP="00760C40">
      <w:pPr>
        <w:spacing w:line="480" w:lineRule="auto"/>
        <w:rPr>
          <w:rFonts w:ascii="Arial" w:hAnsi="Arial" w:cs="Arial"/>
          <w:b/>
          <w:lang w:val="en-GB"/>
        </w:rPr>
      </w:pPr>
      <w:r w:rsidRPr="00956A8E">
        <w:rPr>
          <w:rFonts w:ascii="Arial" w:hAnsi="Arial" w:cs="Arial"/>
          <w:b/>
          <w:lang w:val="en-GB"/>
        </w:rPr>
        <w:t>Supplemental Material</w:t>
      </w:r>
    </w:p>
    <w:p w:rsidR="00760C40" w:rsidRPr="00956A8E" w:rsidRDefault="00760C40" w:rsidP="00760C40">
      <w:pPr>
        <w:spacing w:after="0" w:line="480" w:lineRule="auto"/>
        <w:rPr>
          <w:rFonts w:ascii="Arial" w:hAnsi="Arial" w:cs="Arial"/>
          <w:lang w:val="en-GB"/>
        </w:rPr>
      </w:pPr>
    </w:p>
    <w:p w:rsidR="00F62DDC" w:rsidRDefault="00760C40" w:rsidP="00760C40">
      <w:pPr>
        <w:spacing w:line="480" w:lineRule="auto"/>
      </w:pPr>
      <w:r w:rsidRPr="00956A8E">
        <w:rPr>
          <w:rFonts w:ascii="Arial" w:eastAsiaTheme="minorEastAsia" w:hAnsi="Arial" w:cs="Arial"/>
          <w:b/>
          <w:lang w:val="en-GB"/>
        </w:rPr>
        <w:t xml:space="preserve">Supplemental Figure 1. </w:t>
      </w:r>
      <w:r w:rsidRPr="00956A8E">
        <w:rPr>
          <w:rFonts w:ascii="Arial" w:eastAsiaTheme="minorEastAsia" w:hAnsi="Arial" w:cs="Arial"/>
          <w:lang w:val="en-GB"/>
        </w:rPr>
        <w:t>Kaplan-Meier estimates of (</w:t>
      </w:r>
      <w:r w:rsidRPr="00956A8E">
        <w:rPr>
          <w:rFonts w:ascii="Arial" w:eastAsiaTheme="minorEastAsia" w:hAnsi="Arial" w:cs="Arial"/>
          <w:b/>
          <w:lang w:val="en-GB"/>
        </w:rPr>
        <w:t>A</w:t>
      </w:r>
      <w:r w:rsidRPr="00956A8E">
        <w:rPr>
          <w:rFonts w:ascii="Arial" w:eastAsiaTheme="minorEastAsia" w:hAnsi="Arial" w:cs="Arial"/>
          <w:lang w:val="en-GB"/>
        </w:rPr>
        <w:t>) progression-free survival per RECIST v1.1 by central imaging vendor review and (</w:t>
      </w:r>
      <w:r w:rsidRPr="00956A8E">
        <w:rPr>
          <w:rFonts w:ascii="Arial" w:eastAsiaTheme="minorEastAsia" w:hAnsi="Arial" w:cs="Arial"/>
          <w:b/>
          <w:lang w:val="en-GB"/>
        </w:rPr>
        <w:t>B</w:t>
      </w:r>
      <w:r w:rsidRPr="00956A8E">
        <w:rPr>
          <w:rFonts w:ascii="Arial" w:eastAsiaTheme="minorEastAsia" w:hAnsi="Arial" w:cs="Arial"/>
          <w:lang w:val="en-GB"/>
        </w:rPr>
        <w:t xml:space="preserve">) overall survival based on PD-L1 expression determined using tumour proportion score (TPS) or combined positive score (CPS). Abbreviations: RECIST, Response Evaluation Criteria in Solid </w:t>
      </w:r>
      <w:proofErr w:type="spellStart"/>
      <w:r w:rsidRPr="00956A8E">
        <w:rPr>
          <w:rFonts w:ascii="Arial" w:eastAsiaTheme="minorEastAsia" w:hAnsi="Arial" w:cs="Arial"/>
          <w:lang w:val="en-GB"/>
        </w:rPr>
        <w:t>Tumors</w:t>
      </w:r>
      <w:proofErr w:type="spellEnd"/>
      <w:r w:rsidRPr="00956A8E">
        <w:rPr>
          <w:rFonts w:ascii="Arial" w:eastAsiaTheme="minorEastAsia" w:hAnsi="Arial" w:cs="Arial"/>
          <w:lang w:val="en-GB"/>
        </w:rPr>
        <w:t xml:space="preserve">. </w:t>
      </w:r>
      <w:bookmarkStart w:id="0" w:name="_GoBack"/>
      <w:bookmarkEnd w:id="0"/>
    </w:p>
    <w:sectPr w:rsidR="00F62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C40"/>
    <w:rsid w:val="00760C40"/>
    <w:rsid w:val="009619A3"/>
    <w:rsid w:val="00993017"/>
    <w:rsid w:val="00F6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54B4CF-6B72-44FC-A967-7D479862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Lisa</dc:creator>
  <cp:keywords/>
  <dc:description/>
  <cp:lastModifiedBy>Stephanie Lisa</cp:lastModifiedBy>
  <cp:revision>1</cp:revision>
  <dcterms:created xsi:type="dcterms:W3CDTF">2018-04-19T16:52:00Z</dcterms:created>
  <dcterms:modified xsi:type="dcterms:W3CDTF">2018-04-19T16:53:00Z</dcterms:modified>
</cp:coreProperties>
</file>