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CE9CE2" w14:textId="7A7F0EB6" w:rsidR="00F72857" w:rsidRDefault="00F72857" w:rsidP="00F72857">
      <w:pPr>
        <w:jc w:val="both"/>
        <w:rPr>
          <w:lang w:val="en-US"/>
        </w:rPr>
      </w:pPr>
      <w:bookmarkStart w:id="0" w:name="_GoBack"/>
      <w:bookmarkEnd w:id="0"/>
      <w:r>
        <w:rPr>
          <w:lang w:val="en-US"/>
        </w:rPr>
        <w:t xml:space="preserve">Figure S1: </w:t>
      </w:r>
    </w:p>
    <w:p w14:paraId="7065862E" w14:textId="31166386" w:rsidR="00F72857" w:rsidRDefault="00F72857" w:rsidP="00F72857">
      <w:pPr>
        <w:jc w:val="both"/>
        <w:rPr>
          <w:lang w:val="en-US"/>
        </w:rPr>
      </w:pPr>
      <w:r>
        <w:rPr>
          <w:lang w:val="en-US"/>
        </w:rPr>
        <w:t>(A) (Upper panel) PD-L1 staining in percentage of positive tumor cells (TC) where 0 is lower than 1%, 1 is between 1% and 5%, 2 between 5% and 50% and 3 is higher than 50%. (Lower panel) PD-L1 staining in percentage of positive immune cells (IC) where 0 is lower than 1%, 1 is between 1% and 5%, 2 is between 5% and 10% and 3 is higher than 10% (lower panel). Yellow bar scale at the bottom indicates 50µm. (B)</w:t>
      </w:r>
      <w:r w:rsidRPr="00C82473">
        <w:rPr>
          <w:lang w:val="en-US"/>
        </w:rPr>
        <w:t xml:space="preserve"> </w:t>
      </w:r>
      <w:r w:rsidRPr="00367CDA">
        <w:rPr>
          <w:lang w:val="en-US"/>
        </w:rPr>
        <w:t>Semi-automated evaluation</w:t>
      </w:r>
      <w:r>
        <w:rPr>
          <w:lang w:val="en-US"/>
        </w:rPr>
        <w:t xml:space="preserve"> of</w:t>
      </w:r>
      <w:r w:rsidRPr="00367CDA">
        <w:rPr>
          <w:lang w:val="en-US"/>
        </w:rPr>
        <w:t xml:space="preserve"> CD8</w:t>
      </w:r>
      <w:r w:rsidRPr="00367CDA">
        <w:rPr>
          <w:vertAlign w:val="superscript"/>
          <w:lang w:val="en-US"/>
        </w:rPr>
        <w:t>+</w:t>
      </w:r>
      <w:r w:rsidRPr="00367CDA">
        <w:rPr>
          <w:lang w:val="en-US"/>
        </w:rPr>
        <w:t xml:space="preserve"> cells </w:t>
      </w:r>
      <w:r>
        <w:rPr>
          <w:lang w:val="en-US"/>
        </w:rPr>
        <w:t>using</w:t>
      </w:r>
      <w:r w:rsidRPr="00367CDA">
        <w:rPr>
          <w:lang w:val="en-US"/>
        </w:rPr>
        <w:t xml:space="preserve"> </w:t>
      </w:r>
      <w:proofErr w:type="spellStart"/>
      <w:r w:rsidRPr="00367CDA">
        <w:rPr>
          <w:lang w:val="en-US"/>
        </w:rPr>
        <w:t>QuPath</w:t>
      </w:r>
      <w:proofErr w:type="spellEnd"/>
      <w:r>
        <w:rPr>
          <w:lang w:val="en-US"/>
        </w:rPr>
        <w:t xml:space="preserve"> software</w:t>
      </w:r>
      <w:r w:rsidRPr="00367CDA">
        <w:rPr>
          <w:lang w:val="en-US"/>
        </w:rPr>
        <w:t xml:space="preserve">. </w:t>
      </w:r>
      <w:r>
        <w:rPr>
          <w:lang w:val="en-US"/>
        </w:rPr>
        <w:t>Cells were counted in areas within red boundaries. CD8</w:t>
      </w:r>
      <w:r w:rsidRPr="00C82473">
        <w:rPr>
          <w:vertAlign w:val="superscript"/>
          <w:lang w:val="en-US"/>
        </w:rPr>
        <w:t>+</w:t>
      </w:r>
      <w:r>
        <w:rPr>
          <w:lang w:val="en-US"/>
        </w:rPr>
        <w:t xml:space="preserve"> positive cells are displayed with red contours while negative cells are displayed with blue contours. (Upper panel) Representative snapshots of CD8</w:t>
      </w:r>
      <w:r>
        <w:rPr>
          <w:vertAlign w:val="superscript"/>
          <w:lang w:val="en-US"/>
        </w:rPr>
        <w:t>+</w:t>
      </w:r>
      <w:r>
        <w:rPr>
          <w:lang w:val="en-US"/>
        </w:rPr>
        <w:t xml:space="preserve"> low patient. (Lower panel) Representative snapshots of CD8</w:t>
      </w:r>
      <w:r>
        <w:rPr>
          <w:vertAlign w:val="superscript"/>
          <w:lang w:val="en-US"/>
        </w:rPr>
        <w:t>+</w:t>
      </w:r>
      <w:r>
        <w:rPr>
          <w:lang w:val="en-US"/>
        </w:rPr>
        <w:t xml:space="preserve"> high patient. Yellow scale bar is 500µm for low magnification and 100µm for high magnification. </w:t>
      </w:r>
    </w:p>
    <w:p w14:paraId="454CB7C3" w14:textId="43813141" w:rsidR="00FE3A5B" w:rsidRDefault="00873173" w:rsidP="00FE3A5B">
      <w:pPr>
        <w:jc w:val="both"/>
        <w:rPr>
          <w:lang w:val="en-US"/>
        </w:rPr>
      </w:pPr>
      <w:r>
        <w:rPr>
          <w:lang w:val="en-US"/>
        </w:rPr>
        <w:t>Figure S</w:t>
      </w:r>
      <w:r w:rsidR="00F72857">
        <w:rPr>
          <w:lang w:val="en-US"/>
        </w:rPr>
        <w:t>2</w:t>
      </w:r>
      <w:r w:rsidR="00466D4E">
        <w:rPr>
          <w:lang w:val="en-US"/>
        </w:rPr>
        <w:t>:</w:t>
      </w:r>
    </w:p>
    <w:p w14:paraId="345FB177" w14:textId="5C2D8C9C" w:rsidR="00EF651B" w:rsidRDefault="00FE3A5B" w:rsidP="00EF651B">
      <w:pPr>
        <w:jc w:val="both"/>
        <w:rPr>
          <w:lang w:val="en-US"/>
        </w:rPr>
      </w:pPr>
      <w:r w:rsidRPr="00FE3A5B">
        <w:rPr>
          <w:lang w:val="en-US"/>
        </w:rPr>
        <w:t>(A</w:t>
      </w:r>
      <w:r>
        <w:rPr>
          <w:lang w:val="en-US"/>
        </w:rPr>
        <w:t xml:space="preserve">) </w:t>
      </w:r>
      <w:r w:rsidR="00251B39" w:rsidRPr="00FE3A5B">
        <w:rPr>
          <w:lang w:val="en-US"/>
        </w:rPr>
        <w:t xml:space="preserve">Representative snapshots of typical low (upper panel) and high CD8 staining (lower panel) at low and high magnification. Scale bar is respectively 500µm and 100µm. (B) Representative snapshots of the same sample stained with Sp142 and 22C3 anti-PD-L1 clones. Scale bar is 250µm. </w:t>
      </w:r>
      <w:r w:rsidR="00466D4E" w:rsidRPr="00FE3A5B">
        <w:rPr>
          <w:lang w:val="en-US"/>
        </w:rPr>
        <w:t>(C) Cumulative bar plots representing the proportion of patients with high Sp142 labeling expression (</w:t>
      </w:r>
      <w:r w:rsidR="00251B39" w:rsidRPr="00FE3A5B">
        <w:rPr>
          <w:lang w:val="en-US"/>
        </w:rPr>
        <w:t xml:space="preserve">Sp142+; </w:t>
      </w:r>
      <w:r w:rsidR="00466D4E" w:rsidRPr="00FE3A5B">
        <w:rPr>
          <w:lang w:val="en-US"/>
        </w:rPr>
        <w:t>light grey) or low Sp142 labeling expression (</w:t>
      </w:r>
      <w:r w:rsidR="00251B39" w:rsidRPr="00FE3A5B">
        <w:rPr>
          <w:lang w:val="en-US"/>
        </w:rPr>
        <w:t xml:space="preserve">Sp142-; </w:t>
      </w:r>
      <w:r w:rsidR="00466D4E" w:rsidRPr="00FE3A5B">
        <w:rPr>
          <w:lang w:val="en-US"/>
        </w:rPr>
        <w:t xml:space="preserve">black), respectively for patients with a 22C3 labeling expression &lt; 1%, between 1 and 49% and </w:t>
      </w:r>
      <w:r w:rsidR="006F1D46">
        <w:rPr>
          <w:lang w:val="en-US"/>
        </w:rPr>
        <w:t>≥</w:t>
      </w:r>
      <w:r w:rsidR="00466D4E" w:rsidRPr="00FE3A5B">
        <w:rPr>
          <w:lang w:val="en-US"/>
        </w:rPr>
        <w:t xml:space="preserve"> 50%.</w:t>
      </w:r>
    </w:p>
    <w:p w14:paraId="5E782E5B" w14:textId="3E7EBA9F" w:rsidR="00EF651B" w:rsidRDefault="00EF651B" w:rsidP="00EF651B">
      <w:pPr>
        <w:jc w:val="both"/>
        <w:rPr>
          <w:lang w:val="en-US"/>
        </w:rPr>
      </w:pPr>
      <w:r>
        <w:rPr>
          <w:lang w:val="en-US"/>
        </w:rPr>
        <w:t>Figure S</w:t>
      </w:r>
      <w:r w:rsidR="00F72857">
        <w:rPr>
          <w:lang w:val="en-US"/>
        </w:rPr>
        <w:t>3</w:t>
      </w:r>
      <w:r>
        <w:rPr>
          <w:lang w:val="en-US"/>
        </w:rPr>
        <w:t>:</w:t>
      </w:r>
    </w:p>
    <w:p w14:paraId="77DDAD8E" w14:textId="65773D43" w:rsidR="00246481" w:rsidRDefault="00EF651B" w:rsidP="00614868">
      <w:pPr>
        <w:jc w:val="both"/>
        <w:rPr>
          <w:lang w:val="en-US"/>
        </w:rPr>
      </w:pPr>
      <w:r>
        <w:rPr>
          <w:lang w:val="en-US"/>
        </w:rPr>
        <w:t>(A-D) Box plots showing the mRNA expression of CD8A and CD274 genes comparing distribution between histological classifications (A), tumor stage (B), age (C) and sex (D).</w:t>
      </w:r>
      <w:r w:rsidR="00186902">
        <w:rPr>
          <w:lang w:val="en-US"/>
        </w:rPr>
        <w:t xml:space="preserve"> </w:t>
      </w:r>
      <w:r>
        <w:rPr>
          <w:lang w:val="en-US"/>
        </w:rPr>
        <w:t>(E-F) Kaplan-Meier estimates for overall survival; patients with stage III or IV were stratified according to CD8 (E) and CD274 (F) mRNA expression: high expression (CD8+/CD274+; in red) and low expression (CD8-/CD274-; in blue). (G) Kaplan-Meier estimates for overall survival; patients with stage III or IV were stratified in two groups: a group with low CD8 and high CD274 mRNA expression (</w:t>
      </w:r>
      <w:r w:rsidR="00C77710">
        <w:rPr>
          <w:lang w:val="en-US"/>
        </w:rPr>
        <w:t>CD8-/</w:t>
      </w:r>
      <w:r>
        <w:rPr>
          <w:lang w:val="en-US"/>
        </w:rPr>
        <w:t>CD274+) and a group with the other patients. Cutoffs for low and high expressions were defined</w:t>
      </w:r>
      <w:r w:rsidR="00246481">
        <w:rPr>
          <w:lang w:val="en-US"/>
        </w:rPr>
        <w:t xml:space="preserve"> with the Cutoff Finder method.</w:t>
      </w:r>
      <w:r w:rsidR="00FE3A5B" w:rsidRPr="00FE3A5B">
        <w:rPr>
          <w:lang w:val="en-US"/>
        </w:rPr>
        <w:t xml:space="preserve"> </w:t>
      </w:r>
      <w:r w:rsidR="00246481">
        <w:rPr>
          <w:lang w:val="en-US"/>
        </w:rPr>
        <w:t xml:space="preserve">*: </w:t>
      </w:r>
      <w:r w:rsidR="00246481" w:rsidRPr="00590002">
        <w:rPr>
          <w:i/>
          <w:lang w:val="en-US"/>
        </w:rPr>
        <w:t>p &lt; 0.05</w:t>
      </w:r>
      <w:r w:rsidR="00246481">
        <w:rPr>
          <w:lang w:val="en-US"/>
        </w:rPr>
        <w:t xml:space="preserve">; **: </w:t>
      </w:r>
      <w:r w:rsidR="00246481" w:rsidRPr="00590002">
        <w:rPr>
          <w:i/>
          <w:lang w:val="en-US"/>
        </w:rPr>
        <w:t>p &lt; 0.01</w:t>
      </w:r>
      <w:r w:rsidR="00246481">
        <w:rPr>
          <w:lang w:val="en-US"/>
        </w:rPr>
        <w:t xml:space="preserve">; ***: </w:t>
      </w:r>
      <w:r w:rsidR="00246481" w:rsidRPr="00590002">
        <w:rPr>
          <w:i/>
          <w:lang w:val="en-US"/>
        </w:rPr>
        <w:t>p &lt; 0.001</w:t>
      </w:r>
      <w:r w:rsidR="00246481">
        <w:rPr>
          <w:lang w:val="en-US"/>
        </w:rPr>
        <w:t xml:space="preserve">; ****: </w:t>
      </w:r>
      <w:r w:rsidR="00246481" w:rsidRPr="00590002">
        <w:rPr>
          <w:i/>
          <w:lang w:val="en-US"/>
        </w:rPr>
        <w:t>p &lt; 0.0001</w:t>
      </w:r>
      <w:r w:rsidR="00246481">
        <w:rPr>
          <w:lang w:val="en-US"/>
        </w:rPr>
        <w:t xml:space="preserve">; </w:t>
      </w:r>
      <w:r w:rsidR="00246481" w:rsidRPr="00590002">
        <w:rPr>
          <w:i/>
          <w:lang w:val="en-US"/>
        </w:rPr>
        <w:t>ns</w:t>
      </w:r>
      <w:r w:rsidR="00246481">
        <w:rPr>
          <w:lang w:val="en-US"/>
        </w:rPr>
        <w:t>: not significant.</w:t>
      </w:r>
    </w:p>
    <w:p w14:paraId="4C8E2E0E" w14:textId="5024C68C" w:rsidR="00873173" w:rsidRDefault="00873173" w:rsidP="00614868">
      <w:pPr>
        <w:jc w:val="both"/>
        <w:rPr>
          <w:lang w:val="en-US"/>
        </w:rPr>
      </w:pPr>
      <w:r>
        <w:rPr>
          <w:lang w:val="en-US"/>
        </w:rPr>
        <w:t>Figure S</w:t>
      </w:r>
      <w:r w:rsidR="00F72857">
        <w:rPr>
          <w:lang w:val="en-US"/>
        </w:rPr>
        <w:t>4</w:t>
      </w:r>
      <w:r>
        <w:rPr>
          <w:lang w:val="en-US"/>
        </w:rPr>
        <w:t xml:space="preserve">: </w:t>
      </w:r>
    </w:p>
    <w:p w14:paraId="462EAD4A" w14:textId="42B5C929" w:rsidR="00367CDA" w:rsidRPr="00637276" w:rsidRDefault="00873173" w:rsidP="00251B39">
      <w:pPr>
        <w:jc w:val="both"/>
      </w:pPr>
      <w:r>
        <w:rPr>
          <w:lang w:val="en-US"/>
        </w:rPr>
        <w:t xml:space="preserve">(A-B) </w:t>
      </w:r>
      <w:r w:rsidRPr="00C95D27">
        <w:rPr>
          <w:lang w:val="en-US"/>
        </w:rPr>
        <w:t xml:space="preserve">Cumulative bar plots </w:t>
      </w:r>
      <w:r w:rsidR="006F1D46">
        <w:rPr>
          <w:lang w:val="en-US"/>
        </w:rPr>
        <w:t xml:space="preserve">showing </w:t>
      </w:r>
      <w:r>
        <w:rPr>
          <w:lang w:val="en-US"/>
        </w:rPr>
        <w:t>the proportion of patients with high CD8 expression (</w:t>
      </w:r>
      <w:r w:rsidR="00251B39">
        <w:rPr>
          <w:lang w:val="en-US"/>
        </w:rPr>
        <w:t xml:space="preserve">CD8+/CD8A+; </w:t>
      </w:r>
      <w:r>
        <w:rPr>
          <w:lang w:val="en-US"/>
        </w:rPr>
        <w:t>light grey) or low CD8 expression (</w:t>
      </w:r>
      <w:r w:rsidR="00251B39">
        <w:rPr>
          <w:lang w:val="en-US"/>
        </w:rPr>
        <w:t xml:space="preserve">CD8-/CD8A-; </w:t>
      </w:r>
      <w:r>
        <w:rPr>
          <w:lang w:val="en-US"/>
        </w:rPr>
        <w:t xml:space="preserve">black) for IHC (A) and mRNA (B) analyses, </w:t>
      </w:r>
      <w:r w:rsidRPr="0014073B">
        <w:rPr>
          <w:lang w:val="en-US"/>
        </w:rPr>
        <w:t>respectively for patients with progression-disease RECIST response</w:t>
      </w:r>
      <w:r>
        <w:rPr>
          <w:lang w:val="en-US"/>
        </w:rPr>
        <w:t xml:space="preserve"> </w:t>
      </w:r>
      <w:r w:rsidRPr="0014073B">
        <w:rPr>
          <w:lang w:val="en-US"/>
        </w:rPr>
        <w:t>(PD) and pooled stable-disease and partial response (</w:t>
      </w:r>
      <w:r>
        <w:rPr>
          <w:lang w:val="en-US"/>
        </w:rPr>
        <w:t xml:space="preserve">SD </w:t>
      </w:r>
      <w:r w:rsidRPr="0014073B">
        <w:rPr>
          <w:lang w:val="en-US"/>
        </w:rPr>
        <w:t>+</w:t>
      </w:r>
      <w:r>
        <w:rPr>
          <w:lang w:val="en-US"/>
        </w:rPr>
        <w:t xml:space="preserve"> PR</w:t>
      </w:r>
      <w:r w:rsidRPr="0014073B">
        <w:rPr>
          <w:lang w:val="en-US"/>
        </w:rPr>
        <w:t>).</w:t>
      </w:r>
      <w:r>
        <w:rPr>
          <w:lang w:val="en-US"/>
        </w:rPr>
        <w:t xml:space="preserve"> (C-D) </w:t>
      </w:r>
      <w:r w:rsidRPr="00C95D27">
        <w:rPr>
          <w:lang w:val="en-US"/>
        </w:rPr>
        <w:t xml:space="preserve">Cumulative bar plots </w:t>
      </w:r>
      <w:r w:rsidR="00491DF4">
        <w:rPr>
          <w:lang w:val="en-US"/>
        </w:rPr>
        <w:t xml:space="preserve">showing </w:t>
      </w:r>
      <w:r>
        <w:rPr>
          <w:lang w:val="en-US"/>
        </w:rPr>
        <w:t>the proportion of patients with high PD-L1 expression (</w:t>
      </w:r>
      <w:r w:rsidR="00251B39">
        <w:rPr>
          <w:lang w:val="en-US"/>
        </w:rPr>
        <w:t xml:space="preserve">Sp142+/CD274+; </w:t>
      </w:r>
      <w:r>
        <w:rPr>
          <w:lang w:val="en-US"/>
        </w:rPr>
        <w:t>light grey) or low P</w:t>
      </w:r>
      <w:r w:rsidR="00466D4E">
        <w:rPr>
          <w:lang w:val="en-US"/>
        </w:rPr>
        <w:t>D</w:t>
      </w:r>
      <w:r>
        <w:rPr>
          <w:lang w:val="en-US"/>
        </w:rPr>
        <w:t>-L1 expression (</w:t>
      </w:r>
      <w:r w:rsidR="00251B39">
        <w:rPr>
          <w:lang w:val="en-US"/>
        </w:rPr>
        <w:t xml:space="preserve">Sp142-/CD274-; </w:t>
      </w:r>
      <w:r>
        <w:rPr>
          <w:lang w:val="en-US"/>
        </w:rPr>
        <w:t xml:space="preserve">black) for IHC (A) and mRNA (B) analyses, </w:t>
      </w:r>
      <w:r w:rsidRPr="0014073B">
        <w:rPr>
          <w:lang w:val="en-US"/>
        </w:rPr>
        <w:t>respectively for patients with progression-disease RECIST response</w:t>
      </w:r>
      <w:r>
        <w:rPr>
          <w:lang w:val="en-US"/>
        </w:rPr>
        <w:t xml:space="preserve"> </w:t>
      </w:r>
      <w:r w:rsidRPr="0014073B">
        <w:rPr>
          <w:lang w:val="en-US"/>
        </w:rPr>
        <w:t>(PD) and pooled stable-disease and partial response (</w:t>
      </w:r>
      <w:r>
        <w:rPr>
          <w:lang w:val="en-US"/>
        </w:rPr>
        <w:t xml:space="preserve">SD </w:t>
      </w:r>
      <w:r w:rsidRPr="0014073B">
        <w:rPr>
          <w:lang w:val="en-US"/>
        </w:rPr>
        <w:t>+</w:t>
      </w:r>
      <w:r>
        <w:rPr>
          <w:lang w:val="en-US"/>
        </w:rPr>
        <w:t xml:space="preserve"> PR</w:t>
      </w:r>
      <w:r w:rsidRPr="0014073B">
        <w:rPr>
          <w:lang w:val="en-US"/>
        </w:rPr>
        <w:t>).</w:t>
      </w:r>
      <w:r w:rsidRPr="00873173">
        <w:rPr>
          <w:lang w:val="en-US"/>
        </w:rPr>
        <w:t xml:space="preserve"> </w:t>
      </w:r>
      <w:r>
        <w:rPr>
          <w:lang w:val="en-US"/>
        </w:rPr>
        <w:t>Cutoffs for low and high expressions were defined with the Cutoff Finder method</w:t>
      </w:r>
      <w:r w:rsidR="00246481">
        <w:rPr>
          <w:lang w:val="en-US"/>
        </w:rPr>
        <w:t xml:space="preserve">. </w:t>
      </w:r>
      <w:r w:rsidR="00246481" w:rsidRPr="00367CDA">
        <w:t xml:space="preserve">*: </w:t>
      </w:r>
      <w:r w:rsidR="00246481" w:rsidRPr="00367CDA">
        <w:rPr>
          <w:i/>
        </w:rPr>
        <w:t>p &lt; 0.05</w:t>
      </w:r>
      <w:r w:rsidR="00246481" w:rsidRPr="00367CDA">
        <w:t xml:space="preserve">; **: </w:t>
      </w:r>
      <w:r w:rsidR="00246481" w:rsidRPr="00367CDA">
        <w:rPr>
          <w:i/>
        </w:rPr>
        <w:t>p &lt; 0.01</w:t>
      </w:r>
      <w:r w:rsidR="00246481" w:rsidRPr="00367CDA">
        <w:t xml:space="preserve">; ***: </w:t>
      </w:r>
      <w:r w:rsidR="00246481" w:rsidRPr="00367CDA">
        <w:rPr>
          <w:i/>
        </w:rPr>
        <w:t>p &lt; 0.001</w:t>
      </w:r>
      <w:r w:rsidR="00246481" w:rsidRPr="00367CDA">
        <w:t xml:space="preserve">; ****: </w:t>
      </w:r>
      <w:r w:rsidR="00246481" w:rsidRPr="00367CDA">
        <w:rPr>
          <w:i/>
        </w:rPr>
        <w:t>p &lt; 0.0001</w:t>
      </w:r>
      <w:r w:rsidR="00246481" w:rsidRPr="00367CDA">
        <w:t xml:space="preserve">; </w:t>
      </w:r>
      <w:r w:rsidR="00246481" w:rsidRPr="00367CDA">
        <w:rPr>
          <w:i/>
        </w:rPr>
        <w:t>ns</w:t>
      </w:r>
      <w:r w:rsidR="00246481" w:rsidRPr="00367CDA">
        <w:t xml:space="preserve">: not </w:t>
      </w:r>
      <w:proofErr w:type="spellStart"/>
      <w:r w:rsidR="00246481" w:rsidRPr="00367CDA">
        <w:t>significant</w:t>
      </w:r>
      <w:proofErr w:type="spellEnd"/>
      <w:r w:rsidR="00246481" w:rsidRPr="00367CDA">
        <w:t>.</w:t>
      </w:r>
    </w:p>
    <w:sectPr w:rsidR="00367CDA" w:rsidRPr="006372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A3339"/>
    <w:multiLevelType w:val="hybridMultilevel"/>
    <w:tmpl w:val="75106CA0"/>
    <w:lvl w:ilvl="0" w:tplc="C660E86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99B6473"/>
    <w:multiLevelType w:val="hybridMultilevel"/>
    <w:tmpl w:val="F7A62180"/>
    <w:lvl w:ilvl="0" w:tplc="3F540F00">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C3641E2"/>
    <w:multiLevelType w:val="hybridMultilevel"/>
    <w:tmpl w:val="6E7C07D6"/>
    <w:lvl w:ilvl="0" w:tplc="F8C0747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574530A0"/>
    <w:multiLevelType w:val="hybridMultilevel"/>
    <w:tmpl w:val="0318F2F8"/>
    <w:lvl w:ilvl="0" w:tplc="EB6AC9D2">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6B6546F0"/>
    <w:multiLevelType w:val="hybridMultilevel"/>
    <w:tmpl w:val="7E68C3AC"/>
    <w:lvl w:ilvl="0" w:tplc="422AB74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58A"/>
    <w:rsid w:val="00010452"/>
    <w:rsid w:val="00017ADE"/>
    <w:rsid w:val="00022F14"/>
    <w:rsid w:val="00031B01"/>
    <w:rsid w:val="00050800"/>
    <w:rsid w:val="000605FF"/>
    <w:rsid w:val="00064501"/>
    <w:rsid w:val="000849E6"/>
    <w:rsid w:val="0008538B"/>
    <w:rsid w:val="000853B9"/>
    <w:rsid w:val="000C03BD"/>
    <w:rsid w:val="000C75DD"/>
    <w:rsid w:val="000D0454"/>
    <w:rsid w:val="001032AA"/>
    <w:rsid w:val="0011497B"/>
    <w:rsid w:val="00117475"/>
    <w:rsid w:val="00134C76"/>
    <w:rsid w:val="00135B6D"/>
    <w:rsid w:val="0014073B"/>
    <w:rsid w:val="00145B1E"/>
    <w:rsid w:val="001617BF"/>
    <w:rsid w:val="0017212B"/>
    <w:rsid w:val="00186902"/>
    <w:rsid w:val="00190D97"/>
    <w:rsid w:val="001D1D83"/>
    <w:rsid w:val="001E7CDE"/>
    <w:rsid w:val="001F291D"/>
    <w:rsid w:val="00207FC2"/>
    <w:rsid w:val="00235C9B"/>
    <w:rsid w:val="00237A10"/>
    <w:rsid w:val="00246481"/>
    <w:rsid w:val="00251B39"/>
    <w:rsid w:val="00276E4D"/>
    <w:rsid w:val="00286015"/>
    <w:rsid w:val="002A05BA"/>
    <w:rsid w:val="002A5E79"/>
    <w:rsid w:val="002B4187"/>
    <w:rsid w:val="002C55B0"/>
    <w:rsid w:val="002C7E8F"/>
    <w:rsid w:val="002D693F"/>
    <w:rsid w:val="002F39EA"/>
    <w:rsid w:val="00303784"/>
    <w:rsid w:val="00311ECE"/>
    <w:rsid w:val="00315B33"/>
    <w:rsid w:val="0032481A"/>
    <w:rsid w:val="00342112"/>
    <w:rsid w:val="0036050D"/>
    <w:rsid w:val="0036223C"/>
    <w:rsid w:val="00365278"/>
    <w:rsid w:val="00367CDA"/>
    <w:rsid w:val="00373E8B"/>
    <w:rsid w:val="003843DF"/>
    <w:rsid w:val="00386D02"/>
    <w:rsid w:val="003978E2"/>
    <w:rsid w:val="003A1D7F"/>
    <w:rsid w:val="003A360D"/>
    <w:rsid w:val="003D4ECD"/>
    <w:rsid w:val="003D6660"/>
    <w:rsid w:val="003E3158"/>
    <w:rsid w:val="003F144F"/>
    <w:rsid w:val="00425E1B"/>
    <w:rsid w:val="00445F51"/>
    <w:rsid w:val="004474D0"/>
    <w:rsid w:val="004522AF"/>
    <w:rsid w:val="004538D8"/>
    <w:rsid w:val="004545E2"/>
    <w:rsid w:val="00461D54"/>
    <w:rsid w:val="00466D4E"/>
    <w:rsid w:val="00472718"/>
    <w:rsid w:val="00474554"/>
    <w:rsid w:val="004758D2"/>
    <w:rsid w:val="00480FB9"/>
    <w:rsid w:val="00491DF4"/>
    <w:rsid w:val="00493DB7"/>
    <w:rsid w:val="004B69A7"/>
    <w:rsid w:val="004D6208"/>
    <w:rsid w:val="004F75A4"/>
    <w:rsid w:val="00531E17"/>
    <w:rsid w:val="00541ED6"/>
    <w:rsid w:val="005544A3"/>
    <w:rsid w:val="00563910"/>
    <w:rsid w:val="005805E0"/>
    <w:rsid w:val="005829F0"/>
    <w:rsid w:val="00582D34"/>
    <w:rsid w:val="00590002"/>
    <w:rsid w:val="005A4D80"/>
    <w:rsid w:val="005B593A"/>
    <w:rsid w:val="005C5168"/>
    <w:rsid w:val="005E071D"/>
    <w:rsid w:val="005E4310"/>
    <w:rsid w:val="005F4FF8"/>
    <w:rsid w:val="00613D4B"/>
    <w:rsid w:val="00614868"/>
    <w:rsid w:val="00621DCE"/>
    <w:rsid w:val="00623772"/>
    <w:rsid w:val="00637276"/>
    <w:rsid w:val="00642489"/>
    <w:rsid w:val="00642A28"/>
    <w:rsid w:val="006564C0"/>
    <w:rsid w:val="006567A9"/>
    <w:rsid w:val="0067108B"/>
    <w:rsid w:val="006759AA"/>
    <w:rsid w:val="00680F79"/>
    <w:rsid w:val="00684345"/>
    <w:rsid w:val="006A1735"/>
    <w:rsid w:val="006A6A0D"/>
    <w:rsid w:val="006E24C0"/>
    <w:rsid w:val="006F1D46"/>
    <w:rsid w:val="006F3D54"/>
    <w:rsid w:val="00700344"/>
    <w:rsid w:val="0072584F"/>
    <w:rsid w:val="00767463"/>
    <w:rsid w:val="0077508B"/>
    <w:rsid w:val="00775AA0"/>
    <w:rsid w:val="00776AE0"/>
    <w:rsid w:val="00781F97"/>
    <w:rsid w:val="00792171"/>
    <w:rsid w:val="007941E8"/>
    <w:rsid w:val="007A3CE0"/>
    <w:rsid w:val="007A6D12"/>
    <w:rsid w:val="007F4DA8"/>
    <w:rsid w:val="00812C5D"/>
    <w:rsid w:val="0081727B"/>
    <w:rsid w:val="00822982"/>
    <w:rsid w:val="008316FE"/>
    <w:rsid w:val="00840D95"/>
    <w:rsid w:val="00850601"/>
    <w:rsid w:val="008516BA"/>
    <w:rsid w:val="00864148"/>
    <w:rsid w:val="008727C6"/>
    <w:rsid w:val="00873173"/>
    <w:rsid w:val="00873347"/>
    <w:rsid w:val="00876D6C"/>
    <w:rsid w:val="008800CF"/>
    <w:rsid w:val="0089051A"/>
    <w:rsid w:val="008B2694"/>
    <w:rsid w:val="008B41D4"/>
    <w:rsid w:val="008B58BC"/>
    <w:rsid w:val="008F4AAA"/>
    <w:rsid w:val="0091679B"/>
    <w:rsid w:val="009320F4"/>
    <w:rsid w:val="00933347"/>
    <w:rsid w:val="009359E9"/>
    <w:rsid w:val="009366B2"/>
    <w:rsid w:val="009420B0"/>
    <w:rsid w:val="00960FF3"/>
    <w:rsid w:val="00962179"/>
    <w:rsid w:val="0097369A"/>
    <w:rsid w:val="009748EB"/>
    <w:rsid w:val="00986FD8"/>
    <w:rsid w:val="00987D8C"/>
    <w:rsid w:val="00990BDC"/>
    <w:rsid w:val="009C1B3E"/>
    <w:rsid w:val="009C2FF3"/>
    <w:rsid w:val="009C452A"/>
    <w:rsid w:val="009D1382"/>
    <w:rsid w:val="00A07F1F"/>
    <w:rsid w:val="00A25B07"/>
    <w:rsid w:val="00A32F07"/>
    <w:rsid w:val="00A5323F"/>
    <w:rsid w:val="00A62192"/>
    <w:rsid w:val="00A6794F"/>
    <w:rsid w:val="00A71925"/>
    <w:rsid w:val="00A81AAE"/>
    <w:rsid w:val="00A9712B"/>
    <w:rsid w:val="00AA4840"/>
    <w:rsid w:val="00AC0BD2"/>
    <w:rsid w:val="00AC0CAA"/>
    <w:rsid w:val="00AC3D15"/>
    <w:rsid w:val="00AD2D81"/>
    <w:rsid w:val="00AD4123"/>
    <w:rsid w:val="00B024C0"/>
    <w:rsid w:val="00B13FED"/>
    <w:rsid w:val="00B26177"/>
    <w:rsid w:val="00B33E30"/>
    <w:rsid w:val="00B360AC"/>
    <w:rsid w:val="00B47017"/>
    <w:rsid w:val="00B66E04"/>
    <w:rsid w:val="00B66E0E"/>
    <w:rsid w:val="00B818FE"/>
    <w:rsid w:val="00B848B0"/>
    <w:rsid w:val="00BA6B43"/>
    <w:rsid w:val="00BB1EB7"/>
    <w:rsid w:val="00BB341C"/>
    <w:rsid w:val="00BB4695"/>
    <w:rsid w:val="00BB55EA"/>
    <w:rsid w:val="00BD30DD"/>
    <w:rsid w:val="00C0313A"/>
    <w:rsid w:val="00C0750A"/>
    <w:rsid w:val="00C30676"/>
    <w:rsid w:val="00C34665"/>
    <w:rsid w:val="00C420ED"/>
    <w:rsid w:val="00C51C81"/>
    <w:rsid w:val="00C63210"/>
    <w:rsid w:val="00C6430C"/>
    <w:rsid w:val="00C66332"/>
    <w:rsid w:val="00C75ACF"/>
    <w:rsid w:val="00C77710"/>
    <w:rsid w:val="00C82473"/>
    <w:rsid w:val="00C928D8"/>
    <w:rsid w:val="00C92F4E"/>
    <w:rsid w:val="00C948B8"/>
    <w:rsid w:val="00C95D27"/>
    <w:rsid w:val="00CD2E20"/>
    <w:rsid w:val="00CE4165"/>
    <w:rsid w:val="00CF15BD"/>
    <w:rsid w:val="00CF3B2D"/>
    <w:rsid w:val="00CF4631"/>
    <w:rsid w:val="00D06173"/>
    <w:rsid w:val="00D106E5"/>
    <w:rsid w:val="00D20EEF"/>
    <w:rsid w:val="00D300FF"/>
    <w:rsid w:val="00D5050D"/>
    <w:rsid w:val="00D636FF"/>
    <w:rsid w:val="00D64C89"/>
    <w:rsid w:val="00D6540E"/>
    <w:rsid w:val="00D7000A"/>
    <w:rsid w:val="00D766E8"/>
    <w:rsid w:val="00D80A38"/>
    <w:rsid w:val="00D82326"/>
    <w:rsid w:val="00D8637C"/>
    <w:rsid w:val="00D932CF"/>
    <w:rsid w:val="00D942BE"/>
    <w:rsid w:val="00DA025C"/>
    <w:rsid w:val="00DC6F30"/>
    <w:rsid w:val="00DE5740"/>
    <w:rsid w:val="00DF0C23"/>
    <w:rsid w:val="00DF752A"/>
    <w:rsid w:val="00E127CC"/>
    <w:rsid w:val="00E13F9C"/>
    <w:rsid w:val="00E15EE0"/>
    <w:rsid w:val="00E20512"/>
    <w:rsid w:val="00E20E05"/>
    <w:rsid w:val="00E4213B"/>
    <w:rsid w:val="00E47DE9"/>
    <w:rsid w:val="00E521E4"/>
    <w:rsid w:val="00E526E4"/>
    <w:rsid w:val="00E63487"/>
    <w:rsid w:val="00E64236"/>
    <w:rsid w:val="00E74C05"/>
    <w:rsid w:val="00E77CA2"/>
    <w:rsid w:val="00EC4D1B"/>
    <w:rsid w:val="00EE06FB"/>
    <w:rsid w:val="00EE3DB2"/>
    <w:rsid w:val="00EF1E65"/>
    <w:rsid w:val="00EF651B"/>
    <w:rsid w:val="00F0611B"/>
    <w:rsid w:val="00F07B19"/>
    <w:rsid w:val="00F12DF2"/>
    <w:rsid w:val="00F2258A"/>
    <w:rsid w:val="00F241B1"/>
    <w:rsid w:val="00F4592F"/>
    <w:rsid w:val="00F53DC0"/>
    <w:rsid w:val="00F72857"/>
    <w:rsid w:val="00F90B6F"/>
    <w:rsid w:val="00F942DF"/>
    <w:rsid w:val="00F95EB8"/>
    <w:rsid w:val="00FA0D81"/>
    <w:rsid w:val="00FA6941"/>
    <w:rsid w:val="00FB08F9"/>
    <w:rsid w:val="00FD1F0B"/>
    <w:rsid w:val="00FD45EF"/>
    <w:rsid w:val="00FE3A5B"/>
    <w:rsid w:val="00FE65F5"/>
    <w:rsid w:val="00FE68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B2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61D54"/>
    <w:rPr>
      <w:sz w:val="16"/>
      <w:szCs w:val="16"/>
    </w:rPr>
  </w:style>
  <w:style w:type="paragraph" w:styleId="CommentText">
    <w:name w:val="annotation text"/>
    <w:basedOn w:val="Normal"/>
    <w:link w:val="CommentTextChar"/>
    <w:uiPriority w:val="99"/>
    <w:semiHidden/>
    <w:unhideWhenUsed/>
    <w:rsid w:val="00461D54"/>
    <w:pPr>
      <w:spacing w:line="240" w:lineRule="auto"/>
    </w:pPr>
    <w:rPr>
      <w:sz w:val="20"/>
      <w:szCs w:val="20"/>
    </w:rPr>
  </w:style>
  <w:style w:type="character" w:customStyle="1" w:styleId="CommentTextChar">
    <w:name w:val="Comment Text Char"/>
    <w:basedOn w:val="DefaultParagraphFont"/>
    <w:link w:val="CommentText"/>
    <w:uiPriority w:val="99"/>
    <w:semiHidden/>
    <w:rsid w:val="00461D54"/>
    <w:rPr>
      <w:sz w:val="20"/>
      <w:szCs w:val="20"/>
    </w:rPr>
  </w:style>
  <w:style w:type="paragraph" w:styleId="CommentSubject">
    <w:name w:val="annotation subject"/>
    <w:basedOn w:val="CommentText"/>
    <w:next w:val="CommentText"/>
    <w:link w:val="CommentSubjectChar"/>
    <w:uiPriority w:val="99"/>
    <w:semiHidden/>
    <w:unhideWhenUsed/>
    <w:rsid w:val="00461D54"/>
    <w:rPr>
      <w:b/>
      <w:bCs/>
    </w:rPr>
  </w:style>
  <w:style w:type="character" w:customStyle="1" w:styleId="CommentSubjectChar">
    <w:name w:val="Comment Subject Char"/>
    <w:basedOn w:val="CommentTextChar"/>
    <w:link w:val="CommentSubject"/>
    <w:uiPriority w:val="99"/>
    <w:semiHidden/>
    <w:rsid w:val="00461D54"/>
    <w:rPr>
      <w:b/>
      <w:bCs/>
      <w:sz w:val="20"/>
      <w:szCs w:val="20"/>
    </w:rPr>
  </w:style>
  <w:style w:type="paragraph" w:styleId="Revision">
    <w:name w:val="Revision"/>
    <w:hidden/>
    <w:uiPriority w:val="99"/>
    <w:semiHidden/>
    <w:rsid w:val="00461D54"/>
    <w:pPr>
      <w:spacing w:after="0" w:line="240" w:lineRule="auto"/>
    </w:pPr>
  </w:style>
  <w:style w:type="paragraph" w:styleId="BalloonText">
    <w:name w:val="Balloon Text"/>
    <w:basedOn w:val="Normal"/>
    <w:link w:val="BalloonTextChar"/>
    <w:uiPriority w:val="99"/>
    <w:semiHidden/>
    <w:unhideWhenUsed/>
    <w:rsid w:val="00461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1D54"/>
    <w:rPr>
      <w:rFonts w:ascii="Tahoma" w:hAnsi="Tahoma" w:cs="Tahoma"/>
      <w:sz w:val="16"/>
      <w:szCs w:val="16"/>
    </w:rPr>
  </w:style>
  <w:style w:type="paragraph" w:styleId="ListParagraph">
    <w:name w:val="List Paragraph"/>
    <w:basedOn w:val="Normal"/>
    <w:uiPriority w:val="34"/>
    <w:qFormat/>
    <w:rsid w:val="00FA69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61D54"/>
    <w:rPr>
      <w:sz w:val="16"/>
      <w:szCs w:val="16"/>
    </w:rPr>
  </w:style>
  <w:style w:type="paragraph" w:styleId="CommentText">
    <w:name w:val="annotation text"/>
    <w:basedOn w:val="Normal"/>
    <w:link w:val="CommentTextChar"/>
    <w:uiPriority w:val="99"/>
    <w:semiHidden/>
    <w:unhideWhenUsed/>
    <w:rsid w:val="00461D54"/>
    <w:pPr>
      <w:spacing w:line="240" w:lineRule="auto"/>
    </w:pPr>
    <w:rPr>
      <w:sz w:val="20"/>
      <w:szCs w:val="20"/>
    </w:rPr>
  </w:style>
  <w:style w:type="character" w:customStyle="1" w:styleId="CommentTextChar">
    <w:name w:val="Comment Text Char"/>
    <w:basedOn w:val="DefaultParagraphFont"/>
    <w:link w:val="CommentText"/>
    <w:uiPriority w:val="99"/>
    <w:semiHidden/>
    <w:rsid w:val="00461D54"/>
    <w:rPr>
      <w:sz w:val="20"/>
      <w:szCs w:val="20"/>
    </w:rPr>
  </w:style>
  <w:style w:type="paragraph" w:styleId="CommentSubject">
    <w:name w:val="annotation subject"/>
    <w:basedOn w:val="CommentText"/>
    <w:next w:val="CommentText"/>
    <w:link w:val="CommentSubjectChar"/>
    <w:uiPriority w:val="99"/>
    <w:semiHidden/>
    <w:unhideWhenUsed/>
    <w:rsid w:val="00461D54"/>
    <w:rPr>
      <w:b/>
      <w:bCs/>
    </w:rPr>
  </w:style>
  <w:style w:type="character" w:customStyle="1" w:styleId="CommentSubjectChar">
    <w:name w:val="Comment Subject Char"/>
    <w:basedOn w:val="CommentTextChar"/>
    <w:link w:val="CommentSubject"/>
    <w:uiPriority w:val="99"/>
    <w:semiHidden/>
    <w:rsid w:val="00461D54"/>
    <w:rPr>
      <w:b/>
      <w:bCs/>
      <w:sz w:val="20"/>
      <w:szCs w:val="20"/>
    </w:rPr>
  </w:style>
  <w:style w:type="paragraph" w:styleId="Revision">
    <w:name w:val="Revision"/>
    <w:hidden/>
    <w:uiPriority w:val="99"/>
    <w:semiHidden/>
    <w:rsid w:val="00461D54"/>
    <w:pPr>
      <w:spacing w:after="0" w:line="240" w:lineRule="auto"/>
    </w:pPr>
  </w:style>
  <w:style w:type="paragraph" w:styleId="BalloonText">
    <w:name w:val="Balloon Text"/>
    <w:basedOn w:val="Normal"/>
    <w:link w:val="BalloonTextChar"/>
    <w:uiPriority w:val="99"/>
    <w:semiHidden/>
    <w:unhideWhenUsed/>
    <w:rsid w:val="00461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1D54"/>
    <w:rPr>
      <w:rFonts w:ascii="Tahoma" w:hAnsi="Tahoma" w:cs="Tahoma"/>
      <w:sz w:val="16"/>
      <w:szCs w:val="16"/>
    </w:rPr>
  </w:style>
  <w:style w:type="paragraph" w:styleId="ListParagraph">
    <w:name w:val="List Paragraph"/>
    <w:basedOn w:val="Normal"/>
    <w:uiPriority w:val="34"/>
    <w:qFormat/>
    <w:rsid w:val="00FA69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450</Words>
  <Characters>2568</Characters>
  <Application>Microsoft Office Word</Application>
  <DocSecurity>0</DocSecurity>
  <Lines>21</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CGFL</Company>
  <LinksUpToDate>false</LinksUpToDate>
  <CharactersWithSpaces>3012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Corentin</dc:creator>
  <cp:lastModifiedBy>Whelan, Nick, Macmillan</cp:lastModifiedBy>
  <cp:revision>3</cp:revision>
  <dcterms:created xsi:type="dcterms:W3CDTF">2018-10-09T11:20:00Z</dcterms:created>
  <dcterms:modified xsi:type="dcterms:W3CDTF">2018-10-09T11:21:00Z</dcterms:modified>
</cp:coreProperties>
</file>