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10CE1" w14:textId="1636C377" w:rsidR="00010DC6" w:rsidRPr="00F9462C" w:rsidRDefault="00010DC6" w:rsidP="00F9462C">
      <w:pPr>
        <w:spacing w:afterLines="60" w:after="144" w:line="240" w:lineRule="auto"/>
        <w:rPr>
          <w:rFonts w:ascii="Times New Roman" w:hAnsi="Times New Roman" w:cs="Times New Roman"/>
          <w:b/>
          <w:sz w:val="24"/>
          <w:szCs w:val="24"/>
        </w:rPr>
      </w:pPr>
      <w:bookmarkStart w:id="0" w:name="_GoBack"/>
      <w:bookmarkEnd w:id="0"/>
      <w:r w:rsidRPr="00F9462C">
        <w:rPr>
          <w:rFonts w:ascii="Times New Roman" w:eastAsia="TimesNewRoman" w:hAnsi="Times New Roman" w:cs="Times New Roman"/>
          <w:b/>
          <w:sz w:val="24"/>
          <w:szCs w:val="24"/>
        </w:rPr>
        <w:t xml:space="preserve">Supplementary </w:t>
      </w:r>
      <w:r w:rsidR="00002CDA">
        <w:rPr>
          <w:rFonts w:ascii="Times New Roman" w:eastAsia="TimesNewRoman" w:hAnsi="Times New Roman" w:cs="Times New Roman"/>
          <w:b/>
          <w:sz w:val="24"/>
          <w:szCs w:val="24"/>
        </w:rPr>
        <w:t>Materials</w:t>
      </w:r>
    </w:p>
    <w:p w14:paraId="4DF579EE" w14:textId="5D538729" w:rsidR="00587BC0" w:rsidRDefault="00587BC0" w:rsidP="00F9462C">
      <w:pPr>
        <w:spacing w:afterLines="60" w:after="144" w:line="240" w:lineRule="auto"/>
        <w:rPr>
          <w:rFonts w:ascii="Times New Roman" w:hAnsi="Times New Roman" w:cs="Times New Roman"/>
          <w:b/>
          <w:sz w:val="20"/>
          <w:szCs w:val="20"/>
        </w:rPr>
      </w:pPr>
      <w:r>
        <w:rPr>
          <w:rFonts w:ascii="Times New Roman" w:hAnsi="Times New Roman" w:cs="Times New Roman"/>
          <w:b/>
          <w:sz w:val="20"/>
          <w:szCs w:val="20"/>
        </w:rPr>
        <w:t>Supplementary Methods</w:t>
      </w:r>
    </w:p>
    <w:p w14:paraId="017342DC" w14:textId="2385638B" w:rsidR="00CB11C0" w:rsidRPr="00587BC0" w:rsidRDefault="00CB11C0"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 xml:space="preserve">Study </w:t>
      </w:r>
      <w:r w:rsidR="001F0CE6" w:rsidRPr="00587BC0">
        <w:rPr>
          <w:rFonts w:ascii="Times New Roman" w:hAnsi="Times New Roman" w:cs="Times New Roman"/>
          <w:b/>
          <w:i/>
          <w:sz w:val="20"/>
          <w:szCs w:val="20"/>
        </w:rPr>
        <w:t>D</w:t>
      </w:r>
      <w:r w:rsidRPr="00587BC0">
        <w:rPr>
          <w:rFonts w:ascii="Times New Roman" w:hAnsi="Times New Roman" w:cs="Times New Roman"/>
          <w:b/>
          <w:i/>
          <w:sz w:val="20"/>
          <w:szCs w:val="20"/>
        </w:rPr>
        <w:t xml:space="preserve">esign and </w:t>
      </w:r>
      <w:r w:rsidR="001F0CE6" w:rsidRPr="00587BC0">
        <w:rPr>
          <w:rFonts w:ascii="Times New Roman" w:hAnsi="Times New Roman" w:cs="Times New Roman"/>
          <w:b/>
          <w:i/>
          <w:sz w:val="20"/>
          <w:szCs w:val="20"/>
        </w:rPr>
        <w:t>P</w:t>
      </w:r>
      <w:r w:rsidRPr="00587BC0">
        <w:rPr>
          <w:rFonts w:ascii="Times New Roman" w:hAnsi="Times New Roman" w:cs="Times New Roman"/>
          <w:b/>
          <w:i/>
          <w:sz w:val="20"/>
          <w:szCs w:val="20"/>
        </w:rPr>
        <w:t>articipants</w:t>
      </w:r>
    </w:p>
    <w:p w14:paraId="3DD8ADF1" w14:textId="687518B8" w:rsidR="00CB11C0" w:rsidRPr="000E3DCA" w:rsidRDefault="00CB11C0" w:rsidP="00F9462C">
      <w:pPr>
        <w:spacing w:afterLines="60" w:after="144" w:line="240" w:lineRule="auto"/>
        <w:rPr>
          <w:rFonts w:ascii="Times New Roman" w:hAnsi="Times New Roman" w:cs="Times New Roman"/>
          <w:color w:val="000000"/>
          <w:sz w:val="20"/>
          <w:szCs w:val="20"/>
          <w:lang w:val="en-GB" w:eastAsia="de-DE"/>
        </w:rPr>
      </w:pPr>
      <w:r w:rsidRPr="000E3DCA">
        <w:rPr>
          <w:rFonts w:ascii="Times New Roman" w:hAnsi="Times New Roman" w:cs="Times New Roman"/>
          <w:color w:val="000000"/>
          <w:sz w:val="20"/>
          <w:szCs w:val="20"/>
          <w:lang w:val="en-GB" w:eastAsia="de-DE"/>
        </w:rPr>
        <w:t xml:space="preserve">Dose escalation of </w:t>
      </w:r>
      <w:proofErr w:type="spellStart"/>
      <w:r w:rsidRPr="000E3DCA">
        <w:rPr>
          <w:rFonts w:ascii="Times New Roman" w:hAnsi="Times New Roman" w:cs="Times New Roman"/>
          <w:color w:val="000000"/>
          <w:sz w:val="20"/>
          <w:szCs w:val="20"/>
          <w:lang w:val="en-GB" w:eastAsia="de-DE"/>
        </w:rPr>
        <w:t>galunisertib</w:t>
      </w:r>
      <w:proofErr w:type="spellEnd"/>
      <w:r w:rsidRPr="000E3DCA">
        <w:rPr>
          <w:rFonts w:ascii="Times New Roman" w:hAnsi="Times New Roman" w:cs="Times New Roman"/>
          <w:color w:val="000000"/>
          <w:sz w:val="20"/>
          <w:szCs w:val="20"/>
          <w:lang w:val="en-GB" w:eastAsia="de-DE"/>
        </w:rPr>
        <w:t xml:space="preserve"> (plus a standard dose of gemcitabine) occurred in cohorts of 3</w:t>
      </w:r>
      <w:r w:rsidR="008947A0">
        <w:rPr>
          <w:rFonts w:ascii="Times New Roman" w:hAnsi="Times New Roman" w:cs="Times New Roman"/>
          <w:color w:val="000000"/>
          <w:sz w:val="20"/>
          <w:szCs w:val="20"/>
          <w:lang w:val="en-GB" w:eastAsia="de-DE"/>
        </w:rPr>
        <w:t>–</w:t>
      </w:r>
      <w:r w:rsidRPr="000E3DCA">
        <w:rPr>
          <w:rFonts w:ascii="Times New Roman" w:hAnsi="Times New Roman" w:cs="Times New Roman"/>
          <w:color w:val="000000"/>
          <w:sz w:val="20"/>
          <w:szCs w:val="20"/>
          <w:lang w:val="en-GB" w:eastAsia="de-DE"/>
        </w:rPr>
        <w:t xml:space="preserve">6 evaluable patients until at least two patients per cohort experienced a dose-limiting toxicity or 300 mg/day dose of </w:t>
      </w:r>
      <w:proofErr w:type="spellStart"/>
      <w:r w:rsidRPr="000E3DCA">
        <w:rPr>
          <w:rFonts w:ascii="Times New Roman" w:hAnsi="Times New Roman" w:cs="Times New Roman"/>
          <w:color w:val="000000"/>
          <w:sz w:val="20"/>
          <w:szCs w:val="20"/>
          <w:lang w:val="en-GB" w:eastAsia="de-DE"/>
        </w:rPr>
        <w:t>galunisertib</w:t>
      </w:r>
      <w:proofErr w:type="spellEnd"/>
      <w:r w:rsidRPr="000E3DCA">
        <w:rPr>
          <w:rFonts w:ascii="Times New Roman" w:hAnsi="Times New Roman" w:cs="Times New Roman"/>
          <w:color w:val="000000"/>
          <w:sz w:val="20"/>
          <w:szCs w:val="20"/>
          <w:lang w:val="en-GB" w:eastAsia="de-DE"/>
        </w:rPr>
        <w:t xml:space="preserve"> was reached. In the absence of dose-limiting toxicities and before reaching the maximum dose, dose escalation could have been stopped if a predetermined pharmacokinetic endpoint was reached.</w:t>
      </w:r>
      <w:r w:rsidR="007B3C4C" w:rsidRPr="00587BC0">
        <w:rPr>
          <w:rFonts w:ascii="Times New Roman" w:hAnsi="Times New Roman" w:cs="Times New Roman"/>
          <w:color w:val="000000"/>
          <w:sz w:val="20"/>
          <w:szCs w:val="20"/>
          <w:vertAlign w:val="superscript"/>
          <w:lang w:val="en-GB" w:eastAsia="de-DE"/>
        </w:rPr>
        <w:t>1</w:t>
      </w:r>
      <w:r w:rsidRPr="000E3DCA">
        <w:rPr>
          <w:rFonts w:ascii="Times New Roman" w:hAnsi="Times New Roman" w:cs="Times New Roman"/>
          <w:color w:val="000000"/>
          <w:sz w:val="20"/>
          <w:szCs w:val="20"/>
          <w:lang w:val="en-GB" w:eastAsia="de-DE"/>
        </w:rPr>
        <w:t xml:space="preserve"> In phase 2, patients were given </w:t>
      </w:r>
      <w:proofErr w:type="spellStart"/>
      <w:r w:rsidRPr="000E3DCA">
        <w:rPr>
          <w:rFonts w:ascii="Times New Roman" w:hAnsi="Times New Roman" w:cs="Times New Roman"/>
          <w:color w:val="000000"/>
          <w:sz w:val="20"/>
          <w:szCs w:val="20"/>
          <w:lang w:val="en-GB" w:eastAsia="de-DE"/>
        </w:rPr>
        <w:t>galunisertib</w:t>
      </w:r>
      <w:proofErr w:type="spellEnd"/>
      <w:r w:rsidRPr="000E3DCA">
        <w:rPr>
          <w:rFonts w:ascii="Times New Roman" w:hAnsi="Times New Roman" w:cs="Times New Roman"/>
          <w:color w:val="000000"/>
          <w:sz w:val="20"/>
          <w:szCs w:val="20"/>
          <w:lang w:val="en-GB" w:eastAsia="de-DE"/>
        </w:rPr>
        <w:t xml:space="preserve"> plus gemcitabine (</w:t>
      </w:r>
      <w:proofErr w:type="spellStart"/>
      <w:r w:rsidRPr="000E3DCA">
        <w:rPr>
          <w:rFonts w:ascii="Times New Roman" w:hAnsi="Times New Roman" w:cs="Times New Roman"/>
          <w:color w:val="000000"/>
          <w:sz w:val="20"/>
          <w:szCs w:val="20"/>
          <w:lang w:val="en-GB" w:eastAsia="de-DE"/>
        </w:rPr>
        <w:t>galunisertib</w:t>
      </w:r>
      <w:proofErr w:type="spellEnd"/>
      <w:r w:rsidRPr="000E3DCA">
        <w:rPr>
          <w:rFonts w:ascii="Times New Roman" w:hAnsi="Times New Roman" w:cs="Times New Roman"/>
          <w:color w:val="000000"/>
          <w:sz w:val="20"/>
          <w:szCs w:val="20"/>
          <w:lang w:val="en-GB" w:eastAsia="de-DE"/>
        </w:rPr>
        <w:t xml:space="preserve"> group) or placebo plus gemcitabine (placebo group).</w:t>
      </w:r>
      <w:r w:rsidR="000E3DCA">
        <w:rPr>
          <w:rFonts w:ascii="Times New Roman" w:hAnsi="Times New Roman" w:cs="Times New Roman"/>
          <w:color w:val="000000"/>
          <w:sz w:val="20"/>
          <w:szCs w:val="20"/>
          <w:lang w:val="en-GB" w:eastAsia="de-DE"/>
        </w:rPr>
        <w:t xml:space="preserve"> </w:t>
      </w:r>
      <w:r w:rsidRPr="000E3DCA">
        <w:rPr>
          <w:rFonts w:ascii="Times New Roman" w:eastAsia="AGaramondPro-Regular" w:hAnsi="Times New Roman" w:cs="Times New Roman"/>
          <w:sz w:val="20"/>
          <w:szCs w:val="20"/>
          <w:lang w:val="en-GB"/>
        </w:rPr>
        <w:t xml:space="preserve">The </w:t>
      </w:r>
      <w:r w:rsidRPr="000E3DCA">
        <w:rPr>
          <w:rFonts w:ascii="Times New Roman" w:hAnsi="Times New Roman" w:cs="Times New Roman"/>
          <w:sz w:val="20"/>
          <w:szCs w:val="20"/>
          <w:lang w:val="en-GB"/>
        </w:rPr>
        <w:t xml:space="preserve">study </w:t>
      </w:r>
      <w:r w:rsidRPr="000E3DCA">
        <w:rPr>
          <w:rFonts w:ascii="Times New Roman" w:eastAsia="AGaramondPro-Regular" w:hAnsi="Times New Roman" w:cs="Times New Roman"/>
          <w:sz w:val="20"/>
          <w:szCs w:val="20"/>
          <w:lang w:val="en-GB"/>
        </w:rPr>
        <w:t>was conducted according to the principles of good clinical practice, applicable laws and regulations, the Council for International Organizations of Medical Sciences International Ethical Guidelines, and the Declaration of Helsinki. Each institution’s ethical review board approved the study. All patients signed an informed consent document before study participation.</w:t>
      </w:r>
    </w:p>
    <w:p w14:paraId="3C95BCFC" w14:textId="6F42291A" w:rsidR="00CB11C0" w:rsidRPr="000E3DCA" w:rsidRDefault="00CB11C0" w:rsidP="00F9462C">
      <w:pPr>
        <w:spacing w:afterLines="60" w:after="144" w:line="240" w:lineRule="auto"/>
        <w:rPr>
          <w:rFonts w:ascii="Times New Roman" w:hAnsi="Times New Roman" w:cs="Times New Roman"/>
          <w:sz w:val="20"/>
          <w:szCs w:val="20"/>
        </w:rPr>
      </w:pPr>
      <w:r w:rsidRPr="000E3DCA">
        <w:rPr>
          <w:rFonts w:ascii="Times New Roman" w:hAnsi="Times New Roman" w:cs="Times New Roman"/>
          <w:sz w:val="20"/>
          <w:szCs w:val="20"/>
        </w:rPr>
        <w:t>Phase 1b entry required histological or cytological evidence of a diagnosis of cancer that was advanced and/or metastatic disease, that was refractory to standard therapy and/or therapies known to provide clinical benefit or for which no standard therapy exists, and in which gemcitabine therapy at the proposed doses and schedule would have been considered appropriate treatment for the metastatic disease. Patients were included with measurable disease or non-measurable disease, defined according to Response Eva</w:t>
      </w:r>
      <w:r w:rsidR="00820CC6">
        <w:rPr>
          <w:rFonts w:ascii="Times New Roman" w:hAnsi="Times New Roman" w:cs="Times New Roman"/>
          <w:sz w:val="20"/>
          <w:szCs w:val="20"/>
        </w:rPr>
        <w:t>luation Criteria in Solid Tumo</w:t>
      </w:r>
      <w:r w:rsidRPr="000E3DCA">
        <w:rPr>
          <w:rFonts w:ascii="Times New Roman" w:hAnsi="Times New Roman" w:cs="Times New Roman"/>
          <w:sz w:val="20"/>
          <w:szCs w:val="20"/>
        </w:rPr>
        <w:t xml:space="preserve">rs guidelines </w:t>
      </w:r>
      <w:r w:rsidR="002450FA">
        <w:rPr>
          <w:rFonts w:ascii="Times New Roman" w:hAnsi="Times New Roman" w:cs="Times New Roman"/>
          <w:sz w:val="20"/>
          <w:szCs w:val="20"/>
        </w:rPr>
        <w:t xml:space="preserve">version 1.1 </w:t>
      </w:r>
      <w:r w:rsidRPr="000E3DCA">
        <w:rPr>
          <w:rFonts w:ascii="Times New Roman" w:hAnsi="Times New Roman" w:cs="Times New Roman"/>
          <w:sz w:val="20"/>
          <w:szCs w:val="20"/>
        </w:rPr>
        <w:t>(RECIST, v</w:t>
      </w:r>
      <w:r w:rsidR="002450FA">
        <w:rPr>
          <w:rFonts w:ascii="Times New Roman" w:hAnsi="Times New Roman" w:cs="Times New Roman"/>
          <w:sz w:val="20"/>
          <w:szCs w:val="20"/>
        </w:rPr>
        <w:t>.</w:t>
      </w:r>
      <w:r w:rsidRPr="000E3DCA">
        <w:rPr>
          <w:rFonts w:ascii="Times New Roman" w:hAnsi="Times New Roman" w:cs="Times New Roman"/>
          <w:sz w:val="20"/>
          <w:szCs w:val="20"/>
        </w:rPr>
        <w:t xml:space="preserve"> 1.1). Patients may have received prior chemotherapy, radiotherapy, cancer-related hormone therapy, or other investigational therapy as treatment. There was no limit to the number of previous lines of therapy.</w:t>
      </w:r>
    </w:p>
    <w:p w14:paraId="577FEAF5" w14:textId="5CCEB73B" w:rsidR="00CB11C0" w:rsidRPr="000E3DCA" w:rsidRDefault="00CB11C0" w:rsidP="00F9462C">
      <w:pPr>
        <w:spacing w:afterLines="60" w:after="144" w:line="240" w:lineRule="auto"/>
        <w:rPr>
          <w:rFonts w:ascii="Times New Roman" w:hAnsi="Times New Roman" w:cs="Times New Roman"/>
          <w:color w:val="000000"/>
          <w:sz w:val="20"/>
          <w:szCs w:val="20"/>
          <w:lang w:val="en-GB" w:eastAsia="de-DE"/>
        </w:rPr>
      </w:pPr>
      <w:r w:rsidRPr="000E3DCA">
        <w:rPr>
          <w:rFonts w:ascii="Times New Roman" w:hAnsi="Times New Roman" w:cs="Times New Roman"/>
          <w:color w:val="000000"/>
          <w:sz w:val="20"/>
          <w:szCs w:val="20"/>
          <w:lang w:val="en-GB" w:eastAsia="de-DE"/>
        </w:rPr>
        <w:t xml:space="preserve">Phase 2 entry required: histological or cytological diagnosis of adenocarcinoma of the pancreas that was locally advanced (stage II, III) or metastatic (stage IV) and not amenable to resection with curative intent (for stage II patients to be included: patients had severe comorbidities or advanced age); post-surgical progression after previous radical surgery for pancreatic cancer; ≥3 months since previous adjuvant chemotherapy or chemoradiotherapy with </w:t>
      </w:r>
      <w:proofErr w:type="gramStart"/>
      <w:r w:rsidRPr="000E3DCA">
        <w:rPr>
          <w:rFonts w:ascii="Times New Roman" w:hAnsi="Times New Roman" w:cs="Times New Roman"/>
          <w:color w:val="000000"/>
          <w:sz w:val="20"/>
          <w:szCs w:val="20"/>
          <w:lang w:val="en-GB" w:eastAsia="de-DE"/>
        </w:rPr>
        <w:t>gemcitabine</w:t>
      </w:r>
      <w:proofErr w:type="gramEnd"/>
      <w:r w:rsidRPr="000E3DCA">
        <w:rPr>
          <w:rFonts w:ascii="Times New Roman" w:hAnsi="Times New Roman" w:cs="Times New Roman"/>
          <w:color w:val="000000"/>
          <w:sz w:val="20"/>
          <w:szCs w:val="20"/>
          <w:lang w:val="en-GB" w:eastAsia="de-DE"/>
        </w:rPr>
        <w:t xml:space="preserve"> or other commonly used cytotoxic agents; and measurable disease or non-measurable disease, defined according to RECIST v. 1.1. Patients with endocrine pancreatic </w:t>
      </w:r>
      <w:r w:rsidR="009F705B" w:rsidRPr="000E3DCA">
        <w:rPr>
          <w:rFonts w:ascii="Times New Roman" w:hAnsi="Times New Roman" w:cs="Times New Roman"/>
          <w:color w:val="000000"/>
          <w:sz w:val="20"/>
          <w:szCs w:val="20"/>
          <w:lang w:val="en-GB" w:eastAsia="de-DE"/>
        </w:rPr>
        <w:t>tumours</w:t>
      </w:r>
      <w:r w:rsidRPr="000E3DCA">
        <w:rPr>
          <w:rFonts w:ascii="Times New Roman" w:hAnsi="Times New Roman" w:cs="Times New Roman"/>
          <w:color w:val="000000"/>
          <w:sz w:val="20"/>
          <w:szCs w:val="20"/>
          <w:lang w:val="en-GB" w:eastAsia="de-DE"/>
        </w:rPr>
        <w:t xml:space="preserve"> or </w:t>
      </w:r>
      <w:proofErr w:type="spellStart"/>
      <w:r w:rsidRPr="000E3DCA">
        <w:rPr>
          <w:rFonts w:ascii="Times New Roman" w:hAnsi="Times New Roman" w:cs="Times New Roman"/>
          <w:color w:val="000000"/>
          <w:sz w:val="20"/>
          <w:szCs w:val="20"/>
          <w:lang w:val="en-GB" w:eastAsia="de-DE"/>
        </w:rPr>
        <w:t>ampullary</w:t>
      </w:r>
      <w:proofErr w:type="spellEnd"/>
      <w:r w:rsidRPr="000E3DCA">
        <w:rPr>
          <w:rFonts w:ascii="Times New Roman" w:hAnsi="Times New Roman" w:cs="Times New Roman"/>
          <w:color w:val="000000"/>
          <w:sz w:val="20"/>
          <w:szCs w:val="20"/>
          <w:lang w:val="en-GB" w:eastAsia="de-DE"/>
        </w:rPr>
        <w:t xml:space="preserve"> cancer were excluded.</w:t>
      </w:r>
    </w:p>
    <w:p w14:paraId="6165A9EB" w14:textId="77777777" w:rsidR="00CB11C0" w:rsidRPr="000E3DCA" w:rsidRDefault="00CB11C0" w:rsidP="00F9462C">
      <w:pPr>
        <w:spacing w:afterLines="60" w:after="144" w:line="240" w:lineRule="auto"/>
        <w:rPr>
          <w:rFonts w:ascii="Times New Roman" w:hAnsi="Times New Roman" w:cs="Times New Roman"/>
          <w:color w:val="000000"/>
          <w:sz w:val="20"/>
          <w:szCs w:val="20"/>
          <w:lang w:val="en-GB" w:eastAsia="de-DE"/>
        </w:rPr>
      </w:pPr>
      <w:r w:rsidRPr="000E3DCA">
        <w:rPr>
          <w:rFonts w:ascii="Times New Roman" w:eastAsia="TimesNewRoman" w:hAnsi="Times New Roman" w:cs="Times New Roman"/>
          <w:sz w:val="20"/>
          <w:szCs w:val="20"/>
          <w:lang w:val="en-GB"/>
        </w:rPr>
        <w:t>Inclusion in either study phase required the patients to be ≥</w:t>
      </w:r>
      <w:r w:rsidRPr="000E3DCA">
        <w:rPr>
          <w:rFonts w:ascii="Times New Roman" w:hAnsi="Times New Roman" w:cs="Times New Roman"/>
          <w:color w:val="000000"/>
          <w:sz w:val="20"/>
          <w:szCs w:val="20"/>
          <w:lang w:val="en-GB" w:eastAsia="de-DE"/>
        </w:rPr>
        <w:t xml:space="preserve">18 years of age; have adequate </w:t>
      </w:r>
      <w:r w:rsidRPr="000E3DCA">
        <w:rPr>
          <w:rFonts w:ascii="Times New Roman" w:eastAsia="TimesNewRoman" w:hAnsi="Times New Roman" w:cs="Times New Roman"/>
          <w:sz w:val="20"/>
          <w:szCs w:val="20"/>
          <w:lang w:val="en-GB"/>
        </w:rPr>
        <w:t xml:space="preserve">hematologic, hepatic, and renal </w:t>
      </w:r>
      <w:r w:rsidRPr="000E3DCA">
        <w:rPr>
          <w:rFonts w:ascii="Times New Roman" w:hAnsi="Times New Roman" w:cs="Times New Roman"/>
          <w:color w:val="000000"/>
          <w:sz w:val="20"/>
          <w:szCs w:val="20"/>
          <w:lang w:val="en-GB" w:eastAsia="de-DE"/>
        </w:rPr>
        <w:t xml:space="preserve">function; have a performance status of ≤2 on the Eastern Cooperative Oncology Group (ECOG) scale; and have recovered from any grade 3–4 toxicities of previous therapies. </w:t>
      </w:r>
      <w:r w:rsidRPr="000E3DCA">
        <w:rPr>
          <w:rFonts w:ascii="Times New Roman" w:hAnsi="Times New Roman" w:cs="Times New Roman"/>
          <w:sz w:val="20"/>
          <w:szCs w:val="20"/>
          <w:lang w:val="en-GB"/>
        </w:rPr>
        <w:t>Exclusion criteria included moderate or severe cardiac disease</w:t>
      </w:r>
      <w:r w:rsidRPr="000E3DCA">
        <w:rPr>
          <w:rFonts w:ascii="Times New Roman" w:hAnsi="Times New Roman" w:cs="Times New Roman"/>
          <w:color w:val="000000"/>
          <w:sz w:val="20"/>
          <w:szCs w:val="20"/>
          <w:lang w:val="en-GB" w:eastAsia="de-DE"/>
        </w:rPr>
        <w:t xml:space="preserve">.  </w:t>
      </w:r>
    </w:p>
    <w:p w14:paraId="14349250" w14:textId="59A0BA0B" w:rsidR="00010DC6" w:rsidRPr="00587BC0" w:rsidRDefault="00010DC6"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 xml:space="preserve">Bayesian </w:t>
      </w:r>
      <w:r w:rsidR="001F0CE6" w:rsidRPr="00587BC0">
        <w:rPr>
          <w:rFonts w:ascii="Times New Roman" w:hAnsi="Times New Roman" w:cs="Times New Roman"/>
          <w:b/>
          <w:i/>
          <w:sz w:val="20"/>
          <w:szCs w:val="20"/>
        </w:rPr>
        <w:t>E</w:t>
      </w:r>
      <w:r w:rsidRPr="00587BC0">
        <w:rPr>
          <w:rFonts w:ascii="Times New Roman" w:hAnsi="Times New Roman" w:cs="Times New Roman"/>
          <w:b/>
          <w:i/>
          <w:sz w:val="20"/>
          <w:szCs w:val="20"/>
        </w:rPr>
        <w:t>xponential-</w:t>
      </w:r>
      <w:r w:rsidR="001F0CE6" w:rsidRPr="00587BC0">
        <w:rPr>
          <w:rFonts w:ascii="Times New Roman" w:hAnsi="Times New Roman" w:cs="Times New Roman"/>
          <w:b/>
          <w:i/>
          <w:sz w:val="20"/>
          <w:szCs w:val="20"/>
        </w:rPr>
        <w:t>L</w:t>
      </w:r>
      <w:r w:rsidRPr="00587BC0">
        <w:rPr>
          <w:rFonts w:ascii="Times New Roman" w:hAnsi="Times New Roman" w:cs="Times New Roman"/>
          <w:b/>
          <w:i/>
          <w:sz w:val="20"/>
          <w:szCs w:val="20"/>
        </w:rPr>
        <w:t xml:space="preserve">ikelihood </w:t>
      </w:r>
      <w:r w:rsidR="001F0CE6" w:rsidRPr="00587BC0">
        <w:rPr>
          <w:rFonts w:ascii="Times New Roman" w:hAnsi="Times New Roman" w:cs="Times New Roman"/>
          <w:b/>
          <w:i/>
          <w:sz w:val="20"/>
          <w:szCs w:val="20"/>
        </w:rPr>
        <w:t>M</w:t>
      </w:r>
      <w:r w:rsidRPr="00587BC0">
        <w:rPr>
          <w:rFonts w:ascii="Times New Roman" w:hAnsi="Times New Roman" w:cs="Times New Roman"/>
          <w:b/>
          <w:i/>
          <w:sz w:val="20"/>
          <w:szCs w:val="20"/>
        </w:rPr>
        <w:t xml:space="preserve">odel </w:t>
      </w:r>
    </w:p>
    <w:p w14:paraId="3FDDB6CB" w14:textId="68EACAED" w:rsidR="00010DC6" w:rsidRPr="000E3DCA" w:rsidRDefault="00010DC6" w:rsidP="00F9462C">
      <w:pPr>
        <w:spacing w:afterLines="60" w:after="144" w:line="240" w:lineRule="auto"/>
        <w:rPr>
          <w:rFonts w:ascii="Times New Roman" w:eastAsia="TimesNewRoman" w:hAnsi="Times New Roman" w:cs="Times New Roman"/>
          <w:sz w:val="20"/>
          <w:szCs w:val="20"/>
        </w:rPr>
      </w:pPr>
      <w:r w:rsidRPr="000E3DCA">
        <w:rPr>
          <w:rFonts w:ascii="Times New Roman" w:hAnsi="Times New Roman" w:cs="Times New Roman"/>
          <w:sz w:val="20"/>
          <w:szCs w:val="20"/>
        </w:rPr>
        <w:t xml:space="preserve">The primary objective of phase 2 was to compare overall survival between </w:t>
      </w: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plus gemcitabine (</w:t>
      </w:r>
      <w:proofErr w:type="spellStart"/>
      <w:r w:rsidR="00A43C5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group) and placebo plus gemcitabine (control group) using a Bayesian augmented </w:t>
      </w:r>
      <w:proofErr w:type="gramStart"/>
      <w:r w:rsidRPr="000E3DCA">
        <w:rPr>
          <w:rFonts w:ascii="Times New Roman" w:hAnsi="Times New Roman" w:cs="Times New Roman"/>
          <w:sz w:val="20"/>
          <w:szCs w:val="20"/>
        </w:rPr>
        <w:t>control  design</w:t>
      </w:r>
      <w:proofErr w:type="gramEnd"/>
      <w:r w:rsidRPr="000E3DCA">
        <w:rPr>
          <w:rFonts w:ascii="Times New Roman" w:hAnsi="Times New Roman" w:cs="Times New Roman"/>
          <w:sz w:val="20"/>
          <w:szCs w:val="20"/>
        </w:rPr>
        <w:t>. Bayesian designs can help to leverage pre-existing information for the control group, enabling a reduced sample size for this treatment group and incre</w:t>
      </w:r>
      <w:r w:rsidR="000E3DCA">
        <w:rPr>
          <w:rFonts w:ascii="Times New Roman" w:hAnsi="Times New Roman" w:cs="Times New Roman"/>
          <w:sz w:val="20"/>
          <w:szCs w:val="20"/>
        </w:rPr>
        <w:t xml:space="preserve">ased exposure via a 2:1 </w:t>
      </w:r>
      <w:proofErr w:type="spellStart"/>
      <w:r w:rsidR="000E3DCA">
        <w:rPr>
          <w:rFonts w:ascii="Times New Roman" w:hAnsi="Times New Roman" w:cs="Times New Roman"/>
          <w:sz w:val="20"/>
          <w:szCs w:val="20"/>
        </w:rPr>
        <w:t>randomi</w:t>
      </w:r>
      <w:r w:rsidR="00A43C5A">
        <w:rPr>
          <w:rFonts w:ascii="Times New Roman" w:hAnsi="Times New Roman" w:cs="Times New Roman"/>
          <w:sz w:val="20"/>
          <w:szCs w:val="20"/>
        </w:rPr>
        <w:t>s</w:t>
      </w:r>
      <w:r w:rsidRPr="000E3DCA">
        <w:rPr>
          <w:rFonts w:ascii="Times New Roman" w:hAnsi="Times New Roman" w:cs="Times New Roman"/>
          <w:sz w:val="20"/>
          <w:szCs w:val="20"/>
        </w:rPr>
        <w:t>ation</w:t>
      </w:r>
      <w:proofErr w:type="spellEnd"/>
      <w:r w:rsidRPr="000E3DCA">
        <w:rPr>
          <w:rFonts w:ascii="Times New Roman" w:hAnsi="Times New Roman" w:cs="Times New Roman"/>
          <w:sz w:val="20"/>
          <w:szCs w:val="20"/>
        </w:rPr>
        <w:t xml:space="preserve"> ratio to the experimental treatment. </w:t>
      </w:r>
      <w:r w:rsidRPr="000E3DCA">
        <w:rPr>
          <w:rFonts w:ascii="Times New Roman" w:eastAsia="TimesNewRoman" w:hAnsi="Times New Roman" w:cs="Times New Roman"/>
          <w:sz w:val="20"/>
          <w:szCs w:val="20"/>
        </w:rPr>
        <w:t>Patient-level historical</w:t>
      </w:r>
      <w:r w:rsidR="00A43C5A">
        <w:rPr>
          <w:rFonts w:ascii="Times New Roman" w:eastAsia="TimesNewRoman" w:hAnsi="Times New Roman" w:cs="Times New Roman"/>
          <w:sz w:val="20"/>
          <w:szCs w:val="20"/>
        </w:rPr>
        <w:t xml:space="preserve"> data from two previous </w:t>
      </w:r>
      <w:proofErr w:type="spellStart"/>
      <w:r w:rsidR="00A43C5A">
        <w:rPr>
          <w:rFonts w:ascii="Times New Roman" w:eastAsia="TimesNewRoman" w:hAnsi="Times New Roman" w:cs="Times New Roman"/>
          <w:sz w:val="20"/>
          <w:szCs w:val="20"/>
        </w:rPr>
        <w:t>randomis</w:t>
      </w:r>
      <w:r w:rsidRPr="000E3DCA">
        <w:rPr>
          <w:rFonts w:ascii="Times New Roman" w:eastAsia="TimesNewRoman" w:hAnsi="Times New Roman" w:cs="Times New Roman"/>
          <w:sz w:val="20"/>
          <w:szCs w:val="20"/>
        </w:rPr>
        <w:t>ed</w:t>
      </w:r>
      <w:proofErr w:type="spellEnd"/>
      <w:r w:rsidRPr="000E3DCA">
        <w:rPr>
          <w:rFonts w:ascii="Times New Roman" w:eastAsia="TimesNewRoman" w:hAnsi="Times New Roman" w:cs="Times New Roman"/>
          <w:sz w:val="20"/>
          <w:szCs w:val="20"/>
        </w:rPr>
        <w:t xml:space="preserve"> </w:t>
      </w:r>
      <w:r w:rsidRPr="001B7206">
        <w:rPr>
          <w:rFonts w:ascii="Times New Roman" w:eastAsia="TimesNewRoman" w:hAnsi="Times New Roman" w:cs="Times New Roman"/>
          <w:sz w:val="20"/>
          <w:szCs w:val="20"/>
        </w:rPr>
        <w:t>trials</w:t>
      </w:r>
      <w:r w:rsidR="007B3C4C" w:rsidRPr="00587BC0">
        <w:rPr>
          <w:rFonts w:ascii="Times New Roman" w:eastAsia="TimesNewRoman" w:hAnsi="Times New Roman" w:cs="Times New Roman"/>
          <w:sz w:val="20"/>
          <w:szCs w:val="20"/>
          <w:vertAlign w:val="superscript"/>
        </w:rPr>
        <w:t>2</w:t>
      </w:r>
      <w:proofErr w:type="gramStart"/>
      <w:r w:rsidR="007B3C4C" w:rsidRPr="00587BC0">
        <w:rPr>
          <w:rFonts w:ascii="Times New Roman" w:eastAsia="TimesNewRoman" w:hAnsi="Times New Roman" w:cs="Times New Roman"/>
          <w:sz w:val="20"/>
          <w:szCs w:val="20"/>
          <w:vertAlign w:val="superscript"/>
        </w:rPr>
        <w:t>,3</w:t>
      </w:r>
      <w:proofErr w:type="gramEnd"/>
      <w:r w:rsidRPr="000E3DCA">
        <w:rPr>
          <w:rFonts w:ascii="Times New Roman" w:eastAsia="TimesNewRoman" w:hAnsi="Times New Roman" w:cs="Times New Roman"/>
          <w:sz w:val="20"/>
          <w:szCs w:val="20"/>
          <w:vertAlign w:val="superscript"/>
        </w:rPr>
        <w:t xml:space="preserve"> </w:t>
      </w:r>
      <w:r w:rsidRPr="000E3DCA">
        <w:rPr>
          <w:rFonts w:ascii="Times New Roman" w:eastAsia="Calibri" w:hAnsi="Times New Roman" w:cs="Times New Roman"/>
          <w:sz w:val="20"/>
          <w:szCs w:val="20"/>
        </w:rPr>
        <w:t>(</w:t>
      </w:r>
      <w:r w:rsidR="007B3C4C">
        <w:rPr>
          <w:rFonts w:ascii="Times New Roman" w:eastAsia="Calibri" w:hAnsi="Times New Roman" w:cs="Times New Roman"/>
          <w:sz w:val="20"/>
          <w:szCs w:val="20"/>
        </w:rPr>
        <w:t xml:space="preserve">Supplementary </w:t>
      </w:r>
      <w:r w:rsidR="000E3DCA">
        <w:rPr>
          <w:rFonts w:ascii="Times New Roman" w:eastAsia="Calibri" w:hAnsi="Times New Roman" w:cs="Times New Roman"/>
          <w:sz w:val="20"/>
          <w:szCs w:val="20"/>
        </w:rPr>
        <w:t xml:space="preserve">Table </w:t>
      </w:r>
      <w:r w:rsidR="00CA679F">
        <w:rPr>
          <w:rFonts w:ascii="Times New Roman" w:eastAsia="Calibri" w:hAnsi="Times New Roman" w:cs="Times New Roman"/>
          <w:sz w:val="20"/>
          <w:szCs w:val="20"/>
        </w:rPr>
        <w:t>S</w:t>
      </w:r>
      <w:r w:rsidR="000E3DCA">
        <w:rPr>
          <w:rFonts w:ascii="Times New Roman" w:eastAsia="Calibri" w:hAnsi="Times New Roman" w:cs="Times New Roman"/>
          <w:sz w:val="20"/>
          <w:szCs w:val="20"/>
        </w:rPr>
        <w:t>1</w:t>
      </w:r>
      <w:r w:rsidRPr="000E3DCA">
        <w:rPr>
          <w:rFonts w:ascii="Times New Roman" w:eastAsia="Calibri" w:hAnsi="Times New Roman" w:cs="Times New Roman"/>
          <w:sz w:val="20"/>
          <w:szCs w:val="20"/>
        </w:rPr>
        <w:t xml:space="preserve">) that </w:t>
      </w:r>
      <w:r w:rsidR="000E3DCA">
        <w:rPr>
          <w:rFonts w:ascii="Times New Roman" w:eastAsia="TimesNewRoman" w:hAnsi="Times New Roman" w:cs="Times New Roman"/>
          <w:sz w:val="20"/>
          <w:szCs w:val="20"/>
        </w:rPr>
        <w:t>included gemcitabine were utiliz</w:t>
      </w:r>
      <w:r w:rsidRPr="000E3DCA">
        <w:rPr>
          <w:rFonts w:ascii="Times New Roman" w:eastAsia="TimesNewRoman" w:hAnsi="Times New Roman" w:cs="Times New Roman"/>
          <w:sz w:val="20"/>
          <w:szCs w:val="20"/>
        </w:rPr>
        <w:t xml:space="preserve">ed for the Bayesian analysis of overall survival. </w:t>
      </w:r>
      <w:r w:rsidRPr="000E3DCA">
        <w:rPr>
          <w:rFonts w:ascii="Times New Roman" w:eastAsia="Calibri" w:hAnsi="Times New Roman" w:cs="Times New Roman"/>
          <w:sz w:val="20"/>
          <w:szCs w:val="20"/>
        </w:rPr>
        <w:t xml:space="preserve">We </w:t>
      </w:r>
      <w:r w:rsidRPr="001B7206">
        <w:rPr>
          <w:rFonts w:ascii="Times New Roman" w:eastAsia="Calibri" w:hAnsi="Times New Roman" w:cs="Times New Roman"/>
          <w:sz w:val="20"/>
          <w:szCs w:val="20"/>
        </w:rPr>
        <w:t xml:space="preserve">used the survival data from the combined sample of 330 patients who received study drug (66 from </w:t>
      </w:r>
      <w:proofErr w:type="spellStart"/>
      <w:r w:rsidRPr="001B7206">
        <w:rPr>
          <w:rFonts w:ascii="Times New Roman" w:eastAsia="Calibri" w:hAnsi="Times New Roman" w:cs="Times New Roman"/>
          <w:sz w:val="20"/>
          <w:szCs w:val="20"/>
        </w:rPr>
        <w:t>Saif</w:t>
      </w:r>
      <w:proofErr w:type="spellEnd"/>
      <w:r w:rsidRPr="001B7206">
        <w:rPr>
          <w:rFonts w:ascii="Times New Roman" w:eastAsia="Calibri" w:hAnsi="Times New Roman" w:cs="Times New Roman"/>
          <w:sz w:val="20"/>
          <w:szCs w:val="20"/>
        </w:rPr>
        <w:t xml:space="preserve"> and colleagues</w:t>
      </w:r>
      <w:r w:rsidR="007B3C4C" w:rsidRPr="00587BC0">
        <w:rPr>
          <w:rFonts w:ascii="Times New Roman" w:eastAsia="Calibri" w:hAnsi="Times New Roman" w:cs="Times New Roman"/>
          <w:sz w:val="20"/>
          <w:szCs w:val="20"/>
          <w:vertAlign w:val="superscript"/>
        </w:rPr>
        <w:t>3</w:t>
      </w:r>
      <w:r w:rsidRPr="001B7206">
        <w:rPr>
          <w:rFonts w:ascii="Times New Roman" w:eastAsia="Calibri" w:hAnsi="Times New Roman" w:cs="Times New Roman"/>
          <w:sz w:val="20"/>
          <w:szCs w:val="20"/>
        </w:rPr>
        <w:t xml:space="preserve">; 264 from </w:t>
      </w:r>
      <w:proofErr w:type="spellStart"/>
      <w:r w:rsidRPr="001B7206">
        <w:rPr>
          <w:rFonts w:ascii="Times New Roman" w:eastAsia="Calibri" w:hAnsi="Times New Roman" w:cs="Times New Roman"/>
          <w:sz w:val="20"/>
          <w:szCs w:val="20"/>
        </w:rPr>
        <w:t>Oettle</w:t>
      </w:r>
      <w:proofErr w:type="spellEnd"/>
      <w:r w:rsidRPr="001B7206">
        <w:rPr>
          <w:rFonts w:ascii="Times New Roman" w:eastAsia="Calibri" w:hAnsi="Times New Roman" w:cs="Times New Roman"/>
          <w:sz w:val="20"/>
          <w:szCs w:val="20"/>
        </w:rPr>
        <w:t xml:space="preserve"> and colleagues</w:t>
      </w:r>
      <w:r w:rsidR="007B3C4C" w:rsidRPr="00587BC0">
        <w:rPr>
          <w:rFonts w:ascii="Times New Roman" w:eastAsia="Calibri" w:hAnsi="Times New Roman" w:cs="Times New Roman"/>
          <w:sz w:val="20"/>
          <w:szCs w:val="20"/>
          <w:vertAlign w:val="superscript"/>
        </w:rPr>
        <w:t>2</w:t>
      </w:r>
      <w:r w:rsidRPr="001B7206">
        <w:rPr>
          <w:rFonts w:ascii="Times New Roman" w:eastAsia="Calibri" w:hAnsi="Times New Roman" w:cs="Times New Roman"/>
          <w:sz w:val="20"/>
          <w:szCs w:val="20"/>
        </w:rPr>
        <w:t>)</w:t>
      </w:r>
      <w:r w:rsidRPr="000E3DCA">
        <w:rPr>
          <w:rFonts w:ascii="Times New Roman" w:eastAsia="Calibri" w:hAnsi="Times New Roman" w:cs="Times New Roman"/>
          <w:sz w:val="20"/>
          <w:szCs w:val="20"/>
        </w:rPr>
        <w:t xml:space="preserve"> with newly diagnosed pancreatic cancer who are considered to be from a similar population as those in the current study. The Kaplan-Meier estimates of median overall survival from the two studies are 8</w:t>
      </w:r>
      <w:r w:rsidR="000E3DCA">
        <w:rPr>
          <w:rFonts w:ascii="Times New Roman" w:hAnsi="Times New Roman" w:cs="Times New Roman"/>
          <w:sz w:val="20"/>
          <w:szCs w:val="20"/>
        </w:rPr>
        <w:t>.</w:t>
      </w:r>
      <w:r w:rsidR="000E3DCA">
        <w:rPr>
          <w:rFonts w:ascii="Times New Roman" w:eastAsia="Calibri" w:hAnsi="Times New Roman" w:cs="Times New Roman"/>
          <w:sz w:val="20"/>
          <w:szCs w:val="20"/>
        </w:rPr>
        <w:t>3 (95% CI</w:t>
      </w:r>
      <w:r w:rsidR="00F07EAD">
        <w:rPr>
          <w:rFonts w:ascii="Times New Roman" w:eastAsia="Calibri" w:hAnsi="Times New Roman" w:cs="Times New Roman"/>
          <w:sz w:val="20"/>
          <w:szCs w:val="20"/>
        </w:rPr>
        <w:t>:</w:t>
      </w:r>
      <w:r w:rsidR="000E3DCA">
        <w:rPr>
          <w:rFonts w:ascii="Times New Roman" w:eastAsia="Calibri" w:hAnsi="Times New Roman" w:cs="Times New Roman"/>
          <w:sz w:val="20"/>
          <w:szCs w:val="20"/>
        </w:rPr>
        <w:t xml:space="preserve"> 6.5–10.</w:t>
      </w:r>
      <w:r w:rsidRPr="000E3DCA">
        <w:rPr>
          <w:rFonts w:ascii="Times New Roman" w:eastAsia="Calibri" w:hAnsi="Times New Roman" w:cs="Times New Roman"/>
          <w:sz w:val="20"/>
          <w:szCs w:val="20"/>
        </w:rPr>
        <w:t>8) and 6</w:t>
      </w:r>
      <w:r w:rsidR="000E3DCA">
        <w:rPr>
          <w:rFonts w:ascii="Times New Roman" w:hAnsi="Times New Roman" w:cs="Times New Roman"/>
          <w:sz w:val="20"/>
          <w:szCs w:val="20"/>
        </w:rPr>
        <w:t>.</w:t>
      </w:r>
      <w:r w:rsidR="000E3DCA">
        <w:rPr>
          <w:rFonts w:ascii="Times New Roman" w:eastAsia="Calibri" w:hAnsi="Times New Roman" w:cs="Times New Roman"/>
          <w:sz w:val="20"/>
          <w:szCs w:val="20"/>
        </w:rPr>
        <w:t>3 (95% CI</w:t>
      </w:r>
      <w:r w:rsidR="00F07EAD">
        <w:rPr>
          <w:rFonts w:ascii="Times New Roman" w:eastAsia="Calibri" w:hAnsi="Times New Roman" w:cs="Times New Roman"/>
          <w:sz w:val="20"/>
          <w:szCs w:val="20"/>
        </w:rPr>
        <w:t>:</w:t>
      </w:r>
      <w:r w:rsidR="000E3DCA">
        <w:rPr>
          <w:rFonts w:ascii="Times New Roman" w:eastAsia="Calibri" w:hAnsi="Times New Roman" w:cs="Times New Roman"/>
          <w:sz w:val="20"/>
          <w:szCs w:val="20"/>
        </w:rPr>
        <w:t xml:space="preserve"> 5.</w:t>
      </w:r>
      <w:r w:rsidRPr="000E3DCA">
        <w:rPr>
          <w:rFonts w:ascii="Times New Roman" w:eastAsia="Calibri" w:hAnsi="Times New Roman" w:cs="Times New Roman"/>
          <w:sz w:val="20"/>
          <w:szCs w:val="20"/>
        </w:rPr>
        <w:t>4–6</w:t>
      </w:r>
      <w:r w:rsidR="000E3DCA">
        <w:rPr>
          <w:rFonts w:ascii="Times New Roman" w:eastAsia="Calibri" w:hAnsi="Times New Roman" w:cs="Times New Roman"/>
          <w:sz w:val="20"/>
          <w:szCs w:val="20"/>
        </w:rPr>
        <w:t>.</w:t>
      </w:r>
      <w:r w:rsidRPr="000E3DCA">
        <w:rPr>
          <w:rFonts w:ascii="Times New Roman" w:eastAsia="Calibri" w:hAnsi="Times New Roman" w:cs="Times New Roman"/>
          <w:sz w:val="20"/>
          <w:szCs w:val="20"/>
        </w:rPr>
        <w:t xml:space="preserve">9) months, respectively. </w:t>
      </w:r>
      <w:r w:rsidRPr="000E3DCA">
        <w:rPr>
          <w:rFonts w:ascii="Times New Roman" w:eastAsia="TimesNewRoman" w:hAnsi="Times New Roman" w:cs="Times New Roman"/>
          <w:sz w:val="20"/>
          <w:szCs w:val="20"/>
        </w:rPr>
        <w:t>These estimates are considered comparable to more recent gemcitabine data</w:t>
      </w:r>
      <w:r w:rsidR="007B3C4C" w:rsidRPr="00587BC0">
        <w:rPr>
          <w:rFonts w:ascii="Times New Roman" w:eastAsia="TimesNewRoman" w:hAnsi="Times New Roman" w:cs="Times New Roman"/>
          <w:sz w:val="20"/>
          <w:szCs w:val="20"/>
          <w:vertAlign w:val="superscript"/>
        </w:rPr>
        <w:t>4</w:t>
      </w:r>
      <w:r w:rsidRPr="000E3DCA">
        <w:rPr>
          <w:rFonts w:ascii="Times New Roman" w:eastAsia="TimesNewRoman" w:hAnsi="Times New Roman" w:cs="Times New Roman"/>
          <w:sz w:val="20"/>
          <w:szCs w:val="20"/>
        </w:rPr>
        <w:t xml:space="preserve"> reporting median overall survival of 6</w:t>
      </w:r>
      <w:r w:rsidR="000E3DCA">
        <w:rPr>
          <w:rFonts w:ascii="Times New Roman" w:hAnsi="Times New Roman" w:cs="Times New Roman"/>
          <w:sz w:val="20"/>
          <w:szCs w:val="20"/>
        </w:rPr>
        <w:t>.</w:t>
      </w:r>
      <w:r w:rsidRPr="000E3DCA">
        <w:rPr>
          <w:rFonts w:ascii="Times New Roman" w:eastAsia="TimesNewRoman" w:hAnsi="Times New Roman" w:cs="Times New Roman"/>
          <w:sz w:val="20"/>
          <w:szCs w:val="20"/>
        </w:rPr>
        <w:t xml:space="preserve">7 </w:t>
      </w:r>
      <w:r w:rsidR="000E3DCA">
        <w:rPr>
          <w:rFonts w:ascii="Times New Roman" w:eastAsia="Calibri" w:hAnsi="Times New Roman" w:cs="Times New Roman"/>
          <w:sz w:val="20"/>
          <w:szCs w:val="20"/>
        </w:rPr>
        <w:t>(95% CI</w:t>
      </w:r>
      <w:r w:rsidR="00F07EAD">
        <w:rPr>
          <w:rFonts w:ascii="Times New Roman" w:eastAsia="Calibri" w:hAnsi="Times New Roman" w:cs="Times New Roman"/>
          <w:sz w:val="20"/>
          <w:szCs w:val="20"/>
        </w:rPr>
        <w:t>:</w:t>
      </w:r>
      <w:r w:rsidR="000E3DCA">
        <w:rPr>
          <w:rFonts w:ascii="Times New Roman" w:eastAsia="Calibri" w:hAnsi="Times New Roman" w:cs="Times New Roman"/>
          <w:sz w:val="20"/>
          <w:szCs w:val="20"/>
        </w:rPr>
        <w:t xml:space="preserve"> 6.0–7.</w:t>
      </w:r>
      <w:r w:rsidRPr="000E3DCA">
        <w:rPr>
          <w:rFonts w:ascii="Times New Roman" w:eastAsia="Calibri" w:hAnsi="Times New Roman" w:cs="Times New Roman"/>
          <w:sz w:val="20"/>
          <w:szCs w:val="20"/>
        </w:rPr>
        <w:t xml:space="preserve">2) </w:t>
      </w:r>
      <w:r w:rsidRPr="000E3DCA">
        <w:rPr>
          <w:rFonts w:ascii="Times New Roman" w:eastAsia="TimesNewRoman" w:hAnsi="Times New Roman" w:cs="Times New Roman"/>
          <w:sz w:val="20"/>
          <w:szCs w:val="20"/>
        </w:rPr>
        <w:t xml:space="preserve">months, further justifying the use of Bayesian analysis in this current study. </w:t>
      </w:r>
    </w:p>
    <w:p w14:paraId="24E03D3E" w14:textId="59F1581F" w:rsidR="00CA679F" w:rsidRPr="00CA679F" w:rsidRDefault="00010DC6" w:rsidP="00CA679F">
      <w:pPr>
        <w:spacing w:afterLines="60" w:after="144" w:line="240" w:lineRule="auto"/>
        <w:rPr>
          <w:rFonts w:ascii="Times New Roman" w:eastAsia="TimesNewRoman" w:hAnsi="Times New Roman" w:cs="Times New Roman"/>
          <w:sz w:val="20"/>
          <w:szCs w:val="20"/>
        </w:rPr>
      </w:pPr>
      <w:r w:rsidRPr="00CA679F">
        <w:rPr>
          <w:rFonts w:ascii="Times New Roman" w:eastAsia="TimesNewRoman" w:hAnsi="Times New Roman" w:cs="Times New Roman"/>
          <w:sz w:val="20"/>
          <w:szCs w:val="20"/>
        </w:rPr>
        <w:t xml:space="preserve">The primary method of analysis for comparing overall survival between the treatment groups used a Bayesian exponential-likelihood model with a hierarchical random-effects distribution on treatment effects. If the Bayesian posterior probability of superiority of the experimental treatment over control (that is, </w:t>
      </w:r>
      <w:r w:rsidR="002450FA">
        <w:rPr>
          <w:rFonts w:ascii="Times New Roman" w:eastAsia="TimesNewRoman" w:hAnsi="Times New Roman" w:cs="Times New Roman"/>
          <w:sz w:val="20"/>
          <w:szCs w:val="20"/>
        </w:rPr>
        <w:t>hazard ratio [</w:t>
      </w:r>
      <w:r w:rsidRPr="00CA679F">
        <w:rPr>
          <w:rFonts w:ascii="Times New Roman" w:eastAsia="TimesNewRoman" w:hAnsi="Times New Roman" w:cs="Times New Roman"/>
          <w:sz w:val="20"/>
          <w:szCs w:val="20"/>
        </w:rPr>
        <w:t>HR</w:t>
      </w:r>
      <w:r w:rsidR="002450FA">
        <w:rPr>
          <w:rFonts w:ascii="Times New Roman" w:eastAsia="TimesNewRoman" w:hAnsi="Times New Roman" w:cs="Times New Roman"/>
          <w:sz w:val="20"/>
          <w:szCs w:val="20"/>
        </w:rPr>
        <w:t>]</w:t>
      </w:r>
      <w:r w:rsidRPr="00CA679F">
        <w:rPr>
          <w:rFonts w:ascii="Times New Roman" w:eastAsia="TimesNewRoman" w:hAnsi="Times New Roman" w:cs="Times New Roman"/>
          <w:sz w:val="20"/>
          <w:szCs w:val="20"/>
        </w:rPr>
        <w:t xml:space="preserve"> &lt;1) exceeded 0</w:t>
      </w:r>
      <w:r w:rsidR="000E3DCA" w:rsidRPr="00CA679F">
        <w:rPr>
          <w:rFonts w:ascii="Times New Roman" w:eastAsia="TimesNewRoman" w:hAnsi="Times New Roman" w:cs="Times New Roman"/>
          <w:sz w:val="20"/>
          <w:szCs w:val="20"/>
        </w:rPr>
        <w:t>.</w:t>
      </w:r>
      <w:r w:rsidRPr="00CA679F">
        <w:rPr>
          <w:rFonts w:ascii="Times New Roman" w:eastAsia="TimesNewRoman" w:hAnsi="Times New Roman" w:cs="Times New Roman"/>
          <w:sz w:val="20"/>
          <w:szCs w:val="20"/>
        </w:rPr>
        <w:t xml:space="preserve">85, then it was to be concluded that the experimental arm was superior. </w:t>
      </w:r>
      <w:r w:rsidR="00CA679F" w:rsidRPr="00CA679F">
        <w:rPr>
          <w:rFonts w:ascii="Times New Roman" w:eastAsia="TimesNewRoman" w:hAnsi="Times New Roman" w:cs="Times New Roman"/>
          <w:sz w:val="20"/>
          <w:szCs w:val="20"/>
        </w:rPr>
        <w:t xml:space="preserve">The amount of information from the historical controls incorporated by the Bayesian-augmented control model depends on both the strength of the a priori belief of the similarity of the hazard rates between the historical controls and the current control arm, as well </w:t>
      </w:r>
      <w:r w:rsidR="00CA679F" w:rsidRPr="00CA679F">
        <w:rPr>
          <w:rFonts w:ascii="Times New Roman" w:eastAsia="TimesNewRoman" w:hAnsi="Times New Roman" w:cs="Times New Roman"/>
          <w:sz w:val="20"/>
          <w:szCs w:val="20"/>
        </w:rPr>
        <w:lastRenderedPageBreak/>
        <w:t xml:space="preserve">as the estimated similarity once the data are </w:t>
      </w:r>
      <w:proofErr w:type="spellStart"/>
      <w:r w:rsidR="00CA679F" w:rsidRPr="00CA679F">
        <w:rPr>
          <w:rFonts w:ascii="Times New Roman" w:eastAsia="TimesNewRoman" w:hAnsi="Times New Roman" w:cs="Times New Roman"/>
          <w:sz w:val="20"/>
          <w:szCs w:val="20"/>
        </w:rPr>
        <w:t>analy</w:t>
      </w:r>
      <w:r w:rsidR="00A43C5A">
        <w:rPr>
          <w:rFonts w:ascii="Times New Roman" w:eastAsia="TimesNewRoman" w:hAnsi="Times New Roman" w:cs="Times New Roman"/>
          <w:sz w:val="20"/>
          <w:szCs w:val="20"/>
        </w:rPr>
        <w:t>s</w:t>
      </w:r>
      <w:r w:rsidR="00CA679F" w:rsidRPr="00CA679F">
        <w:rPr>
          <w:rFonts w:ascii="Times New Roman" w:eastAsia="TimesNewRoman" w:hAnsi="Times New Roman" w:cs="Times New Roman"/>
          <w:sz w:val="20"/>
          <w:szCs w:val="20"/>
        </w:rPr>
        <w:t>ed</w:t>
      </w:r>
      <w:proofErr w:type="spellEnd"/>
      <w:r w:rsidR="00CA679F" w:rsidRPr="00CA679F">
        <w:rPr>
          <w:rFonts w:ascii="Times New Roman" w:eastAsia="TimesNewRoman" w:hAnsi="Times New Roman" w:cs="Times New Roman"/>
          <w:sz w:val="20"/>
          <w:szCs w:val="20"/>
        </w:rPr>
        <w:t xml:space="preserve">. If the hazard rates are similar, more historical control information is “borrowed” than in scenarios where the rates differ. </w:t>
      </w:r>
    </w:p>
    <w:p w14:paraId="37BA5846" w14:textId="3D7EB1F0" w:rsidR="00010DC6" w:rsidRPr="000E3DCA" w:rsidRDefault="00010DC6" w:rsidP="00F9462C">
      <w:pPr>
        <w:spacing w:afterLines="60" w:after="144" w:line="240" w:lineRule="auto"/>
        <w:rPr>
          <w:rFonts w:ascii="Times New Roman" w:hAnsi="Times New Roman" w:cs="Times New Roman"/>
          <w:b/>
          <w:i/>
          <w:sz w:val="20"/>
          <w:szCs w:val="20"/>
        </w:rPr>
      </w:pPr>
      <w:r w:rsidRPr="000E3DCA">
        <w:rPr>
          <w:rFonts w:ascii="Times New Roman" w:hAnsi="Times New Roman" w:cs="Times New Roman"/>
          <w:color w:val="000000"/>
          <w:sz w:val="20"/>
          <w:szCs w:val="20"/>
        </w:rPr>
        <w:t xml:space="preserve">In the Bayesian analysis, the degree of borrowing is governed by the model parameter </w:t>
      </w:r>
      <m:oMath>
        <m:r>
          <w:rPr>
            <w:rFonts w:ascii="Cambria Math" w:hAnsi="Cambria Math" w:cs="Times New Roman"/>
            <w:color w:val="000000"/>
            <w:sz w:val="20"/>
            <w:szCs w:val="20"/>
          </w:rPr>
          <m:t>τ.</m:t>
        </m:r>
      </m:oMath>
      <w:r w:rsidRPr="000E3DCA">
        <w:rPr>
          <w:rFonts w:ascii="Times New Roman" w:hAnsi="Times New Roman" w:cs="Times New Roman"/>
          <w:color w:val="000000"/>
          <w:sz w:val="20"/>
          <w:szCs w:val="20"/>
        </w:rPr>
        <w:t xml:space="preserve"> </w:t>
      </w:r>
      <w:proofErr w:type="gramStart"/>
      <w:r w:rsidRPr="000E3DCA">
        <w:rPr>
          <w:rFonts w:ascii="Times New Roman" w:hAnsi="Times New Roman" w:cs="Times New Roman"/>
          <w:color w:val="000000"/>
          <w:sz w:val="20"/>
          <w:szCs w:val="20"/>
        </w:rPr>
        <w:t>This</w:t>
      </w:r>
      <w:proofErr w:type="gramEnd"/>
      <w:r w:rsidRPr="000E3DCA">
        <w:rPr>
          <w:rFonts w:ascii="Times New Roman" w:hAnsi="Times New Roman" w:cs="Times New Roman"/>
          <w:color w:val="000000"/>
          <w:sz w:val="20"/>
          <w:szCs w:val="20"/>
        </w:rPr>
        <w:t xml:space="preserve"> parameter is the standard deviation of the log</w:t>
      </w:r>
      <w:r w:rsidR="00A43C5A">
        <w:rPr>
          <w:rFonts w:ascii="Times New Roman" w:hAnsi="Times New Roman" w:cs="Times New Roman"/>
          <w:color w:val="000000"/>
          <w:sz w:val="20"/>
          <w:szCs w:val="20"/>
        </w:rPr>
        <w:t xml:space="preserve"> </w:t>
      </w:r>
      <w:r w:rsidRPr="000E3DCA">
        <w:rPr>
          <w:rFonts w:ascii="Times New Roman" w:hAnsi="Times New Roman" w:cs="Times New Roman"/>
          <w:color w:val="000000"/>
          <w:sz w:val="20"/>
          <w:szCs w:val="20"/>
        </w:rPr>
        <w:t xml:space="preserve">(HR) of the assumed population of historical studies relative to the current control arm. If the data in the current control arm are concordant with the historical data, then the estimates of </w:t>
      </w:r>
      <m:oMath>
        <m:r>
          <w:rPr>
            <w:rFonts w:ascii="Cambria Math" w:hAnsi="Cambria Math" w:cs="Times New Roman"/>
            <w:color w:val="000000"/>
            <w:sz w:val="20"/>
            <w:szCs w:val="20"/>
          </w:rPr>
          <m:t>τ</m:t>
        </m:r>
      </m:oMath>
      <w:r w:rsidRPr="000E3DCA">
        <w:rPr>
          <w:rFonts w:ascii="Times New Roman" w:hAnsi="Times New Roman" w:cs="Times New Roman"/>
          <w:color w:val="000000"/>
          <w:sz w:val="20"/>
          <w:szCs w:val="20"/>
        </w:rPr>
        <w:t xml:space="preserve"> will be small and there will be a larger amount of borrowing from the historical studies. Conversely, if the data from the current control arm are dissimilar to the historical studies, then the estimates of </w:t>
      </w:r>
      <m:oMath>
        <m:r>
          <w:rPr>
            <w:rFonts w:ascii="Cambria Math" w:hAnsi="Cambria Math" w:cs="Times New Roman"/>
            <w:color w:val="000000"/>
            <w:sz w:val="20"/>
            <w:szCs w:val="20"/>
          </w:rPr>
          <m:t>τ</m:t>
        </m:r>
      </m:oMath>
      <w:r w:rsidRPr="000E3DCA">
        <w:rPr>
          <w:rFonts w:ascii="Times New Roman" w:hAnsi="Times New Roman" w:cs="Times New Roman"/>
          <w:color w:val="000000"/>
          <w:sz w:val="20"/>
          <w:szCs w:val="20"/>
        </w:rPr>
        <w:t xml:space="preserve"> will be large, and less information is borrowed.</w:t>
      </w:r>
    </w:p>
    <w:p w14:paraId="02D936B2" w14:textId="77777777" w:rsidR="00010DC6" w:rsidRPr="00587BC0" w:rsidRDefault="00010DC6"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Procedures</w:t>
      </w:r>
    </w:p>
    <w:p w14:paraId="62140628" w14:textId="074B1DBB" w:rsidR="000E3DCA" w:rsidRPr="000E3DCA" w:rsidRDefault="009F705B" w:rsidP="00F9462C">
      <w:pPr>
        <w:spacing w:afterLines="60" w:after="144" w:line="240" w:lineRule="auto"/>
        <w:rPr>
          <w:rFonts w:ascii="Times New Roman" w:hAnsi="Times New Roman" w:cs="Times New Roman"/>
          <w:color w:val="000000"/>
          <w:sz w:val="20"/>
          <w:szCs w:val="20"/>
        </w:rPr>
      </w:pPr>
      <w:r w:rsidRPr="000E3DCA">
        <w:rPr>
          <w:rFonts w:ascii="Times New Roman" w:hAnsi="Times New Roman" w:cs="Times New Roman"/>
          <w:color w:val="000000"/>
          <w:sz w:val="20"/>
          <w:szCs w:val="20"/>
          <w:lang w:val="en-GB" w:eastAsia="de-DE"/>
        </w:rPr>
        <w:t>Tumour</w:t>
      </w:r>
      <w:r w:rsidR="00CB11C0" w:rsidRPr="000E3DCA">
        <w:rPr>
          <w:rFonts w:ascii="Times New Roman" w:hAnsi="Times New Roman" w:cs="Times New Roman"/>
          <w:color w:val="000000"/>
          <w:sz w:val="20"/>
          <w:szCs w:val="20"/>
          <w:lang w:val="en-GB" w:eastAsia="de-DE"/>
        </w:rPr>
        <w:t xml:space="preserve"> burden and anatomical lesion locations were assessed based on RECIST v. 1.1.</w:t>
      </w:r>
      <w:r w:rsidR="000E3DCA" w:rsidRPr="000E3DCA">
        <w:rPr>
          <w:rFonts w:ascii="Times New Roman" w:hAnsi="Times New Roman" w:cs="Times New Roman"/>
          <w:color w:val="000000"/>
          <w:sz w:val="20"/>
          <w:szCs w:val="20"/>
        </w:rPr>
        <w:t xml:space="preserve"> An Independent Review Committee conducted a blinded assessment of the medical imaging data using the available computed tomography (CT) or magnetic resonance imaging (MRI) for each patient at baseline and at each subsequent time point to determine the date of disease progression and the best overall response. </w:t>
      </w:r>
    </w:p>
    <w:p w14:paraId="353D0EEA" w14:textId="1277C3E9" w:rsidR="000E3DCA" w:rsidRPr="000E3DCA" w:rsidRDefault="000E3DCA" w:rsidP="00F9462C">
      <w:pPr>
        <w:spacing w:afterLines="60" w:after="144" w:line="240" w:lineRule="auto"/>
        <w:rPr>
          <w:rFonts w:ascii="Times New Roman" w:hAnsi="Times New Roman" w:cs="Times New Roman"/>
          <w:color w:val="000000"/>
          <w:sz w:val="20"/>
          <w:szCs w:val="20"/>
        </w:rPr>
      </w:pPr>
      <w:r w:rsidRPr="000E3DCA">
        <w:rPr>
          <w:rFonts w:ascii="Times New Roman" w:hAnsi="Times New Roman" w:cs="Times New Roman"/>
          <w:color w:val="000000"/>
          <w:sz w:val="20"/>
          <w:szCs w:val="20"/>
        </w:rPr>
        <w:t>The safety population consisted of patients who received at least one dose of study drug. Safety monitoring was conducted throughout the study and for 30 days after the last dose of investigational product or, in the case of ongoing drug-related toxicity, until resolution</w:t>
      </w:r>
      <w:r w:rsidRPr="000E3DCA">
        <w:rPr>
          <w:rFonts w:ascii="Times New Roman" w:hAnsi="Times New Roman" w:cs="Times New Roman"/>
          <w:sz w:val="20"/>
          <w:szCs w:val="20"/>
          <w:lang w:val="en-GB" w:eastAsia="ja-JP"/>
        </w:rPr>
        <w:t xml:space="preserve">. </w:t>
      </w:r>
      <w:r w:rsidRPr="000E3DCA">
        <w:rPr>
          <w:rFonts w:ascii="Times New Roman" w:hAnsi="Times New Roman" w:cs="Times New Roman"/>
          <w:color w:val="000000"/>
          <w:sz w:val="20"/>
          <w:szCs w:val="20"/>
        </w:rPr>
        <w:t>Adverse events were assessed using Common Terminology Criteria for Adverse Events (CTCAE) v 4.0. The nature and severity of adverse events, relatedness to study drug, dose-limiting toxicities, and laboratory changes were</w:t>
      </w:r>
      <w:r w:rsidRPr="000E3DCA">
        <w:rPr>
          <w:rFonts w:ascii="Times New Roman" w:hAnsi="Times New Roman" w:cs="Times New Roman"/>
          <w:sz w:val="20"/>
          <w:szCs w:val="20"/>
          <w:lang w:val="en-GB"/>
        </w:rPr>
        <w:t xml:space="preserve"> </w:t>
      </w:r>
      <w:r w:rsidRPr="000E3DCA">
        <w:rPr>
          <w:rFonts w:ascii="Times New Roman" w:hAnsi="Times New Roman" w:cs="Times New Roman"/>
          <w:color w:val="000000"/>
          <w:sz w:val="20"/>
          <w:szCs w:val="20"/>
        </w:rPr>
        <w:t>evaluated. In addition, cardiac safety was assessed by echocardiography/Doppler, chest CT/MRI, serial measurements of brain natriuretic</w:t>
      </w:r>
      <w:r w:rsidRPr="000E3DCA">
        <w:rPr>
          <w:rFonts w:ascii="Times New Roman" w:hAnsi="Times New Roman" w:cs="Times New Roman"/>
          <w:sz w:val="20"/>
          <w:szCs w:val="20"/>
          <w:lang w:val="en-GB" w:eastAsia="ja-JP"/>
        </w:rPr>
        <w:t xml:space="preserve"> </w:t>
      </w:r>
      <w:r w:rsidRPr="000E3DCA">
        <w:rPr>
          <w:rFonts w:ascii="Times New Roman" w:hAnsi="Times New Roman" w:cs="Times New Roman"/>
          <w:color w:val="000000"/>
          <w:sz w:val="20"/>
          <w:szCs w:val="20"/>
        </w:rPr>
        <w:t>peptide, troponin I, cystatin C, and high-sensitivity C-reactive protein.</w:t>
      </w:r>
    </w:p>
    <w:p w14:paraId="02720473" w14:textId="060E1D01" w:rsidR="00010DC6" w:rsidRPr="00587BC0" w:rsidRDefault="00010DC6"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 xml:space="preserve">Pharmacokinetics </w:t>
      </w:r>
      <w:r w:rsidR="001F0CE6" w:rsidRPr="00587BC0">
        <w:rPr>
          <w:rFonts w:ascii="Times New Roman" w:hAnsi="Times New Roman" w:cs="Times New Roman"/>
          <w:b/>
          <w:i/>
          <w:sz w:val="20"/>
          <w:szCs w:val="20"/>
        </w:rPr>
        <w:t>M</w:t>
      </w:r>
      <w:r w:rsidRPr="00587BC0">
        <w:rPr>
          <w:rFonts w:ascii="Times New Roman" w:hAnsi="Times New Roman" w:cs="Times New Roman"/>
          <w:b/>
          <w:i/>
          <w:sz w:val="20"/>
          <w:szCs w:val="20"/>
        </w:rPr>
        <w:t>ethods</w:t>
      </w:r>
    </w:p>
    <w:p w14:paraId="6B21504B" w14:textId="19B6BE09" w:rsidR="00010DC6" w:rsidRPr="000E3DCA" w:rsidRDefault="000E3DCA" w:rsidP="00F9462C">
      <w:pPr>
        <w:spacing w:afterLines="60" w:after="144" w:line="240" w:lineRule="auto"/>
        <w:rPr>
          <w:rFonts w:ascii="Times New Roman" w:eastAsia="TimesNewRoman" w:hAnsi="Times New Roman" w:cs="Times New Roman"/>
          <w:sz w:val="20"/>
          <w:szCs w:val="20"/>
        </w:rPr>
      </w:pPr>
      <w:r w:rsidRPr="000E3DCA">
        <w:rPr>
          <w:rFonts w:ascii="Times New Roman" w:hAnsi="Times New Roman" w:cs="Times New Roman"/>
          <w:sz w:val="20"/>
          <w:szCs w:val="20"/>
          <w:lang w:val="en-GB"/>
        </w:rPr>
        <w:t xml:space="preserve">Pharmacokinetic and </w:t>
      </w:r>
      <w:proofErr w:type="spellStart"/>
      <w:r w:rsidRPr="000E3DCA">
        <w:rPr>
          <w:rFonts w:ascii="Times New Roman" w:hAnsi="Times New Roman" w:cs="Times New Roman"/>
          <w:sz w:val="20"/>
          <w:szCs w:val="20"/>
          <w:lang w:val="en-GB"/>
        </w:rPr>
        <w:t>pharmacodynamic</w:t>
      </w:r>
      <w:proofErr w:type="spellEnd"/>
      <w:r w:rsidRPr="000E3DCA">
        <w:rPr>
          <w:rFonts w:ascii="Times New Roman" w:hAnsi="Times New Roman" w:cs="Times New Roman"/>
          <w:sz w:val="20"/>
          <w:szCs w:val="20"/>
          <w:lang w:val="en-GB"/>
        </w:rPr>
        <w:t xml:space="preserve"> blood sampling were matched to evaluate exposure-associated and biomarker changes.</w:t>
      </w:r>
      <w:r>
        <w:rPr>
          <w:rFonts w:ascii="Times New Roman" w:hAnsi="Times New Roman" w:cs="Times New Roman"/>
          <w:sz w:val="20"/>
          <w:szCs w:val="20"/>
          <w:lang w:val="en-GB"/>
        </w:rPr>
        <w:t xml:space="preserve"> </w:t>
      </w:r>
      <w:r w:rsidR="00010DC6" w:rsidRPr="000E3DCA">
        <w:rPr>
          <w:rFonts w:ascii="Times New Roman" w:eastAsia="TimesNewRoman" w:hAnsi="Times New Roman" w:cs="Times New Roman"/>
          <w:sz w:val="20"/>
          <w:szCs w:val="20"/>
        </w:rPr>
        <w:t>Human plasma samples obtain</w:t>
      </w:r>
      <w:r w:rsidR="00820CC6">
        <w:rPr>
          <w:rFonts w:ascii="Times New Roman" w:eastAsia="TimesNewRoman" w:hAnsi="Times New Roman" w:cs="Times New Roman"/>
          <w:sz w:val="20"/>
          <w:szCs w:val="20"/>
        </w:rPr>
        <w:t xml:space="preserve">ed during this study were </w:t>
      </w:r>
      <w:proofErr w:type="spellStart"/>
      <w:r w:rsidR="00820CC6">
        <w:rPr>
          <w:rFonts w:ascii="Times New Roman" w:eastAsia="TimesNewRoman" w:hAnsi="Times New Roman" w:cs="Times New Roman"/>
          <w:sz w:val="20"/>
          <w:szCs w:val="20"/>
        </w:rPr>
        <w:t>analy</w:t>
      </w:r>
      <w:r w:rsidR="00A43C5A">
        <w:rPr>
          <w:rFonts w:ascii="Times New Roman" w:eastAsia="TimesNewRoman" w:hAnsi="Times New Roman" w:cs="Times New Roman"/>
          <w:sz w:val="20"/>
          <w:szCs w:val="20"/>
        </w:rPr>
        <w:t>s</w:t>
      </w:r>
      <w:r w:rsidR="00010DC6" w:rsidRPr="000E3DCA">
        <w:rPr>
          <w:rFonts w:ascii="Times New Roman" w:eastAsia="TimesNewRoman" w:hAnsi="Times New Roman" w:cs="Times New Roman"/>
          <w:sz w:val="20"/>
          <w:szCs w:val="20"/>
        </w:rPr>
        <w:t>ed</w:t>
      </w:r>
      <w:proofErr w:type="spellEnd"/>
      <w:r w:rsidR="00010DC6" w:rsidRPr="000E3DCA">
        <w:rPr>
          <w:rFonts w:ascii="Times New Roman" w:eastAsia="TimesNewRoman" w:hAnsi="Times New Roman" w:cs="Times New Roman"/>
          <w:sz w:val="20"/>
          <w:szCs w:val="20"/>
        </w:rPr>
        <w:t xml:space="preserve"> for </w:t>
      </w:r>
      <w:proofErr w:type="spellStart"/>
      <w:r w:rsidR="00010DC6" w:rsidRPr="000E3DCA">
        <w:rPr>
          <w:rFonts w:ascii="Times New Roman" w:eastAsia="TimesNewRoman" w:hAnsi="Times New Roman" w:cs="Times New Roman"/>
          <w:sz w:val="20"/>
          <w:szCs w:val="20"/>
        </w:rPr>
        <w:t>galunisertib</w:t>
      </w:r>
      <w:proofErr w:type="spellEnd"/>
      <w:r w:rsidR="00010DC6" w:rsidRPr="000E3DCA">
        <w:rPr>
          <w:rFonts w:ascii="Times New Roman" w:eastAsia="TimesNewRoman" w:hAnsi="Times New Roman" w:cs="Times New Roman"/>
          <w:sz w:val="20"/>
          <w:szCs w:val="20"/>
        </w:rPr>
        <w:t xml:space="preserve"> using validated liquid chromatography–mass spectrometry/mass spectrometry methods (BPLY215A and BPLY215B). The lower limit of quantification was </w:t>
      </w:r>
      <w:proofErr w:type="gramStart"/>
      <w:r w:rsidR="00010DC6" w:rsidRPr="000E3DCA">
        <w:rPr>
          <w:rFonts w:ascii="Times New Roman" w:eastAsia="TimesNewRoman" w:hAnsi="Times New Roman" w:cs="Times New Roman"/>
          <w:sz w:val="20"/>
          <w:szCs w:val="20"/>
        </w:rPr>
        <w:t>0</w:t>
      </w:r>
      <w:r w:rsidR="00820CC6">
        <w:rPr>
          <w:rFonts w:ascii="Times New Roman" w:hAnsi="Times New Roman" w:cs="Times New Roman"/>
          <w:sz w:val="20"/>
          <w:szCs w:val="20"/>
        </w:rPr>
        <w:t>.</w:t>
      </w:r>
      <w:r w:rsidR="00010DC6" w:rsidRPr="000E3DCA">
        <w:rPr>
          <w:rFonts w:ascii="Times New Roman" w:eastAsia="TimesNewRoman" w:hAnsi="Times New Roman" w:cs="Times New Roman"/>
          <w:sz w:val="20"/>
          <w:szCs w:val="20"/>
        </w:rPr>
        <w:t>050 ng/mL</w:t>
      </w:r>
      <w:proofErr w:type="gramEnd"/>
      <w:r w:rsidR="00010DC6" w:rsidRPr="000E3DCA">
        <w:rPr>
          <w:rFonts w:ascii="Times New Roman" w:eastAsia="TimesNewRoman" w:hAnsi="Times New Roman" w:cs="Times New Roman"/>
          <w:sz w:val="20"/>
          <w:szCs w:val="20"/>
        </w:rPr>
        <w:t xml:space="preserve"> and the upper limit of quantification was 10</w:t>
      </w:r>
      <w:r w:rsidR="00820CC6">
        <w:rPr>
          <w:rFonts w:ascii="Times New Roman" w:hAnsi="Times New Roman" w:cs="Times New Roman"/>
          <w:sz w:val="20"/>
          <w:szCs w:val="20"/>
        </w:rPr>
        <w:t>.</w:t>
      </w:r>
      <w:r w:rsidR="00010DC6" w:rsidRPr="000E3DCA">
        <w:rPr>
          <w:rFonts w:ascii="Times New Roman" w:eastAsia="TimesNewRoman" w:hAnsi="Times New Roman" w:cs="Times New Roman"/>
          <w:sz w:val="20"/>
          <w:szCs w:val="20"/>
        </w:rPr>
        <w:t xml:space="preserve">000 ng/mL for BPLY215A. The lower limit of quantification was </w:t>
      </w:r>
      <w:proofErr w:type="gramStart"/>
      <w:r w:rsidR="00010DC6" w:rsidRPr="000E3DCA">
        <w:rPr>
          <w:rFonts w:ascii="Times New Roman" w:eastAsia="TimesNewRoman" w:hAnsi="Times New Roman" w:cs="Times New Roman"/>
          <w:sz w:val="20"/>
          <w:szCs w:val="20"/>
        </w:rPr>
        <w:t>5</w:t>
      </w:r>
      <w:r w:rsidR="00820CC6">
        <w:rPr>
          <w:rFonts w:ascii="Times New Roman" w:hAnsi="Times New Roman" w:cs="Times New Roman"/>
          <w:sz w:val="20"/>
          <w:szCs w:val="20"/>
        </w:rPr>
        <w:t>.</w:t>
      </w:r>
      <w:r w:rsidR="00010DC6" w:rsidRPr="000E3DCA">
        <w:rPr>
          <w:rFonts w:ascii="Times New Roman" w:eastAsia="TimesNewRoman" w:hAnsi="Times New Roman" w:cs="Times New Roman"/>
          <w:sz w:val="20"/>
          <w:szCs w:val="20"/>
        </w:rPr>
        <w:t>000 ng/mL</w:t>
      </w:r>
      <w:proofErr w:type="gramEnd"/>
      <w:r w:rsidR="00010DC6" w:rsidRPr="000E3DCA">
        <w:rPr>
          <w:rFonts w:ascii="Times New Roman" w:eastAsia="TimesNewRoman" w:hAnsi="Times New Roman" w:cs="Times New Roman"/>
          <w:sz w:val="20"/>
          <w:szCs w:val="20"/>
        </w:rPr>
        <w:t xml:space="preserve"> and the upper limit of quantification was 1000</w:t>
      </w:r>
      <w:r w:rsidR="00820CC6">
        <w:rPr>
          <w:rFonts w:ascii="Times New Roman" w:hAnsi="Times New Roman" w:cs="Times New Roman"/>
          <w:sz w:val="20"/>
          <w:szCs w:val="20"/>
        </w:rPr>
        <w:t>.</w:t>
      </w:r>
      <w:r w:rsidR="00010DC6" w:rsidRPr="000E3DCA">
        <w:rPr>
          <w:rFonts w:ascii="Times New Roman" w:eastAsia="TimesNewRoman" w:hAnsi="Times New Roman" w:cs="Times New Roman"/>
          <w:sz w:val="20"/>
          <w:szCs w:val="20"/>
        </w:rPr>
        <w:t xml:space="preserve">000 ng/mL for BPLY215B. Patient demographic factors potentially influencing </w:t>
      </w:r>
      <w:proofErr w:type="spellStart"/>
      <w:r w:rsidR="00010DC6" w:rsidRPr="000E3DCA">
        <w:rPr>
          <w:rFonts w:ascii="Times New Roman" w:eastAsia="TimesNewRoman" w:hAnsi="Times New Roman" w:cs="Times New Roman"/>
          <w:sz w:val="20"/>
          <w:szCs w:val="20"/>
        </w:rPr>
        <w:t>galunisertib</w:t>
      </w:r>
      <w:proofErr w:type="spellEnd"/>
      <w:r w:rsidR="00010DC6" w:rsidRPr="000E3DCA">
        <w:rPr>
          <w:rFonts w:ascii="Times New Roman" w:eastAsia="TimesNewRoman" w:hAnsi="Times New Roman" w:cs="Times New Roman"/>
          <w:sz w:val="20"/>
          <w:szCs w:val="20"/>
        </w:rPr>
        <w:t xml:space="preserve"> disposition included age, body weight, </w:t>
      </w:r>
      <w:proofErr w:type="gramStart"/>
      <w:r w:rsidR="00010DC6" w:rsidRPr="000E3DCA">
        <w:rPr>
          <w:rFonts w:ascii="Times New Roman" w:eastAsia="TimesNewRoman" w:hAnsi="Times New Roman" w:cs="Times New Roman"/>
          <w:sz w:val="20"/>
          <w:szCs w:val="20"/>
        </w:rPr>
        <w:t>body</w:t>
      </w:r>
      <w:proofErr w:type="gramEnd"/>
      <w:r w:rsidR="00010DC6" w:rsidRPr="000E3DCA">
        <w:rPr>
          <w:rFonts w:ascii="Times New Roman" w:eastAsia="TimesNewRoman" w:hAnsi="Times New Roman" w:cs="Times New Roman"/>
          <w:sz w:val="20"/>
          <w:szCs w:val="20"/>
        </w:rPr>
        <w:t xml:space="preserve"> mass index at baseline, sex, alcohol, smoking, and caffeine use.</w:t>
      </w:r>
    </w:p>
    <w:p w14:paraId="78124701" w14:textId="25B12D9C" w:rsidR="00010DC6" w:rsidRPr="00587BC0" w:rsidRDefault="00010DC6"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 xml:space="preserve">Biomarker and </w:t>
      </w:r>
      <w:r w:rsidR="001F0CE6" w:rsidRPr="00587BC0">
        <w:rPr>
          <w:rFonts w:ascii="Times New Roman" w:hAnsi="Times New Roman" w:cs="Times New Roman"/>
          <w:b/>
          <w:i/>
          <w:sz w:val="20"/>
          <w:szCs w:val="20"/>
        </w:rPr>
        <w:t>P</w:t>
      </w:r>
      <w:r w:rsidRPr="00587BC0">
        <w:rPr>
          <w:rFonts w:ascii="Times New Roman" w:hAnsi="Times New Roman" w:cs="Times New Roman"/>
          <w:b/>
          <w:i/>
          <w:sz w:val="20"/>
          <w:szCs w:val="20"/>
        </w:rPr>
        <w:t xml:space="preserve">harmacodynamics </w:t>
      </w:r>
      <w:r w:rsidR="001F0CE6" w:rsidRPr="00587BC0">
        <w:rPr>
          <w:rFonts w:ascii="Times New Roman" w:hAnsi="Times New Roman" w:cs="Times New Roman"/>
          <w:b/>
          <w:i/>
          <w:sz w:val="20"/>
          <w:szCs w:val="20"/>
        </w:rPr>
        <w:t>M</w:t>
      </w:r>
      <w:r w:rsidRPr="00587BC0">
        <w:rPr>
          <w:rFonts w:ascii="Times New Roman" w:hAnsi="Times New Roman" w:cs="Times New Roman"/>
          <w:b/>
          <w:i/>
          <w:sz w:val="20"/>
          <w:szCs w:val="20"/>
        </w:rPr>
        <w:t>ethods</w:t>
      </w:r>
    </w:p>
    <w:p w14:paraId="703AE892" w14:textId="71996503" w:rsidR="00DF432F" w:rsidRPr="000E3DCA" w:rsidRDefault="00DF432F" w:rsidP="00F9462C">
      <w:pPr>
        <w:spacing w:afterLines="60" w:after="144" w:line="240" w:lineRule="auto"/>
        <w:rPr>
          <w:rFonts w:ascii="Times New Roman" w:hAnsi="Times New Roman" w:cs="Times New Roman"/>
          <w:sz w:val="20"/>
          <w:szCs w:val="20"/>
          <w:lang w:val="en-GB"/>
        </w:rPr>
      </w:pPr>
      <w:r w:rsidRPr="000E3DCA">
        <w:rPr>
          <w:rFonts w:ascii="Times New Roman" w:hAnsi="Times New Roman" w:cs="Times New Roman"/>
          <w:color w:val="000000"/>
          <w:sz w:val="20"/>
          <w:szCs w:val="20"/>
          <w:lang w:val="en-GB" w:eastAsia="de-DE"/>
        </w:rPr>
        <w:t xml:space="preserve">Potential clinical prognostic and predictive factors including </w:t>
      </w:r>
      <w:r w:rsidRPr="000E3DCA">
        <w:rPr>
          <w:rFonts w:ascii="Times New Roman" w:hAnsi="Times New Roman" w:cs="Times New Roman"/>
          <w:sz w:val="20"/>
          <w:szCs w:val="20"/>
          <w:lang w:val="en-GB"/>
        </w:rPr>
        <w:t xml:space="preserve">levels of circulating </w:t>
      </w:r>
      <w:r w:rsidRPr="000E3DCA">
        <w:rPr>
          <w:rFonts w:ascii="Times New Roman" w:hAnsi="Times New Roman" w:cs="Times New Roman"/>
          <w:color w:val="000000"/>
          <w:sz w:val="20"/>
          <w:szCs w:val="20"/>
          <w:lang w:eastAsia="de-DE"/>
        </w:rPr>
        <w:t xml:space="preserve">carbohydrate antigen 19-9 </w:t>
      </w:r>
      <w:r>
        <w:rPr>
          <w:rFonts w:ascii="Times New Roman" w:hAnsi="Times New Roman" w:cs="Times New Roman"/>
          <w:color w:val="000000"/>
          <w:sz w:val="20"/>
          <w:szCs w:val="20"/>
          <w:lang w:eastAsia="de-DE"/>
        </w:rPr>
        <w:t>(</w:t>
      </w:r>
      <w:r>
        <w:rPr>
          <w:rFonts w:ascii="Times New Roman" w:hAnsi="Times New Roman" w:cs="Times New Roman"/>
          <w:sz w:val="20"/>
          <w:szCs w:val="20"/>
          <w:lang w:val="en-GB"/>
        </w:rPr>
        <w:t xml:space="preserve">CA19-9) and </w:t>
      </w:r>
      <w:r w:rsidRPr="000E3DCA">
        <w:rPr>
          <w:rFonts w:ascii="Times New Roman" w:hAnsi="Times New Roman" w:cs="Times New Roman"/>
          <w:sz w:val="20"/>
          <w:szCs w:val="20"/>
          <w:lang w:eastAsia="ja-JP"/>
        </w:rPr>
        <w:t>transforming growth factor-</w:t>
      </w:r>
      <w:proofErr w:type="gramStart"/>
      <w:r w:rsidRPr="000E3DCA">
        <w:rPr>
          <w:rFonts w:ascii="Times New Roman" w:hAnsi="Times New Roman" w:cs="Times New Roman"/>
          <w:sz w:val="20"/>
          <w:szCs w:val="20"/>
          <w:lang w:eastAsia="ja-JP"/>
        </w:rPr>
        <w:t xml:space="preserve">beta  </w:t>
      </w:r>
      <w:r>
        <w:rPr>
          <w:rFonts w:ascii="Times New Roman" w:hAnsi="Times New Roman" w:cs="Times New Roman"/>
          <w:sz w:val="20"/>
          <w:szCs w:val="20"/>
          <w:lang w:eastAsia="ja-JP"/>
        </w:rPr>
        <w:t>(</w:t>
      </w:r>
      <w:proofErr w:type="gramEnd"/>
      <w:r w:rsidRPr="000E3DCA">
        <w:rPr>
          <w:rFonts w:ascii="Times New Roman" w:hAnsi="Times New Roman" w:cs="Times New Roman"/>
          <w:sz w:val="20"/>
          <w:szCs w:val="20"/>
          <w:lang w:val="en-GB"/>
        </w:rPr>
        <w:t>TGF-</w:t>
      </w:r>
      <w:r w:rsidRPr="000E3DCA">
        <w:rPr>
          <w:rFonts w:ascii="Times New Roman" w:hAnsi="Times New Roman" w:cs="Times New Roman"/>
          <w:color w:val="000000"/>
          <w:sz w:val="20"/>
          <w:szCs w:val="20"/>
          <w:lang w:val="en-GB" w:eastAsia="de-DE"/>
        </w:rPr>
        <w:t>β</w:t>
      </w:r>
      <w:r>
        <w:rPr>
          <w:rFonts w:ascii="Times New Roman" w:hAnsi="Times New Roman" w:cs="Times New Roman"/>
          <w:color w:val="000000"/>
          <w:sz w:val="20"/>
          <w:szCs w:val="20"/>
          <w:lang w:val="en-GB" w:eastAsia="de-DE"/>
        </w:rPr>
        <w:t>)</w:t>
      </w:r>
      <w:r w:rsidRPr="000E3DCA">
        <w:rPr>
          <w:rFonts w:ascii="Times New Roman" w:hAnsi="Times New Roman" w:cs="Times New Roman"/>
          <w:sz w:val="20"/>
          <w:szCs w:val="20"/>
          <w:lang w:val="en-GB"/>
        </w:rPr>
        <w:t xml:space="preserve"> </w:t>
      </w:r>
      <w:r w:rsidRPr="000E3DCA">
        <w:rPr>
          <w:rFonts w:ascii="Times New Roman" w:hAnsi="Times New Roman" w:cs="Times New Roman"/>
          <w:color w:val="000000"/>
          <w:sz w:val="20"/>
          <w:szCs w:val="20"/>
          <w:lang w:val="en-GB" w:eastAsia="de-DE"/>
        </w:rPr>
        <w:t xml:space="preserve">measured at baseline were evaluated for their impact on overall survival. </w:t>
      </w:r>
      <w:r w:rsidR="00820CC6" w:rsidRPr="000E3DCA">
        <w:rPr>
          <w:rFonts w:ascii="Times New Roman" w:hAnsi="Times New Roman" w:cs="Times New Roman"/>
          <w:color w:val="000000"/>
          <w:sz w:val="20"/>
          <w:szCs w:val="20"/>
          <w:lang w:eastAsia="de-DE"/>
        </w:rPr>
        <w:t>In circulating blood</w:t>
      </w:r>
      <w:r w:rsidR="00820CC6">
        <w:rPr>
          <w:rFonts w:ascii="Times New Roman" w:hAnsi="Times New Roman" w:cs="Times New Roman"/>
          <w:color w:val="000000"/>
          <w:sz w:val="20"/>
          <w:szCs w:val="20"/>
          <w:lang w:eastAsia="de-DE"/>
        </w:rPr>
        <w:t>,</w:t>
      </w:r>
      <w:r w:rsidR="00820CC6" w:rsidRPr="000E3DCA">
        <w:rPr>
          <w:rFonts w:ascii="Times New Roman" w:hAnsi="Times New Roman" w:cs="Times New Roman"/>
          <w:color w:val="000000"/>
          <w:sz w:val="20"/>
          <w:szCs w:val="20"/>
          <w:lang w:eastAsia="de-DE"/>
        </w:rPr>
        <w:t xml:space="preserve"> (CA19-9) kinetics </w:t>
      </w:r>
      <w:proofErr w:type="gramStart"/>
      <w:r w:rsidR="00820CC6" w:rsidRPr="000E3DCA">
        <w:rPr>
          <w:rFonts w:ascii="Times New Roman" w:hAnsi="Times New Roman" w:cs="Times New Roman"/>
          <w:color w:val="000000"/>
          <w:sz w:val="20"/>
          <w:szCs w:val="20"/>
          <w:lang w:eastAsia="de-DE"/>
        </w:rPr>
        <w:t>were</w:t>
      </w:r>
      <w:proofErr w:type="gramEnd"/>
      <w:r w:rsidR="00820CC6" w:rsidRPr="000E3DCA">
        <w:rPr>
          <w:rFonts w:ascii="Times New Roman" w:hAnsi="Times New Roman" w:cs="Times New Roman"/>
          <w:color w:val="000000"/>
          <w:sz w:val="20"/>
          <w:szCs w:val="20"/>
          <w:lang w:eastAsia="de-DE"/>
        </w:rPr>
        <w:t xml:space="preserve"> evaluated using standard laboratory testing (Q2 Solutions, Morrisville, NC). </w:t>
      </w:r>
      <w:r w:rsidR="00820CC6" w:rsidRPr="000E3DCA">
        <w:rPr>
          <w:rFonts w:ascii="Times New Roman" w:hAnsi="Times New Roman" w:cs="Times New Roman"/>
          <w:sz w:val="20"/>
          <w:szCs w:val="20"/>
          <w:lang w:eastAsia="ja-JP"/>
        </w:rPr>
        <w:t>Plasma samples from patients were analy</w:t>
      </w:r>
      <w:r w:rsidR="00E83BF6">
        <w:rPr>
          <w:rFonts w:ascii="Times New Roman" w:hAnsi="Times New Roman" w:cs="Times New Roman"/>
          <w:sz w:val="20"/>
          <w:szCs w:val="20"/>
          <w:lang w:eastAsia="ja-JP"/>
        </w:rPr>
        <w:t>z</w:t>
      </w:r>
      <w:r w:rsidR="00820CC6" w:rsidRPr="000E3DCA">
        <w:rPr>
          <w:rFonts w:ascii="Times New Roman" w:hAnsi="Times New Roman" w:cs="Times New Roman"/>
          <w:sz w:val="20"/>
          <w:szCs w:val="20"/>
          <w:lang w:eastAsia="ja-JP"/>
        </w:rPr>
        <w:t>ed for levels by enzyme</w:t>
      </w:r>
      <w:r w:rsidR="00820CC6" w:rsidRPr="000E3DCA">
        <w:rPr>
          <w:rFonts w:ascii="Times New Roman" w:hAnsi="Times New Roman" w:cs="Times New Roman"/>
          <w:sz w:val="20"/>
          <w:szCs w:val="20"/>
          <w:lang w:eastAsia="ja-JP"/>
        </w:rPr>
        <w:noBreakHyphen/>
        <w:t xml:space="preserve">linked </w:t>
      </w:r>
      <w:r w:rsidR="009F705B" w:rsidRPr="000E3DCA">
        <w:rPr>
          <w:rFonts w:ascii="Times New Roman" w:hAnsi="Times New Roman" w:cs="Times New Roman"/>
          <w:sz w:val="20"/>
          <w:szCs w:val="20"/>
          <w:lang w:eastAsia="ja-JP"/>
        </w:rPr>
        <w:t>immunosorbent</w:t>
      </w:r>
      <w:r w:rsidR="00820CC6" w:rsidRPr="000E3DCA">
        <w:rPr>
          <w:rFonts w:ascii="Times New Roman" w:hAnsi="Times New Roman" w:cs="Times New Roman"/>
          <w:sz w:val="20"/>
          <w:szCs w:val="20"/>
          <w:lang w:eastAsia="ja-JP"/>
        </w:rPr>
        <w:t xml:space="preserve"> assay (ELISA) (R&amp;D Systems, DB100B, </w:t>
      </w:r>
      <w:proofErr w:type="gramStart"/>
      <w:r w:rsidR="00820CC6" w:rsidRPr="000E3DCA">
        <w:rPr>
          <w:rFonts w:ascii="Times New Roman" w:hAnsi="Times New Roman" w:cs="Times New Roman"/>
          <w:sz w:val="20"/>
          <w:szCs w:val="20"/>
          <w:lang w:eastAsia="ja-JP"/>
        </w:rPr>
        <w:t>Minneapolis</w:t>
      </w:r>
      <w:proofErr w:type="gramEnd"/>
      <w:r w:rsidR="00820CC6" w:rsidRPr="000E3DCA">
        <w:rPr>
          <w:rFonts w:ascii="Times New Roman" w:hAnsi="Times New Roman" w:cs="Times New Roman"/>
          <w:sz w:val="20"/>
          <w:szCs w:val="20"/>
          <w:lang w:eastAsia="ja-JP"/>
        </w:rPr>
        <w:t xml:space="preserve">, MN). Levels of CA19-9 and TGF-β were only </w:t>
      </w:r>
      <w:proofErr w:type="spellStart"/>
      <w:r w:rsidR="00820CC6" w:rsidRPr="000E3DCA">
        <w:rPr>
          <w:rFonts w:ascii="Times New Roman" w:hAnsi="Times New Roman" w:cs="Times New Roman"/>
          <w:sz w:val="20"/>
          <w:szCs w:val="20"/>
          <w:lang w:eastAsia="ja-JP"/>
        </w:rPr>
        <w:t>analy</w:t>
      </w:r>
      <w:r w:rsidR="00A43C5A">
        <w:rPr>
          <w:rFonts w:ascii="Times New Roman" w:hAnsi="Times New Roman" w:cs="Times New Roman"/>
          <w:sz w:val="20"/>
          <w:szCs w:val="20"/>
          <w:lang w:eastAsia="ja-JP"/>
        </w:rPr>
        <w:t>s</w:t>
      </w:r>
      <w:r w:rsidR="00820CC6" w:rsidRPr="000E3DCA">
        <w:rPr>
          <w:rFonts w:ascii="Times New Roman" w:hAnsi="Times New Roman" w:cs="Times New Roman"/>
          <w:sz w:val="20"/>
          <w:szCs w:val="20"/>
          <w:lang w:eastAsia="ja-JP"/>
        </w:rPr>
        <w:t>ed</w:t>
      </w:r>
      <w:proofErr w:type="spellEnd"/>
      <w:r w:rsidR="00820CC6" w:rsidRPr="000E3DCA">
        <w:rPr>
          <w:rFonts w:ascii="Times New Roman" w:hAnsi="Times New Roman" w:cs="Times New Roman"/>
          <w:sz w:val="20"/>
          <w:szCs w:val="20"/>
          <w:lang w:eastAsia="ja-JP"/>
        </w:rPr>
        <w:t xml:space="preserve"> during the first 12 weeks of treatment. </w:t>
      </w:r>
      <w:r w:rsidR="00820CC6" w:rsidRPr="000E3DCA">
        <w:rPr>
          <w:rFonts w:ascii="Times New Roman" w:hAnsi="Times New Roman" w:cs="Times New Roman"/>
          <w:sz w:val="20"/>
          <w:szCs w:val="20"/>
          <w:lang w:val="en-GB"/>
        </w:rPr>
        <w:t>Patients were considered a CA19-9 responder if they had a reduction of &gt;20% in CA19-9 levels in the first 12 weeks of treatment, in contrast to 8 weeks reported in other studies.</w:t>
      </w:r>
      <w:r w:rsidR="00820CC6" w:rsidRPr="001B7206">
        <w:rPr>
          <w:rFonts w:ascii="Times New Roman" w:hAnsi="Times New Roman" w:cs="Times New Roman"/>
          <w:noProof/>
          <w:sz w:val="20"/>
          <w:szCs w:val="20"/>
          <w:vertAlign w:val="superscript"/>
          <w:lang w:val="en-GB"/>
        </w:rPr>
        <w:t>5</w:t>
      </w:r>
      <w:r w:rsidR="00820CC6" w:rsidRPr="000E3DCA">
        <w:rPr>
          <w:rFonts w:ascii="Times New Roman" w:hAnsi="Times New Roman" w:cs="Times New Roman"/>
          <w:sz w:val="20"/>
          <w:szCs w:val="20"/>
          <w:lang w:val="en-GB"/>
        </w:rPr>
        <w:t xml:space="preserve"> Patients with &gt;20% reduction in TGF-</w:t>
      </w:r>
      <w:r w:rsidR="00820CC6" w:rsidRPr="000E3DCA">
        <w:rPr>
          <w:rFonts w:ascii="Times New Roman" w:hAnsi="Times New Roman" w:cs="Times New Roman"/>
          <w:sz w:val="20"/>
          <w:szCs w:val="20"/>
          <w:lang w:eastAsia="ja-JP"/>
        </w:rPr>
        <w:t>β</w:t>
      </w:r>
      <w:r w:rsidR="00820CC6" w:rsidRPr="000E3DCA">
        <w:rPr>
          <w:rFonts w:ascii="Times New Roman" w:hAnsi="Times New Roman" w:cs="Times New Roman"/>
          <w:sz w:val="20"/>
          <w:szCs w:val="20"/>
          <w:lang w:val="en-GB"/>
        </w:rPr>
        <w:t xml:space="preserve"> levels in the first 12 weeks were defined as TGF-</w:t>
      </w:r>
      <w:r w:rsidR="00820CC6" w:rsidRPr="000E3DCA">
        <w:rPr>
          <w:rFonts w:ascii="Times New Roman" w:hAnsi="Times New Roman" w:cs="Times New Roman"/>
          <w:sz w:val="20"/>
          <w:szCs w:val="20"/>
          <w:lang w:eastAsia="ja-JP"/>
        </w:rPr>
        <w:t>β</w:t>
      </w:r>
      <w:r w:rsidR="00820CC6" w:rsidRPr="000E3DCA">
        <w:rPr>
          <w:rFonts w:ascii="Times New Roman" w:hAnsi="Times New Roman" w:cs="Times New Roman"/>
          <w:sz w:val="20"/>
          <w:szCs w:val="20"/>
          <w:lang w:val="en-GB"/>
        </w:rPr>
        <w:t xml:space="preserve"> responders. CA19-9 response patterns were compared to the reduction of TGF-</w:t>
      </w:r>
      <w:r w:rsidR="00820CC6" w:rsidRPr="000E3DCA">
        <w:rPr>
          <w:rFonts w:ascii="Times New Roman" w:hAnsi="Times New Roman" w:cs="Times New Roman"/>
          <w:color w:val="000000"/>
          <w:sz w:val="20"/>
          <w:szCs w:val="20"/>
          <w:lang w:val="en-GB" w:eastAsia="de-DE"/>
        </w:rPr>
        <w:t>β</w:t>
      </w:r>
      <w:r w:rsidR="00820CC6" w:rsidRPr="000E3DCA">
        <w:rPr>
          <w:rFonts w:ascii="Times New Roman" w:hAnsi="Times New Roman" w:cs="Times New Roman"/>
          <w:sz w:val="20"/>
          <w:szCs w:val="20"/>
          <w:lang w:val="en-GB"/>
        </w:rPr>
        <w:t xml:space="preserve"> levels in the same responder population.</w:t>
      </w:r>
      <w:r w:rsidR="00820CC6" w:rsidRPr="000E3DCA">
        <w:rPr>
          <w:rFonts w:ascii="Times New Roman" w:hAnsi="Times New Roman" w:cs="Times New Roman"/>
          <w:sz w:val="20"/>
          <w:szCs w:val="20"/>
          <w:lang w:eastAsia="ja-JP"/>
        </w:rPr>
        <w:t xml:space="preserve"> </w:t>
      </w:r>
      <w:r w:rsidRPr="000E3DCA">
        <w:rPr>
          <w:rFonts w:ascii="Times New Roman" w:hAnsi="Times New Roman" w:cs="Times New Roman"/>
          <w:sz w:val="20"/>
          <w:szCs w:val="20"/>
          <w:lang w:val="en-GB"/>
        </w:rPr>
        <w:t xml:space="preserve">Overall survival was summarized descriptively by treatment group and response status using the Kaplan-Meier method. </w:t>
      </w:r>
    </w:p>
    <w:p w14:paraId="1EF928F2" w14:textId="22CD307B" w:rsidR="00820CC6" w:rsidRPr="000E3DCA" w:rsidRDefault="00820CC6" w:rsidP="00F9462C">
      <w:pPr>
        <w:autoSpaceDE w:val="0"/>
        <w:autoSpaceDN w:val="0"/>
        <w:adjustRightInd w:val="0"/>
        <w:spacing w:afterLines="60" w:after="144" w:line="240" w:lineRule="auto"/>
        <w:rPr>
          <w:rFonts w:ascii="Times New Roman" w:hAnsi="Times New Roman" w:cs="Times New Roman"/>
          <w:sz w:val="20"/>
          <w:szCs w:val="20"/>
          <w:lang w:eastAsia="ja-JP"/>
        </w:rPr>
      </w:pPr>
      <w:r w:rsidRPr="000E3DCA">
        <w:rPr>
          <w:rFonts w:ascii="Times New Roman" w:hAnsi="Times New Roman" w:cs="Times New Roman"/>
          <w:sz w:val="20"/>
          <w:szCs w:val="20"/>
          <w:lang w:eastAsia="ja-JP"/>
        </w:rPr>
        <w:t>Platelet factor 4 (PF4) levels were assessed to determine possible platelet activation although it was expected that pancreatic patients will have elevated PF4 levels as part of their tumo</w:t>
      </w:r>
      <w:r w:rsidR="00A43C5A">
        <w:rPr>
          <w:rFonts w:ascii="Times New Roman" w:hAnsi="Times New Roman" w:cs="Times New Roman"/>
          <w:sz w:val="20"/>
          <w:szCs w:val="20"/>
          <w:lang w:eastAsia="ja-JP"/>
        </w:rPr>
        <w:t>u</w:t>
      </w:r>
      <w:r w:rsidRPr="000E3DCA">
        <w:rPr>
          <w:rFonts w:ascii="Times New Roman" w:hAnsi="Times New Roman" w:cs="Times New Roman"/>
          <w:sz w:val="20"/>
          <w:szCs w:val="20"/>
          <w:lang w:eastAsia="ja-JP"/>
        </w:rPr>
        <w:t xml:space="preserve">r-associated intravascular coagulopathy. </w:t>
      </w:r>
    </w:p>
    <w:p w14:paraId="57A481C9" w14:textId="6D20C593" w:rsidR="00CB11C0" w:rsidRPr="000E3DCA" w:rsidRDefault="00CB11C0" w:rsidP="00F9462C">
      <w:pPr>
        <w:spacing w:afterLines="60" w:after="144" w:line="240" w:lineRule="auto"/>
        <w:rPr>
          <w:rFonts w:ascii="Times New Roman" w:hAnsi="Times New Roman" w:cs="Times New Roman"/>
          <w:sz w:val="20"/>
          <w:szCs w:val="20"/>
          <w:lang w:val="en-GB"/>
        </w:rPr>
      </w:pPr>
      <w:r w:rsidRPr="000E3DCA">
        <w:rPr>
          <w:rFonts w:ascii="Times New Roman" w:hAnsi="Times New Roman" w:cs="Times New Roman"/>
          <w:color w:val="000000"/>
          <w:sz w:val="20"/>
          <w:szCs w:val="20"/>
          <w:lang w:val="en-GB" w:eastAsia="de-DE"/>
        </w:rPr>
        <w:t>Continuous lab variables were categorized according to quartile values calculated across all patients (≤lower quartile [LQ], &gt;LQ to ≤median, &gt;median to ≤upper quartile [UQ], &gt;UQ). Additional categorizations of TGF-β were generated relative to the normal range (within normal limits, &gt;upper limit of normal [ULN] to &lt;59</w:t>
      </w:r>
      <w:r w:rsidRPr="000E3DCA">
        <w:rPr>
          <w:rFonts w:ascii="Times New Roman" w:hAnsi="Times New Roman" w:cs="Times New Roman"/>
          <w:color w:val="000000"/>
          <w:sz w:val="20"/>
          <w:szCs w:val="20"/>
          <w:lang w:val="en-GB" w:eastAsia="de-DE"/>
        </w:rPr>
        <w:sym w:font="Symbol" w:char="F0B4"/>
      </w:r>
      <w:r w:rsidRPr="000E3DCA">
        <w:rPr>
          <w:rFonts w:ascii="Times New Roman" w:hAnsi="Times New Roman" w:cs="Times New Roman"/>
          <w:color w:val="000000"/>
          <w:sz w:val="20"/>
          <w:szCs w:val="20"/>
          <w:lang w:val="en-GB" w:eastAsia="de-DE"/>
        </w:rPr>
        <w:t>ULN, ≥59</w:t>
      </w:r>
      <w:r w:rsidRPr="000E3DCA">
        <w:rPr>
          <w:rFonts w:ascii="Times New Roman" w:hAnsi="Times New Roman" w:cs="Times New Roman"/>
          <w:color w:val="000000"/>
          <w:sz w:val="20"/>
          <w:szCs w:val="20"/>
          <w:lang w:val="en-GB" w:eastAsia="de-DE"/>
        </w:rPr>
        <w:sym w:font="Symbol" w:char="F0B4"/>
      </w:r>
      <w:r w:rsidRPr="000E3DCA">
        <w:rPr>
          <w:rFonts w:ascii="Times New Roman" w:hAnsi="Times New Roman" w:cs="Times New Roman"/>
          <w:color w:val="000000"/>
          <w:sz w:val="20"/>
          <w:szCs w:val="20"/>
          <w:lang w:val="en-GB" w:eastAsia="de-DE"/>
        </w:rPr>
        <w:t xml:space="preserve">ULN) and based on a </w:t>
      </w:r>
      <w:proofErr w:type="spellStart"/>
      <w:r w:rsidRPr="000E3DCA">
        <w:rPr>
          <w:rFonts w:ascii="Times New Roman" w:hAnsi="Times New Roman" w:cs="Times New Roman"/>
          <w:color w:val="000000"/>
          <w:sz w:val="20"/>
          <w:szCs w:val="20"/>
          <w:lang w:val="en-GB" w:eastAsia="de-DE"/>
        </w:rPr>
        <w:t>galunisertib</w:t>
      </w:r>
      <w:proofErr w:type="spellEnd"/>
      <w:r w:rsidRPr="000E3DCA">
        <w:rPr>
          <w:rFonts w:ascii="Times New Roman" w:hAnsi="Times New Roman" w:cs="Times New Roman"/>
          <w:color w:val="000000"/>
          <w:sz w:val="20"/>
          <w:szCs w:val="20"/>
          <w:lang w:val="en-GB" w:eastAsia="de-DE"/>
        </w:rPr>
        <w:t xml:space="preserve"> study in hepatocellular carcinoma patients showing improved overall survival among TGF-β responders (≥20% reduction) and higher response rates among those with baseline TGF-β ≥3411 </w:t>
      </w:r>
      <w:proofErr w:type="spellStart"/>
      <w:r w:rsidRPr="000E3DCA">
        <w:rPr>
          <w:rFonts w:ascii="Times New Roman" w:hAnsi="Times New Roman" w:cs="Times New Roman"/>
          <w:color w:val="000000"/>
          <w:sz w:val="20"/>
          <w:szCs w:val="20"/>
          <w:lang w:val="en-GB" w:eastAsia="de-DE"/>
        </w:rPr>
        <w:t>pg</w:t>
      </w:r>
      <w:proofErr w:type="spellEnd"/>
      <w:r w:rsidRPr="000E3DCA">
        <w:rPr>
          <w:rFonts w:ascii="Times New Roman" w:hAnsi="Times New Roman" w:cs="Times New Roman"/>
          <w:color w:val="000000"/>
          <w:sz w:val="20"/>
          <w:szCs w:val="20"/>
          <w:lang w:val="en-GB" w:eastAsia="de-DE"/>
        </w:rPr>
        <w:t>/mL</w:t>
      </w:r>
      <w:r w:rsidRPr="001B7206">
        <w:rPr>
          <w:rFonts w:ascii="Times New Roman" w:hAnsi="Times New Roman" w:cs="Times New Roman"/>
          <w:noProof/>
          <w:color w:val="000000"/>
          <w:sz w:val="20"/>
          <w:szCs w:val="20"/>
          <w:vertAlign w:val="superscript"/>
          <w:lang w:val="en-GB" w:eastAsia="de-DE"/>
        </w:rPr>
        <w:t>6</w:t>
      </w:r>
      <w:r w:rsidRPr="000E3DCA">
        <w:rPr>
          <w:rFonts w:ascii="Times New Roman" w:hAnsi="Times New Roman" w:cs="Times New Roman"/>
          <w:color w:val="000000"/>
          <w:sz w:val="20"/>
          <w:szCs w:val="20"/>
          <w:lang w:val="en-GB" w:eastAsia="de-DE"/>
        </w:rPr>
        <w:t xml:space="preserve"> (≤median </w:t>
      </w:r>
      <w:r w:rsidRPr="00820CC6">
        <w:rPr>
          <w:rFonts w:ascii="Times New Roman" w:hAnsi="Times New Roman" w:cs="Times New Roman"/>
          <w:color w:val="000000"/>
          <w:sz w:val="20"/>
          <w:szCs w:val="20"/>
          <w:lang w:val="en-GB" w:eastAsia="de-DE"/>
        </w:rPr>
        <w:t xml:space="preserve">vs &gt;median and &lt;3400 </w:t>
      </w:r>
      <w:proofErr w:type="spellStart"/>
      <w:r w:rsidRPr="00820CC6">
        <w:rPr>
          <w:rFonts w:ascii="Times New Roman" w:hAnsi="Times New Roman" w:cs="Times New Roman"/>
          <w:color w:val="000000"/>
          <w:sz w:val="20"/>
          <w:szCs w:val="20"/>
          <w:lang w:val="en-GB" w:eastAsia="de-DE"/>
        </w:rPr>
        <w:t>pg</w:t>
      </w:r>
      <w:proofErr w:type="spellEnd"/>
      <w:r w:rsidRPr="00820CC6">
        <w:rPr>
          <w:rFonts w:ascii="Times New Roman" w:hAnsi="Times New Roman" w:cs="Times New Roman"/>
          <w:color w:val="000000"/>
          <w:sz w:val="20"/>
          <w:szCs w:val="20"/>
          <w:lang w:val="en-GB" w:eastAsia="de-DE"/>
        </w:rPr>
        <w:t xml:space="preserve">/mL vs ≥3400 </w:t>
      </w:r>
      <w:proofErr w:type="spellStart"/>
      <w:r w:rsidRPr="00820CC6">
        <w:rPr>
          <w:rFonts w:ascii="Times New Roman" w:hAnsi="Times New Roman" w:cs="Times New Roman"/>
          <w:color w:val="000000"/>
          <w:sz w:val="20"/>
          <w:szCs w:val="20"/>
          <w:lang w:val="en-GB" w:eastAsia="de-DE"/>
        </w:rPr>
        <w:t>pg</w:t>
      </w:r>
      <w:proofErr w:type="spellEnd"/>
      <w:r w:rsidRPr="000E3DCA">
        <w:rPr>
          <w:rFonts w:ascii="Times New Roman" w:hAnsi="Times New Roman" w:cs="Times New Roman"/>
          <w:color w:val="000000"/>
          <w:sz w:val="20"/>
          <w:szCs w:val="20"/>
          <w:lang w:val="en-GB" w:eastAsia="de-DE"/>
        </w:rPr>
        <w:t xml:space="preserve">/mL). Univariate Cox proportional hazards models were </w:t>
      </w:r>
      <w:r w:rsidRPr="000E3DCA">
        <w:rPr>
          <w:rFonts w:ascii="Times New Roman" w:hAnsi="Times New Roman" w:cs="Times New Roman"/>
          <w:sz w:val="20"/>
          <w:szCs w:val="20"/>
          <w:lang w:val="en-GB"/>
        </w:rPr>
        <w:t>first used to select covariates with p≤0.2. For these covariates, a multivariate Cox model was used to make stepwise selection with both entry and exit p=0.2 in order to identify independent prognostic factors.</w:t>
      </w:r>
    </w:p>
    <w:p w14:paraId="5D13ECDC" w14:textId="77777777" w:rsidR="00CB11C0" w:rsidRPr="000E3DCA" w:rsidRDefault="00CB11C0" w:rsidP="00F9462C">
      <w:pPr>
        <w:autoSpaceDE w:val="0"/>
        <w:autoSpaceDN w:val="0"/>
        <w:adjustRightInd w:val="0"/>
        <w:spacing w:afterLines="60" w:after="144" w:line="240" w:lineRule="auto"/>
        <w:rPr>
          <w:rFonts w:ascii="Times New Roman" w:hAnsi="Times New Roman" w:cs="Times New Roman"/>
          <w:sz w:val="20"/>
          <w:szCs w:val="20"/>
          <w:lang w:val="en-GB"/>
        </w:rPr>
      </w:pPr>
      <w:r w:rsidRPr="000E3DCA">
        <w:rPr>
          <w:rFonts w:ascii="Times New Roman" w:hAnsi="Times New Roman" w:cs="Times New Roman"/>
          <w:sz w:val="20"/>
          <w:szCs w:val="20"/>
          <w:lang w:val="en-GB"/>
        </w:rPr>
        <w:lastRenderedPageBreak/>
        <w:t xml:space="preserve">Potential predictive markers, similarly split into two groups at the median, were evaluated to determine if baseline levels were predictive for a treatment response to </w:t>
      </w:r>
      <w:proofErr w:type="spellStart"/>
      <w:r w:rsidRPr="000E3DCA">
        <w:rPr>
          <w:rFonts w:ascii="Times New Roman" w:hAnsi="Times New Roman" w:cs="Times New Roman"/>
          <w:sz w:val="20"/>
          <w:szCs w:val="20"/>
          <w:lang w:val="en-GB"/>
        </w:rPr>
        <w:t>galunisertib</w:t>
      </w:r>
      <w:proofErr w:type="spellEnd"/>
      <w:r w:rsidRPr="000E3DCA">
        <w:rPr>
          <w:rFonts w:ascii="Times New Roman" w:hAnsi="Times New Roman" w:cs="Times New Roman"/>
          <w:sz w:val="20"/>
          <w:szCs w:val="20"/>
          <w:lang w:val="en-GB"/>
        </w:rPr>
        <w:t xml:space="preserve"> based on </w:t>
      </w:r>
      <w:r w:rsidR="00820CC6">
        <w:rPr>
          <w:rFonts w:ascii="Times New Roman" w:hAnsi="Times New Roman" w:cs="Times New Roman"/>
          <w:sz w:val="20"/>
          <w:szCs w:val="20"/>
          <w:lang w:val="en-GB"/>
        </w:rPr>
        <w:t>overall survival</w:t>
      </w:r>
      <w:r w:rsidRPr="000E3DCA">
        <w:rPr>
          <w:rFonts w:ascii="Times New Roman" w:hAnsi="Times New Roman" w:cs="Times New Roman"/>
          <w:sz w:val="20"/>
          <w:szCs w:val="20"/>
          <w:lang w:val="en-GB"/>
        </w:rPr>
        <w:t xml:space="preserve">. Cox models were used with terms including the interaction of baseline protein marker (&gt;median, </w:t>
      </w:r>
      <w:r w:rsidRPr="000E3DCA">
        <w:rPr>
          <w:rFonts w:ascii="Times New Roman" w:hAnsi="Times New Roman" w:cs="Times New Roman"/>
          <w:sz w:val="20"/>
          <w:szCs w:val="20"/>
          <w:lang w:val="en-GB" w:eastAsia="ja-JP"/>
        </w:rPr>
        <w:t>≤median)</w:t>
      </w:r>
      <w:r w:rsidRPr="000E3DCA">
        <w:rPr>
          <w:rFonts w:ascii="Times New Roman" w:hAnsi="Times New Roman" w:cs="Times New Roman"/>
          <w:sz w:val="20"/>
          <w:szCs w:val="20"/>
          <w:lang w:val="en-GB"/>
        </w:rPr>
        <w:t xml:space="preserve"> and treatment arm (</w:t>
      </w:r>
      <w:proofErr w:type="spellStart"/>
      <w:r w:rsidRPr="000E3DCA">
        <w:rPr>
          <w:rFonts w:ascii="Times New Roman" w:hAnsi="Times New Roman" w:cs="Times New Roman"/>
          <w:sz w:val="20"/>
          <w:szCs w:val="20"/>
          <w:lang w:val="en-GB"/>
        </w:rPr>
        <w:t>galunisertib</w:t>
      </w:r>
      <w:proofErr w:type="spellEnd"/>
      <w:r w:rsidRPr="000E3DCA">
        <w:rPr>
          <w:rFonts w:ascii="Times New Roman" w:hAnsi="Times New Roman" w:cs="Times New Roman"/>
          <w:sz w:val="20"/>
          <w:szCs w:val="20"/>
          <w:lang w:val="en-GB"/>
        </w:rPr>
        <w:t xml:space="preserve"> plus gemcitabine, gemcitabine alone), and a marker was identified to be potentially predictive if the interaction term had a </w:t>
      </w:r>
      <w:r w:rsidRPr="000E3DCA">
        <w:rPr>
          <w:rFonts w:ascii="Times New Roman" w:hAnsi="Times New Roman" w:cs="Times New Roman"/>
          <w:sz w:val="20"/>
          <w:szCs w:val="20"/>
          <w:lang w:val="en-GB" w:eastAsia="ja-JP"/>
        </w:rPr>
        <w:t>p</w:t>
      </w:r>
      <w:r w:rsidRPr="000E3DCA">
        <w:rPr>
          <w:rFonts w:ascii="Times New Roman" w:hAnsi="Times New Roman" w:cs="Times New Roman"/>
          <w:sz w:val="20"/>
          <w:szCs w:val="20"/>
          <w:lang w:val="en-GB"/>
        </w:rPr>
        <w:t xml:space="preserve">≤0.05. There was no adjustment for multiplicity. </w:t>
      </w:r>
    </w:p>
    <w:p w14:paraId="6072A2E4" w14:textId="15498B87" w:rsidR="00010DC6" w:rsidRPr="000E3DCA" w:rsidRDefault="000E3DCA" w:rsidP="00F9462C">
      <w:pPr>
        <w:spacing w:afterLines="60" w:after="144" w:line="240" w:lineRule="auto"/>
        <w:rPr>
          <w:rFonts w:ascii="Times New Roman" w:hAnsi="Times New Roman" w:cs="Times New Roman"/>
          <w:sz w:val="20"/>
          <w:szCs w:val="20"/>
          <w:lang w:val="en-GB" w:eastAsia="ja-JP"/>
        </w:rPr>
      </w:pPr>
      <w:r w:rsidRPr="000E3DCA">
        <w:rPr>
          <w:rFonts w:ascii="Times New Roman" w:hAnsi="Times New Roman" w:cs="Times New Roman"/>
          <w:sz w:val="20"/>
          <w:szCs w:val="20"/>
          <w:lang w:val="en-GB" w:eastAsia="ja-JP"/>
        </w:rPr>
        <w:t>Standard flow cytometry was used to investigate T cell subsets, and CD3 levels were assayed by using a test based on epigenetic alterations</w:t>
      </w:r>
      <w:r w:rsidRPr="001B7206">
        <w:rPr>
          <w:rFonts w:ascii="Times New Roman" w:hAnsi="Times New Roman" w:cs="Times New Roman"/>
          <w:sz w:val="20"/>
          <w:szCs w:val="20"/>
          <w:lang w:val="en-GB" w:eastAsia="ja-JP"/>
        </w:rPr>
        <w:t>.</w:t>
      </w:r>
      <w:r w:rsidR="001B7206" w:rsidRPr="001B7206">
        <w:rPr>
          <w:rFonts w:ascii="Times New Roman" w:hAnsi="Times New Roman" w:cs="Times New Roman"/>
          <w:noProof/>
          <w:sz w:val="20"/>
          <w:szCs w:val="20"/>
          <w:vertAlign w:val="superscript"/>
          <w:lang w:val="en-GB" w:eastAsia="ja-JP"/>
        </w:rPr>
        <w:t>7</w:t>
      </w:r>
      <w:r w:rsidRPr="001B7206">
        <w:rPr>
          <w:rFonts w:ascii="Times New Roman" w:hAnsi="Times New Roman" w:cs="Times New Roman"/>
          <w:noProof/>
          <w:sz w:val="20"/>
          <w:szCs w:val="20"/>
          <w:vertAlign w:val="superscript"/>
          <w:lang w:val="en-GB" w:eastAsia="ja-JP"/>
        </w:rPr>
        <w:t xml:space="preserve"> </w:t>
      </w:r>
      <w:r w:rsidRPr="001B7206">
        <w:rPr>
          <w:rFonts w:ascii="Times New Roman" w:hAnsi="Times New Roman" w:cs="Times New Roman"/>
          <w:sz w:val="20"/>
          <w:szCs w:val="20"/>
          <w:lang w:val="en-GB"/>
        </w:rPr>
        <w:t>Analyses</w:t>
      </w:r>
      <w:r w:rsidRPr="000E3DCA">
        <w:rPr>
          <w:rFonts w:ascii="Times New Roman" w:hAnsi="Times New Roman" w:cs="Times New Roman"/>
          <w:sz w:val="20"/>
          <w:szCs w:val="20"/>
          <w:lang w:val="en-GB"/>
        </w:rPr>
        <w:t xml:space="preserve"> were conducted on </w:t>
      </w:r>
      <w:r>
        <w:rPr>
          <w:rFonts w:ascii="Times New Roman" w:hAnsi="Times New Roman" w:cs="Times New Roman"/>
          <w:sz w:val="20"/>
          <w:szCs w:val="20"/>
          <w:lang w:val="en-GB"/>
        </w:rPr>
        <w:t xml:space="preserve">279 </w:t>
      </w:r>
      <w:r w:rsidRPr="000E3DCA">
        <w:rPr>
          <w:rFonts w:ascii="Times New Roman" w:hAnsi="Times New Roman" w:cs="Times New Roman"/>
          <w:sz w:val="20"/>
          <w:szCs w:val="20"/>
          <w:lang w:val="en-GB"/>
        </w:rPr>
        <w:t xml:space="preserve">circulating proteins whose concentrations were estimated by </w:t>
      </w:r>
      <w:r w:rsidRPr="000E3DCA">
        <w:rPr>
          <w:rFonts w:ascii="Times New Roman" w:hAnsi="Times New Roman" w:cs="Times New Roman"/>
          <w:sz w:val="20"/>
          <w:szCs w:val="20"/>
          <w:lang w:val="en-GB" w:eastAsia="ja-JP"/>
        </w:rPr>
        <w:t>Myriad RBM (Austin, TX, USA) using the Human Multi-</w:t>
      </w:r>
      <w:proofErr w:type="spellStart"/>
      <w:r w:rsidRPr="000E3DCA">
        <w:rPr>
          <w:rFonts w:ascii="Times New Roman" w:hAnsi="Times New Roman" w:cs="Times New Roman"/>
          <w:sz w:val="20"/>
          <w:szCs w:val="20"/>
          <w:lang w:val="en-GB" w:eastAsia="ja-JP"/>
        </w:rPr>
        <w:t>Analyte</w:t>
      </w:r>
      <w:proofErr w:type="spellEnd"/>
      <w:r w:rsidRPr="000E3DCA">
        <w:rPr>
          <w:rFonts w:ascii="Times New Roman" w:hAnsi="Times New Roman" w:cs="Times New Roman"/>
          <w:sz w:val="20"/>
          <w:szCs w:val="20"/>
          <w:lang w:val="en-GB" w:eastAsia="ja-JP"/>
        </w:rPr>
        <w:t xml:space="preserve"> Profiles (</w:t>
      </w:r>
      <w:r w:rsidRPr="000E3DCA">
        <w:rPr>
          <w:rFonts w:ascii="Times New Roman" w:hAnsi="Times New Roman" w:cs="Times New Roman"/>
          <w:sz w:val="20"/>
          <w:szCs w:val="20"/>
          <w:lang w:val="en-GB"/>
        </w:rPr>
        <w:t>MAP®) panel</w:t>
      </w:r>
      <w:r w:rsidRPr="000E3DCA">
        <w:rPr>
          <w:rFonts w:ascii="Times New Roman" w:hAnsi="Times New Roman" w:cs="Times New Roman"/>
          <w:sz w:val="20"/>
          <w:szCs w:val="20"/>
          <w:lang w:val="en-GB" w:eastAsia="ja-JP"/>
        </w:rPr>
        <w:t xml:space="preserve">. </w:t>
      </w:r>
      <w:r w:rsidR="00010DC6" w:rsidRPr="000E3DCA">
        <w:rPr>
          <w:rFonts w:ascii="Times New Roman" w:hAnsi="Times New Roman" w:cs="Times New Roman"/>
          <w:sz w:val="20"/>
          <w:szCs w:val="20"/>
          <w:lang w:eastAsia="ja-JP"/>
        </w:rPr>
        <w:t>Whole blood samples were used to determine the levels of T cell subsets such as CD4</w:t>
      </w:r>
      <w:r w:rsidR="00010DC6" w:rsidRPr="000E3DCA">
        <w:rPr>
          <w:rFonts w:ascii="Times New Roman" w:hAnsi="Times New Roman" w:cs="Times New Roman"/>
          <w:sz w:val="20"/>
          <w:szCs w:val="20"/>
          <w:vertAlign w:val="superscript"/>
          <w:lang w:eastAsia="ja-JP"/>
        </w:rPr>
        <w:t>+</w:t>
      </w:r>
      <w:r w:rsidR="00010DC6" w:rsidRPr="000E3DCA">
        <w:rPr>
          <w:rFonts w:ascii="Times New Roman" w:hAnsi="Times New Roman" w:cs="Times New Roman"/>
          <w:sz w:val="20"/>
          <w:szCs w:val="20"/>
          <w:lang w:eastAsia="ja-JP"/>
        </w:rPr>
        <w:t xml:space="preserve"> (normal range=441–2156 cells/UL), CD8</w:t>
      </w:r>
      <w:r w:rsidR="00010DC6" w:rsidRPr="000E3DCA">
        <w:rPr>
          <w:rFonts w:ascii="Times New Roman" w:hAnsi="Times New Roman" w:cs="Times New Roman"/>
          <w:sz w:val="20"/>
          <w:szCs w:val="20"/>
          <w:vertAlign w:val="superscript"/>
          <w:lang w:eastAsia="ja-JP"/>
        </w:rPr>
        <w:t>+</w:t>
      </w:r>
      <w:r w:rsidR="00010DC6" w:rsidRPr="000E3DCA">
        <w:rPr>
          <w:rFonts w:ascii="Times New Roman" w:hAnsi="Times New Roman" w:cs="Times New Roman"/>
          <w:sz w:val="20"/>
          <w:szCs w:val="20"/>
          <w:lang w:eastAsia="ja-JP"/>
        </w:rPr>
        <w:t xml:space="preserve"> (normal range=125–1312 cells/UL) and CD4</w:t>
      </w:r>
      <w:r w:rsidR="00010DC6" w:rsidRPr="000E3DCA">
        <w:rPr>
          <w:rFonts w:ascii="Times New Roman" w:hAnsi="Times New Roman" w:cs="Times New Roman"/>
          <w:sz w:val="20"/>
          <w:szCs w:val="20"/>
          <w:vertAlign w:val="superscript"/>
          <w:lang w:eastAsia="ja-JP"/>
        </w:rPr>
        <w:t>+</w:t>
      </w:r>
      <w:r w:rsidR="00010DC6" w:rsidRPr="000E3DCA">
        <w:rPr>
          <w:rFonts w:ascii="Times New Roman" w:hAnsi="Times New Roman" w:cs="Times New Roman"/>
          <w:sz w:val="20"/>
          <w:szCs w:val="20"/>
          <w:lang w:eastAsia="ja-JP"/>
        </w:rPr>
        <w:t>CD25</w:t>
      </w:r>
      <w:r w:rsidR="00010DC6" w:rsidRPr="000E3DCA">
        <w:rPr>
          <w:rFonts w:ascii="Times New Roman" w:hAnsi="Times New Roman" w:cs="Times New Roman"/>
          <w:sz w:val="20"/>
          <w:szCs w:val="20"/>
          <w:vertAlign w:val="superscript"/>
          <w:lang w:eastAsia="ja-JP"/>
        </w:rPr>
        <w:t>+</w:t>
      </w:r>
      <w:r w:rsidR="00010DC6" w:rsidRPr="000E3DCA">
        <w:rPr>
          <w:rFonts w:ascii="Times New Roman" w:hAnsi="Times New Roman" w:cs="Times New Roman"/>
          <w:sz w:val="20"/>
          <w:szCs w:val="20"/>
          <w:lang w:eastAsia="ja-JP"/>
        </w:rPr>
        <w:t>CD127</w:t>
      </w:r>
      <w:r w:rsidR="00010DC6" w:rsidRPr="000E3DCA">
        <w:rPr>
          <w:rFonts w:ascii="Times New Roman" w:hAnsi="Times New Roman" w:cs="Times New Roman"/>
          <w:sz w:val="20"/>
          <w:szCs w:val="20"/>
          <w:vertAlign w:val="superscript"/>
          <w:lang w:eastAsia="ja-JP"/>
        </w:rPr>
        <w:t>-</w:t>
      </w:r>
      <w:r w:rsidR="00010DC6" w:rsidRPr="000E3DCA">
        <w:rPr>
          <w:rFonts w:ascii="Times New Roman" w:hAnsi="Times New Roman" w:cs="Times New Roman"/>
          <w:sz w:val="20"/>
          <w:szCs w:val="20"/>
          <w:lang w:eastAsia="ja-JP"/>
        </w:rPr>
        <w:t>/LOlP3</w:t>
      </w:r>
      <w:r w:rsidR="00010DC6" w:rsidRPr="000E3DCA">
        <w:rPr>
          <w:rFonts w:ascii="Times New Roman" w:hAnsi="Times New Roman" w:cs="Times New Roman"/>
          <w:sz w:val="20"/>
          <w:szCs w:val="20"/>
          <w:vertAlign w:val="superscript"/>
          <w:lang w:eastAsia="ja-JP"/>
        </w:rPr>
        <w:t xml:space="preserve">+ </w:t>
      </w:r>
      <w:r w:rsidR="00010DC6" w:rsidRPr="000E3DCA">
        <w:rPr>
          <w:rFonts w:ascii="Times New Roman" w:hAnsi="Times New Roman" w:cs="Times New Roman"/>
          <w:sz w:val="20"/>
          <w:szCs w:val="20"/>
          <w:lang w:eastAsia="ja-JP"/>
        </w:rPr>
        <w:t>(normal range estimated to be 18</w:t>
      </w:r>
      <w:r w:rsidR="00010DC6" w:rsidRPr="000E3DCA">
        <w:rPr>
          <w:rFonts w:ascii="Times New Roman" w:eastAsia="Calibri" w:hAnsi="Times New Roman" w:cs="Times New Roman"/>
          <w:sz w:val="20"/>
          <w:szCs w:val="20"/>
        </w:rPr>
        <w:t>–</w:t>
      </w:r>
      <w:r w:rsidR="00010DC6" w:rsidRPr="000E3DCA">
        <w:rPr>
          <w:rFonts w:ascii="Times New Roman" w:hAnsi="Times New Roman" w:cs="Times New Roman"/>
          <w:sz w:val="20"/>
          <w:szCs w:val="20"/>
          <w:lang w:eastAsia="ja-JP"/>
        </w:rPr>
        <w:t xml:space="preserve">86 cells/UL) by standard flow cytometry. In addition, percentage of FOXP3 (normal </w:t>
      </w:r>
      <w:r w:rsidR="00DF432F">
        <w:rPr>
          <w:rFonts w:ascii="Times New Roman" w:hAnsi="Times New Roman" w:cs="Times New Roman"/>
          <w:sz w:val="20"/>
          <w:szCs w:val="20"/>
          <w:lang w:eastAsia="ja-JP"/>
        </w:rPr>
        <w:t>range=1–3.</w:t>
      </w:r>
      <w:r w:rsidR="00010DC6" w:rsidRPr="000E3DCA">
        <w:rPr>
          <w:rFonts w:ascii="Times New Roman" w:hAnsi="Times New Roman" w:cs="Times New Roman"/>
          <w:sz w:val="20"/>
          <w:szCs w:val="20"/>
          <w:lang w:eastAsia="ja-JP"/>
        </w:rPr>
        <w:t>6%) and CD3 (normal range=17–36%) were determined in whole blood using an epigenetic T cell assay (</w:t>
      </w:r>
      <w:proofErr w:type="spellStart"/>
      <w:r w:rsidR="00010DC6" w:rsidRPr="000E3DCA">
        <w:rPr>
          <w:rFonts w:ascii="Times New Roman" w:hAnsi="Times New Roman" w:cs="Times New Roman"/>
          <w:sz w:val="20"/>
          <w:szCs w:val="20"/>
          <w:lang w:eastAsia="ja-JP"/>
        </w:rPr>
        <w:t>Epiontis</w:t>
      </w:r>
      <w:proofErr w:type="spellEnd"/>
      <w:r w:rsidR="00010DC6" w:rsidRPr="000E3DCA">
        <w:rPr>
          <w:rFonts w:ascii="Times New Roman" w:hAnsi="Times New Roman" w:cs="Times New Roman"/>
          <w:sz w:val="20"/>
          <w:szCs w:val="20"/>
          <w:lang w:eastAsia="ja-JP"/>
        </w:rPr>
        <w:t>, Berlin, Germany).</w:t>
      </w:r>
      <w:r w:rsidR="00010DC6" w:rsidRPr="00F9462C">
        <w:rPr>
          <w:rFonts w:ascii="Times New Roman" w:hAnsi="Times New Roman" w:cs="Times New Roman"/>
          <w:sz w:val="20"/>
          <w:szCs w:val="20"/>
          <w:vertAlign w:val="superscript"/>
          <w:lang w:eastAsia="ja-JP"/>
        </w:rPr>
        <w:t>6</w:t>
      </w:r>
      <w:r w:rsidR="00010DC6" w:rsidRPr="000E3DCA">
        <w:rPr>
          <w:rFonts w:ascii="Times New Roman" w:hAnsi="Times New Roman" w:cs="Times New Roman"/>
          <w:sz w:val="20"/>
          <w:szCs w:val="20"/>
          <w:vertAlign w:val="superscript"/>
          <w:lang w:eastAsia="ja-JP"/>
        </w:rPr>
        <w:t xml:space="preserve"> </w:t>
      </w:r>
    </w:p>
    <w:p w14:paraId="28DFDF0B" w14:textId="417A7D8E" w:rsidR="00010DC6" w:rsidRPr="00587BC0" w:rsidRDefault="00010DC6" w:rsidP="00F9462C">
      <w:pPr>
        <w:pStyle w:val="Caption"/>
        <w:spacing w:before="0" w:afterLines="60" w:after="144" w:line="240" w:lineRule="auto"/>
        <w:ind w:left="0" w:firstLine="0"/>
        <w:rPr>
          <w:rFonts w:ascii="Times New Roman" w:hAnsi="Times New Roman"/>
          <w:b w:val="0"/>
          <w:i/>
          <w:sz w:val="20"/>
        </w:rPr>
      </w:pPr>
      <w:r w:rsidRPr="00587BC0">
        <w:rPr>
          <w:rFonts w:ascii="Times New Roman" w:hAnsi="Times New Roman"/>
          <w:i/>
          <w:sz w:val="20"/>
        </w:rPr>
        <w:t xml:space="preserve">Exploratory </w:t>
      </w:r>
      <w:r w:rsidR="001F0CE6" w:rsidRPr="00587BC0">
        <w:rPr>
          <w:rFonts w:ascii="Times New Roman" w:hAnsi="Times New Roman"/>
          <w:i/>
          <w:sz w:val="20"/>
        </w:rPr>
        <w:t>A</w:t>
      </w:r>
      <w:r w:rsidRPr="00587BC0">
        <w:rPr>
          <w:rFonts w:ascii="Times New Roman" w:hAnsi="Times New Roman"/>
          <w:i/>
          <w:sz w:val="20"/>
        </w:rPr>
        <w:t>nalyses</w:t>
      </w:r>
    </w:p>
    <w:p w14:paraId="2F7C7726" w14:textId="1FE73FE7" w:rsidR="00010DC6" w:rsidRPr="000E3DCA" w:rsidRDefault="00010DC6" w:rsidP="00F9462C">
      <w:pPr>
        <w:spacing w:afterLines="60" w:after="144" w:line="240" w:lineRule="auto"/>
        <w:rPr>
          <w:rFonts w:ascii="Times New Roman" w:hAnsi="Times New Roman" w:cs="Times New Roman"/>
          <w:sz w:val="20"/>
          <w:szCs w:val="20"/>
        </w:rPr>
      </w:pPr>
      <w:r w:rsidRPr="000E3DCA">
        <w:rPr>
          <w:rFonts w:ascii="Times New Roman" w:hAnsi="Times New Roman" w:cs="Times New Roman"/>
          <w:sz w:val="20"/>
          <w:szCs w:val="20"/>
        </w:rPr>
        <w:t xml:space="preserve">Approximately 30 markers of the roughly 279 </w:t>
      </w:r>
      <w:proofErr w:type="spellStart"/>
      <w:r w:rsidRPr="000E3DCA">
        <w:rPr>
          <w:rFonts w:ascii="Times New Roman" w:hAnsi="Times New Roman" w:cs="Times New Roman"/>
          <w:sz w:val="20"/>
          <w:szCs w:val="20"/>
        </w:rPr>
        <w:t>multiplasma</w:t>
      </w:r>
      <w:proofErr w:type="spellEnd"/>
      <w:r w:rsidRPr="000E3DCA">
        <w:rPr>
          <w:rFonts w:ascii="Times New Roman" w:hAnsi="Times New Roman" w:cs="Times New Roman"/>
          <w:sz w:val="20"/>
          <w:szCs w:val="20"/>
        </w:rPr>
        <w:t xml:space="preserve"> proteins assessed via MAP had &gt;50% of samples below the limit of quantification at baseline and were excluded from analysis. Baseline concentrations of the remaining proteins were evaluated for their impact on overall survival to identify if any could be investigated further as potential prognostic and/or predictive markers. Each parameter was split into two groups at the median for &gt;median versus ≤median comparison. Univariate Cox models were used to select potentially prognostic markers where the effect of the marker was significant at p≤0</w:t>
      </w:r>
      <w:r w:rsidR="008947A0">
        <w:rPr>
          <w:rFonts w:ascii="Times New Roman" w:hAnsi="Times New Roman" w:cs="Times New Roman"/>
          <w:sz w:val="20"/>
          <w:szCs w:val="20"/>
        </w:rPr>
        <w:t>.</w:t>
      </w:r>
      <w:r w:rsidRPr="000E3DCA">
        <w:rPr>
          <w:rFonts w:ascii="Times New Roman" w:hAnsi="Times New Roman" w:cs="Times New Roman"/>
          <w:sz w:val="20"/>
          <w:szCs w:val="20"/>
        </w:rPr>
        <w:t>001. Multi-variate Cox models with terms including the baseline of the marker (&gt;median, ≤median), treatment, and their interaction were used to identify potentially predictive markers based on whether the interaction term p≤0</w:t>
      </w:r>
      <w:r w:rsidR="008947A0">
        <w:rPr>
          <w:rFonts w:ascii="Times New Roman" w:hAnsi="Times New Roman" w:cs="Times New Roman"/>
          <w:sz w:val="20"/>
          <w:szCs w:val="20"/>
        </w:rPr>
        <w:t>.</w:t>
      </w:r>
      <w:r w:rsidRPr="000E3DCA">
        <w:rPr>
          <w:rFonts w:ascii="Times New Roman" w:hAnsi="Times New Roman" w:cs="Times New Roman"/>
          <w:sz w:val="20"/>
          <w:szCs w:val="20"/>
        </w:rPr>
        <w:t xml:space="preserve">01. There was no adjustment for multiplicity. </w:t>
      </w:r>
    </w:p>
    <w:p w14:paraId="54F3B197" w14:textId="3359ABBE" w:rsidR="00010DC6" w:rsidRPr="000E3DCA" w:rsidRDefault="00010DC6" w:rsidP="00F9462C">
      <w:pPr>
        <w:spacing w:afterLines="60" w:after="144" w:line="240" w:lineRule="auto"/>
        <w:rPr>
          <w:rFonts w:ascii="Times New Roman" w:hAnsi="Times New Roman" w:cs="Times New Roman"/>
          <w:sz w:val="20"/>
          <w:szCs w:val="20"/>
        </w:rPr>
      </w:pPr>
      <w:r w:rsidRPr="000E3DCA">
        <w:rPr>
          <w:rFonts w:ascii="Times New Roman" w:hAnsi="Times New Roman" w:cs="Times New Roman"/>
          <w:sz w:val="20"/>
          <w:szCs w:val="20"/>
        </w:rPr>
        <w:t xml:space="preserve">Changes in T cells compartment (CD4+, CD8+, </w:t>
      </w:r>
      <w:proofErr w:type="spellStart"/>
      <w:r w:rsidRPr="000E3DCA">
        <w:rPr>
          <w:rFonts w:ascii="Times New Roman" w:hAnsi="Times New Roman" w:cs="Times New Roman"/>
          <w:sz w:val="20"/>
          <w:szCs w:val="20"/>
        </w:rPr>
        <w:t>T</w:t>
      </w:r>
      <w:r w:rsidRPr="00F9462C">
        <w:rPr>
          <w:rFonts w:ascii="Times New Roman" w:hAnsi="Times New Roman" w:cs="Times New Roman"/>
          <w:sz w:val="20"/>
          <w:szCs w:val="20"/>
          <w:vertAlign w:val="subscript"/>
        </w:rPr>
        <w:t>regs</w:t>
      </w:r>
      <w:proofErr w:type="spellEnd"/>
      <w:r w:rsidR="008947A0" w:rsidRPr="00F9462C">
        <w:rPr>
          <w:rFonts w:ascii="Times New Roman" w:hAnsi="Times New Roman" w:cs="Times New Roman"/>
          <w:sz w:val="20"/>
          <w:szCs w:val="20"/>
        </w:rPr>
        <w:t>,</w:t>
      </w:r>
      <w:r w:rsidRPr="000E3DCA">
        <w:rPr>
          <w:rFonts w:ascii="Times New Roman" w:hAnsi="Times New Roman" w:cs="Times New Roman"/>
          <w:sz w:val="20"/>
          <w:szCs w:val="20"/>
        </w:rPr>
        <w:t xml:space="preserve"> and CD3+) post-treatment were evaluated by mixed effect model repeated measures. Data were log-transformed prior to analysis and the ratio to baseline evaluated, with baseline included as a covariate, and fixed effect terms of treatment, visit, and the interaction of treatment and visit. Overall survival was evaluated for patients who had ≤50% decreases in T cells from baseline and by treatment group using the Kaplan-Meier method.</w:t>
      </w:r>
    </w:p>
    <w:p w14:paraId="5F4DF187" w14:textId="4C37A255" w:rsidR="00587BC0" w:rsidRDefault="00587BC0" w:rsidP="00F9462C">
      <w:pPr>
        <w:tabs>
          <w:tab w:val="left" w:pos="1980"/>
          <w:tab w:val="left" w:pos="5490"/>
        </w:tabs>
        <w:spacing w:afterLines="60" w:after="144"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Supplementary Results</w:t>
      </w:r>
    </w:p>
    <w:p w14:paraId="65B41A25" w14:textId="1F02F31D" w:rsidR="00010DC6" w:rsidRPr="00587BC0" w:rsidRDefault="00010DC6" w:rsidP="00F9462C">
      <w:pPr>
        <w:tabs>
          <w:tab w:val="left" w:pos="1980"/>
          <w:tab w:val="left" w:pos="5490"/>
        </w:tabs>
        <w:spacing w:afterLines="60" w:after="144" w:line="240" w:lineRule="auto"/>
        <w:rPr>
          <w:rFonts w:ascii="Times New Roman" w:hAnsi="Times New Roman" w:cs="Times New Roman"/>
          <w:b/>
          <w:i/>
          <w:color w:val="000000"/>
          <w:sz w:val="20"/>
          <w:szCs w:val="20"/>
        </w:rPr>
      </w:pPr>
      <w:r w:rsidRPr="00587BC0">
        <w:rPr>
          <w:rFonts w:ascii="Times New Roman" w:hAnsi="Times New Roman" w:cs="Times New Roman"/>
          <w:b/>
          <w:i/>
          <w:color w:val="000000"/>
          <w:sz w:val="20"/>
          <w:szCs w:val="20"/>
        </w:rPr>
        <w:t xml:space="preserve">Phase 1 </w:t>
      </w:r>
      <w:proofErr w:type="gramStart"/>
      <w:r w:rsidR="001F0CE6" w:rsidRPr="00587BC0">
        <w:rPr>
          <w:rFonts w:ascii="Times New Roman" w:hAnsi="Times New Roman" w:cs="Times New Roman"/>
          <w:b/>
          <w:i/>
          <w:color w:val="000000"/>
          <w:sz w:val="20"/>
          <w:szCs w:val="20"/>
        </w:rPr>
        <w:t>R</w:t>
      </w:r>
      <w:r w:rsidRPr="00587BC0">
        <w:rPr>
          <w:rFonts w:ascii="Times New Roman" w:hAnsi="Times New Roman" w:cs="Times New Roman"/>
          <w:b/>
          <w:i/>
          <w:color w:val="000000"/>
          <w:sz w:val="20"/>
          <w:szCs w:val="20"/>
        </w:rPr>
        <w:t>esults</w:t>
      </w:r>
      <w:proofErr w:type="gramEnd"/>
    </w:p>
    <w:p w14:paraId="495BFBD8" w14:textId="037B166C" w:rsidR="00F50935" w:rsidRPr="00F50935" w:rsidRDefault="00F50935" w:rsidP="00F9462C">
      <w:pPr>
        <w:spacing w:afterLines="60" w:after="144" w:line="240" w:lineRule="auto"/>
        <w:rPr>
          <w:rFonts w:ascii="Times New Roman" w:hAnsi="Times New Roman" w:cs="Times New Roman"/>
          <w:color w:val="000000"/>
          <w:sz w:val="20"/>
          <w:szCs w:val="20"/>
          <w:lang w:val="en-GB"/>
        </w:rPr>
      </w:pPr>
      <w:r w:rsidRPr="00F50935">
        <w:rPr>
          <w:rFonts w:ascii="Times New Roman" w:hAnsi="Times New Roman" w:cs="Times New Roman"/>
          <w:sz w:val="20"/>
          <w:szCs w:val="20"/>
          <w:lang w:val="en-GB"/>
        </w:rPr>
        <w:t xml:space="preserve">Of the </w:t>
      </w:r>
      <w:r w:rsidRPr="00F50935">
        <w:rPr>
          <w:rFonts w:ascii="Times New Roman" w:hAnsi="Times New Roman" w:cs="Times New Roman"/>
          <w:color w:val="000000" w:themeColor="text1"/>
          <w:sz w:val="20"/>
          <w:szCs w:val="20"/>
          <w:lang w:val="en-GB"/>
        </w:rPr>
        <w:t>18 patients who entered screening for phase 1b of the study, four were screen-failures (</w:t>
      </w:r>
      <w:r w:rsidR="0033212F">
        <w:rPr>
          <w:rFonts w:ascii="Times New Roman" w:hAnsi="Times New Roman" w:cs="Times New Roman"/>
          <w:color w:val="000000" w:themeColor="text1"/>
          <w:sz w:val="20"/>
          <w:szCs w:val="20"/>
          <w:lang w:val="en-GB"/>
        </w:rPr>
        <w:t xml:space="preserve">Supplementary </w:t>
      </w:r>
      <w:r w:rsidR="00A43C5A">
        <w:rPr>
          <w:rFonts w:ascii="Times New Roman" w:hAnsi="Times New Roman" w:cs="Times New Roman"/>
          <w:color w:val="000000" w:themeColor="text1"/>
          <w:sz w:val="20"/>
          <w:szCs w:val="20"/>
          <w:lang w:val="en-GB"/>
        </w:rPr>
        <w:t>F</w:t>
      </w:r>
      <w:r w:rsidR="009F705B" w:rsidRPr="00F50935">
        <w:rPr>
          <w:rFonts w:ascii="Times New Roman" w:hAnsi="Times New Roman" w:cs="Times New Roman"/>
          <w:color w:val="000000" w:themeColor="text1"/>
          <w:sz w:val="20"/>
          <w:szCs w:val="20"/>
          <w:lang w:val="en-GB"/>
        </w:rPr>
        <w:t>ig</w:t>
      </w:r>
      <w:r w:rsidR="0033212F">
        <w:rPr>
          <w:rFonts w:ascii="Times New Roman" w:hAnsi="Times New Roman" w:cs="Times New Roman"/>
          <w:color w:val="000000" w:themeColor="text1"/>
          <w:sz w:val="20"/>
          <w:szCs w:val="20"/>
          <w:lang w:val="en-GB"/>
        </w:rPr>
        <w:t>.</w:t>
      </w:r>
      <w:r w:rsidR="00A43C5A">
        <w:rPr>
          <w:rFonts w:ascii="Times New Roman" w:hAnsi="Times New Roman" w:cs="Times New Roman"/>
          <w:color w:val="000000" w:themeColor="text1"/>
          <w:sz w:val="20"/>
          <w:szCs w:val="20"/>
          <w:lang w:val="en-GB"/>
        </w:rPr>
        <w:t xml:space="preserve"> S1</w:t>
      </w:r>
      <w:r w:rsidRPr="00F50935">
        <w:rPr>
          <w:rFonts w:ascii="Times New Roman" w:hAnsi="Times New Roman" w:cs="Times New Roman"/>
          <w:color w:val="000000" w:themeColor="text1"/>
          <w:sz w:val="20"/>
          <w:szCs w:val="20"/>
          <w:lang w:val="en-GB"/>
        </w:rPr>
        <w:t>)</w:t>
      </w:r>
      <w:r w:rsidRPr="00F50935">
        <w:rPr>
          <w:rFonts w:ascii="Times New Roman" w:hAnsi="Times New Roman" w:cs="Times New Roman"/>
          <w:color w:val="000000"/>
          <w:sz w:val="20"/>
          <w:szCs w:val="20"/>
          <w:lang w:val="en-GB"/>
        </w:rPr>
        <w:t xml:space="preserve">. </w:t>
      </w:r>
      <w:proofErr w:type="spellStart"/>
      <w:r w:rsidRPr="00F50935">
        <w:rPr>
          <w:rFonts w:ascii="Times New Roman" w:hAnsi="Times New Roman" w:cs="Times New Roman"/>
          <w:color w:val="000000"/>
          <w:sz w:val="20"/>
          <w:szCs w:val="20"/>
          <w:lang w:val="en-GB"/>
        </w:rPr>
        <w:t>Galunisertib</w:t>
      </w:r>
      <w:proofErr w:type="spellEnd"/>
      <w:r w:rsidRPr="00F50935">
        <w:rPr>
          <w:rFonts w:ascii="Times New Roman" w:hAnsi="Times New Roman" w:cs="Times New Roman"/>
          <w:color w:val="000000"/>
          <w:sz w:val="20"/>
          <w:szCs w:val="20"/>
          <w:lang w:val="en-GB"/>
        </w:rPr>
        <w:t xml:space="preserve"> was administered at 80 mg/day (n=5), 160 mg/day (n=4), and 300 mg/day (n=5).</w:t>
      </w:r>
      <w:r>
        <w:rPr>
          <w:rFonts w:ascii="Times New Roman" w:hAnsi="Times New Roman" w:cs="Times New Roman"/>
          <w:color w:val="000000"/>
          <w:sz w:val="20"/>
          <w:szCs w:val="20"/>
          <w:lang w:val="en-GB"/>
        </w:rPr>
        <w:t xml:space="preserve"> </w:t>
      </w:r>
      <w:r w:rsidRPr="00F50935">
        <w:rPr>
          <w:rFonts w:ascii="Times New Roman" w:hAnsi="Times New Roman" w:cs="Times New Roman"/>
          <w:color w:val="000000"/>
          <w:sz w:val="20"/>
          <w:szCs w:val="20"/>
          <w:lang w:val="en-GB"/>
        </w:rPr>
        <w:t xml:space="preserve">In the phase 1b part, </w:t>
      </w:r>
      <w:r w:rsidRPr="00F50935">
        <w:rPr>
          <w:rFonts w:ascii="Times New Roman" w:hAnsi="Times New Roman" w:cs="Times New Roman"/>
          <w:sz w:val="20"/>
          <w:szCs w:val="20"/>
          <w:lang w:val="en-GB"/>
        </w:rPr>
        <w:t>m</w:t>
      </w:r>
      <w:r w:rsidRPr="00F50935">
        <w:rPr>
          <w:rFonts w:ascii="Times New Roman" w:hAnsi="Times New Roman" w:cs="Times New Roman"/>
          <w:color w:val="000000"/>
          <w:sz w:val="20"/>
          <w:szCs w:val="20"/>
          <w:lang w:val="en-GB"/>
        </w:rPr>
        <w:t xml:space="preserve">ost patients had gastrointestinal </w:t>
      </w:r>
      <w:r w:rsidR="009F705B" w:rsidRPr="00F50935">
        <w:rPr>
          <w:rFonts w:ascii="Times New Roman" w:hAnsi="Times New Roman" w:cs="Times New Roman"/>
          <w:color w:val="000000"/>
          <w:sz w:val="20"/>
          <w:szCs w:val="20"/>
          <w:lang w:val="en-GB"/>
        </w:rPr>
        <w:t>tumours</w:t>
      </w:r>
      <w:r w:rsidRPr="00F50935">
        <w:rPr>
          <w:rFonts w:ascii="Times New Roman" w:hAnsi="Times New Roman" w:cs="Times New Roman"/>
          <w:color w:val="000000"/>
          <w:sz w:val="20"/>
          <w:szCs w:val="20"/>
          <w:lang w:val="en-GB"/>
        </w:rPr>
        <w:t>, including four patients with pancreatic cancer (</w:t>
      </w:r>
      <w:r w:rsidR="007B3C4C">
        <w:rPr>
          <w:rFonts w:ascii="Times New Roman" w:hAnsi="Times New Roman" w:cs="Times New Roman"/>
          <w:color w:val="000000"/>
          <w:sz w:val="20"/>
          <w:szCs w:val="20"/>
          <w:lang w:val="en-GB"/>
        </w:rPr>
        <w:t>Supplemen</w:t>
      </w:r>
      <w:r w:rsidR="00AA746D">
        <w:rPr>
          <w:rFonts w:ascii="Times New Roman" w:hAnsi="Times New Roman" w:cs="Times New Roman"/>
          <w:color w:val="000000"/>
          <w:sz w:val="20"/>
          <w:szCs w:val="20"/>
          <w:lang w:val="en-GB"/>
        </w:rPr>
        <w:t>ta</w:t>
      </w:r>
      <w:r w:rsidR="007B3C4C">
        <w:rPr>
          <w:rFonts w:ascii="Times New Roman" w:hAnsi="Times New Roman" w:cs="Times New Roman"/>
          <w:color w:val="000000"/>
          <w:sz w:val="20"/>
          <w:szCs w:val="20"/>
          <w:lang w:val="en-GB"/>
        </w:rPr>
        <w:t xml:space="preserve">ry </w:t>
      </w:r>
      <w:r w:rsidR="00A43C5A">
        <w:rPr>
          <w:rFonts w:ascii="Times New Roman" w:hAnsi="Times New Roman" w:cs="Times New Roman"/>
          <w:sz w:val="20"/>
          <w:szCs w:val="20"/>
          <w:lang w:val="en-GB"/>
        </w:rPr>
        <w:t>Table S2</w:t>
      </w:r>
      <w:r w:rsidRPr="00F9462C">
        <w:rPr>
          <w:rFonts w:ascii="Times New Roman" w:hAnsi="Times New Roman" w:cs="Times New Roman"/>
          <w:sz w:val="20"/>
          <w:szCs w:val="20"/>
          <w:lang w:val="en-GB"/>
        </w:rPr>
        <w:t>)</w:t>
      </w:r>
      <w:r w:rsidRPr="00F50935">
        <w:rPr>
          <w:rFonts w:ascii="Times New Roman" w:hAnsi="Times New Roman" w:cs="Times New Roman"/>
          <w:sz w:val="20"/>
          <w:szCs w:val="20"/>
          <w:lang w:val="en-GB"/>
        </w:rPr>
        <w:t xml:space="preserve">. </w:t>
      </w:r>
      <w:proofErr w:type="spellStart"/>
      <w:r w:rsidRPr="00F50935">
        <w:rPr>
          <w:rFonts w:ascii="Times New Roman" w:hAnsi="Times New Roman" w:cs="Times New Roman"/>
          <w:sz w:val="20"/>
          <w:szCs w:val="20"/>
          <w:lang w:val="en-GB"/>
        </w:rPr>
        <w:t>G</w:t>
      </w:r>
      <w:r w:rsidRPr="00F50935">
        <w:rPr>
          <w:rFonts w:ascii="Times New Roman" w:hAnsi="Times New Roman" w:cs="Times New Roman"/>
          <w:color w:val="000000"/>
          <w:sz w:val="20"/>
          <w:szCs w:val="20"/>
          <w:lang w:val="en-GB"/>
        </w:rPr>
        <w:t>alunisertib</w:t>
      </w:r>
      <w:proofErr w:type="spellEnd"/>
      <w:r w:rsidRPr="00F50935">
        <w:rPr>
          <w:rFonts w:ascii="Times New Roman" w:hAnsi="Times New Roman" w:cs="Times New Roman"/>
          <w:color w:val="000000"/>
          <w:sz w:val="20"/>
          <w:szCs w:val="20"/>
          <w:lang w:val="en-GB"/>
        </w:rPr>
        <w:t xml:space="preserve"> treatment was well tolerated (Table 2) and 300 mg/day was identified as the phase 2 dose.</w:t>
      </w:r>
    </w:p>
    <w:p w14:paraId="68D977B7" w14:textId="5C606204" w:rsidR="00010DC6" w:rsidRDefault="00010DC6" w:rsidP="00F9462C">
      <w:pPr>
        <w:spacing w:afterLines="60" w:after="144" w:line="240" w:lineRule="auto"/>
        <w:rPr>
          <w:rFonts w:ascii="Times New Roman" w:hAnsi="Times New Roman" w:cs="Times New Roman"/>
          <w:sz w:val="20"/>
          <w:szCs w:val="20"/>
          <w:lang w:val="en-GB"/>
        </w:rPr>
      </w:pPr>
      <w:r w:rsidRPr="000E3DCA">
        <w:rPr>
          <w:rFonts w:ascii="Times New Roman" w:hAnsi="Times New Roman" w:cs="Times New Roman"/>
          <w:color w:val="000000"/>
          <w:sz w:val="20"/>
          <w:szCs w:val="20"/>
          <w:lang w:val="en-GB"/>
        </w:rPr>
        <w:t>A median of 2</w:t>
      </w:r>
      <w:r w:rsidR="00DF432F">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5 (range</w:t>
      </w:r>
      <w:r w:rsidR="00F4075B">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0</w:t>
      </w:r>
      <w:r w:rsidR="00F4075B">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9) and 1</w:t>
      </w:r>
      <w:r w:rsidR="00DF432F">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0 (range</w:t>
      </w:r>
      <w:r w:rsidR="00F4075B">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0</w:t>
      </w:r>
      <w:r w:rsidR="00F4075B">
        <w:rPr>
          <w:rFonts w:ascii="Times New Roman" w:hAnsi="Times New Roman" w:cs="Times New Roman"/>
          <w:color w:val="000000"/>
          <w:sz w:val="20"/>
          <w:szCs w:val="20"/>
          <w:lang w:val="en-GB"/>
        </w:rPr>
        <w:t>–</w:t>
      </w:r>
      <w:r w:rsidRPr="000E3DCA">
        <w:rPr>
          <w:rFonts w:ascii="Times New Roman" w:hAnsi="Times New Roman" w:cs="Times New Roman"/>
          <w:color w:val="000000"/>
          <w:sz w:val="20"/>
          <w:szCs w:val="20"/>
          <w:lang w:val="en-GB"/>
        </w:rPr>
        <w:t xml:space="preserve">8) cycles were completed per patient for </w:t>
      </w:r>
      <w:proofErr w:type="spellStart"/>
      <w:r w:rsidRPr="000E3DCA">
        <w:rPr>
          <w:rFonts w:ascii="Times New Roman" w:hAnsi="Times New Roman" w:cs="Times New Roman"/>
          <w:color w:val="000000"/>
          <w:sz w:val="20"/>
          <w:szCs w:val="20"/>
          <w:lang w:val="en-GB"/>
        </w:rPr>
        <w:t>galunisertib</w:t>
      </w:r>
      <w:proofErr w:type="spellEnd"/>
      <w:r w:rsidRPr="000E3DCA">
        <w:rPr>
          <w:rFonts w:ascii="Times New Roman" w:hAnsi="Times New Roman" w:cs="Times New Roman"/>
          <w:color w:val="000000"/>
          <w:sz w:val="20"/>
          <w:szCs w:val="20"/>
          <w:lang w:val="en-GB"/>
        </w:rPr>
        <w:t xml:space="preserve"> and gemcitabine, respectively. Dose omissions occurred for </w:t>
      </w:r>
      <w:proofErr w:type="spellStart"/>
      <w:r w:rsidRPr="000E3DCA">
        <w:rPr>
          <w:rFonts w:ascii="Times New Roman" w:hAnsi="Times New Roman" w:cs="Times New Roman"/>
          <w:color w:val="000000"/>
          <w:sz w:val="20"/>
          <w:szCs w:val="20"/>
          <w:lang w:val="en-GB"/>
        </w:rPr>
        <w:t>galunisertib</w:t>
      </w:r>
      <w:proofErr w:type="spellEnd"/>
      <w:r w:rsidRPr="000E3DCA">
        <w:rPr>
          <w:rFonts w:ascii="Times New Roman" w:hAnsi="Times New Roman" w:cs="Times New Roman"/>
          <w:color w:val="000000"/>
          <w:sz w:val="20"/>
          <w:szCs w:val="20"/>
          <w:lang w:val="en-GB"/>
        </w:rPr>
        <w:t xml:space="preserve"> in 5 patients and for gemcitabine in 7 patients; dose reductions occurred for gemcitabine in 9 patients; dose discontinuations occurred for </w:t>
      </w:r>
      <w:proofErr w:type="spellStart"/>
      <w:r w:rsidRPr="000E3DCA">
        <w:rPr>
          <w:rFonts w:ascii="Times New Roman" w:hAnsi="Times New Roman" w:cs="Times New Roman"/>
          <w:color w:val="000000"/>
          <w:sz w:val="20"/>
          <w:szCs w:val="20"/>
          <w:lang w:val="en-GB"/>
        </w:rPr>
        <w:t>galunisertib</w:t>
      </w:r>
      <w:proofErr w:type="spellEnd"/>
      <w:r w:rsidRPr="000E3DCA">
        <w:rPr>
          <w:rFonts w:ascii="Times New Roman" w:hAnsi="Times New Roman" w:cs="Times New Roman"/>
          <w:color w:val="000000"/>
          <w:sz w:val="20"/>
          <w:szCs w:val="20"/>
          <w:lang w:val="en-GB"/>
        </w:rPr>
        <w:t xml:space="preserve"> for 3 patients; and dose delays occurred for gemcitabine in 6 patients. </w:t>
      </w:r>
      <w:r w:rsidRPr="000E3DCA">
        <w:rPr>
          <w:rFonts w:ascii="Times New Roman" w:hAnsi="Times New Roman" w:cs="Times New Roman"/>
          <w:color w:val="000000"/>
          <w:sz w:val="20"/>
          <w:szCs w:val="20"/>
        </w:rPr>
        <w:t>A total of 12 patients died during this phase (80 mg/day: n=5,</w:t>
      </w:r>
      <w:r w:rsidR="00BA7867">
        <w:rPr>
          <w:rFonts w:ascii="Times New Roman" w:hAnsi="Times New Roman" w:cs="Times New Roman"/>
          <w:color w:val="000000"/>
          <w:sz w:val="20"/>
          <w:szCs w:val="20"/>
        </w:rPr>
        <w:t xml:space="preserve"> </w:t>
      </w:r>
      <w:r w:rsidRPr="000E3DCA">
        <w:rPr>
          <w:rFonts w:ascii="Times New Roman" w:hAnsi="Times New Roman" w:cs="Times New Roman"/>
          <w:color w:val="000000"/>
          <w:sz w:val="20"/>
          <w:szCs w:val="20"/>
        </w:rPr>
        <w:t xml:space="preserve">160 mg/day: n=3, 300 mg/day: n=4). </w:t>
      </w:r>
      <w:r w:rsidRPr="000E3DCA">
        <w:rPr>
          <w:rFonts w:ascii="Times New Roman" w:hAnsi="Times New Roman" w:cs="Times New Roman"/>
          <w:sz w:val="20"/>
          <w:szCs w:val="20"/>
          <w:lang w:val="en-GB"/>
        </w:rPr>
        <w:t>With a manageable toxicity profile, signals of anti</w:t>
      </w:r>
      <w:r w:rsidR="0027325A">
        <w:rPr>
          <w:rFonts w:ascii="Times New Roman" w:hAnsi="Times New Roman" w:cs="Times New Roman"/>
          <w:sz w:val="20"/>
          <w:szCs w:val="20"/>
          <w:lang w:val="en-GB"/>
        </w:rPr>
        <w:t>-</w:t>
      </w:r>
      <w:r w:rsidRPr="000E3DCA">
        <w:rPr>
          <w:rFonts w:ascii="Times New Roman" w:hAnsi="Times New Roman" w:cs="Times New Roman"/>
          <w:sz w:val="20"/>
          <w:szCs w:val="20"/>
          <w:lang w:val="en-GB"/>
        </w:rPr>
        <w:t>tumo</w:t>
      </w:r>
      <w:r w:rsidR="0027325A">
        <w:rPr>
          <w:rFonts w:ascii="Times New Roman" w:hAnsi="Times New Roman" w:cs="Times New Roman"/>
          <w:sz w:val="20"/>
          <w:szCs w:val="20"/>
          <w:lang w:val="en-GB"/>
        </w:rPr>
        <w:t>u</w:t>
      </w:r>
      <w:r w:rsidRPr="000E3DCA">
        <w:rPr>
          <w:rFonts w:ascii="Times New Roman" w:hAnsi="Times New Roman" w:cs="Times New Roman"/>
          <w:sz w:val="20"/>
          <w:szCs w:val="20"/>
          <w:lang w:val="en-GB"/>
        </w:rPr>
        <w:t>r activity in the pancreatic cancer patients (</w:t>
      </w:r>
      <w:r w:rsidR="0027325A">
        <w:rPr>
          <w:rFonts w:ascii="Times New Roman" w:hAnsi="Times New Roman" w:cs="Times New Roman"/>
          <w:sz w:val="20"/>
          <w:szCs w:val="20"/>
          <w:lang w:val="en-GB"/>
        </w:rPr>
        <w:t>T</w:t>
      </w:r>
      <w:r w:rsidR="009F705B">
        <w:rPr>
          <w:rFonts w:ascii="Times New Roman" w:hAnsi="Times New Roman" w:cs="Times New Roman"/>
          <w:sz w:val="20"/>
          <w:szCs w:val="20"/>
          <w:lang w:val="en-GB"/>
        </w:rPr>
        <w:t>able</w:t>
      </w:r>
      <w:r w:rsidR="00F9462C">
        <w:rPr>
          <w:rFonts w:ascii="Times New Roman" w:hAnsi="Times New Roman" w:cs="Times New Roman"/>
          <w:sz w:val="20"/>
          <w:szCs w:val="20"/>
          <w:lang w:val="en-GB"/>
        </w:rPr>
        <w:t xml:space="preserve"> 2</w:t>
      </w:r>
      <w:r w:rsidRPr="000E3DCA">
        <w:rPr>
          <w:rFonts w:ascii="Times New Roman" w:hAnsi="Times New Roman" w:cs="Times New Roman"/>
          <w:sz w:val="20"/>
          <w:szCs w:val="20"/>
          <w:lang w:val="en-GB"/>
        </w:rPr>
        <w:t xml:space="preserve">), and no dose-limiting toxicities in phase 1b, 300 mg/day was identified as the phase 2 </w:t>
      </w:r>
      <w:proofErr w:type="gramStart"/>
      <w:r w:rsidRPr="000E3DCA">
        <w:rPr>
          <w:rFonts w:ascii="Times New Roman" w:hAnsi="Times New Roman" w:cs="Times New Roman"/>
          <w:sz w:val="20"/>
          <w:szCs w:val="20"/>
          <w:lang w:val="en-GB"/>
        </w:rPr>
        <w:t>dose</w:t>
      </w:r>
      <w:proofErr w:type="gramEnd"/>
      <w:r w:rsidRPr="000E3DCA">
        <w:rPr>
          <w:rFonts w:ascii="Times New Roman" w:hAnsi="Times New Roman" w:cs="Times New Roman"/>
          <w:sz w:val="20"/>
          <w:szCs w:val="20"/>
          <w:lang w:val="en-GB"/>
        </w:rPr>
        <w:t xml:space="preserve">. </w:t>
      </w:r>
    </w:p>
    <w:p w14:paraId="1EF992F5" w14:textId="19941404" w:rsidR="00010DC6" w:rsidRPr="00587BC0" w:rsidRDefault="00010DC6" w:rsidP="00F9462C">
      <w:pPr>
        <w:tabs>
          <w:tab w:val="left" w:pos="1980"/>
          <w:tab w:val="left" w:pos="5490"/>
        </w:tabs>
        <w:spacing w:afterLines="60" w:after="144" w:line="240" w:lineRule="auto"/>
        <w:rPr>
          <w:rFonts w:ascii="Times New Roman" w:hAnsi="Times New Roman" w:cs="Times New Roman"/>
          <w:b/>
          <w:i/>
          <w:color w:val="000000"/>
          <w:sz w:val="20"/>
          <w:szCs w:val="20"/>
        </w:rPr>
      </w:pPr>
      <w:r w:rsidRPr="00587BC0">
        <w:rPr>
          <w:rFonts w:ascii="Times New Roman" w:hAnsi="Times New Roman" w:cs="Times New Roman"/>
          <w:b/>
          <w:i/>
          <w:color w:val="000000"/>
          <w:sz w:val="20"/>
          <w:szCs w:val="20"/>
        </w:rPr>
        <w:t xml:space="preserve">Overall </w:t>
      </w:r>
      <w:r w:rsidR="001F0CE6" w:rsidRPr="00587BC0">
        <w:rPr>
          <w:rFonts w:ascii="Times New Roman" w:hAnsi="Times New Roman" w:cs="Times New Roman"/>
          <w:b/>
          <w:i/>
          <w:color w:val="000000"/>
          <w:sz w:val="20"/>
          <w:szCs w:val="20"/>
        </w:rPr>
        <w:t>S</w:t>
      </w:r>
      <w:r w:rsidRPr="00587BC0">
        <w:rPr>
          <w:rFonts w:ascii="Times New Roman" w:hAnsi="Times New Roman" w:cs="Times New Roman"/>
          <w:b/>
          <w:i/>
          <w:color w:val="000000"/>
          <w:sz w:val="20"/>
          <w:szCs w:val="20"/>
        </w:rPr>
        <w:t xml:space="preserve">urvival </w:t>
      </w:r>
      <w:r w:rsidR="001F0CE6" w:rsidRPr="00587BC0">
        <w:rPr>
          <w:rFonts w:ascii="Times New Roman" w:hAnsi="Times New Roman" w:cs="Times New Roman"/>
          <w:b/>
          <w:i/>
          <w:color w:val="000000"/>
          <w:sz w:val="20"/>
          <w:szCs w:val="20"/>
        </w:rPr>
        <w:t>A</w:t>
      </w:r>
      <w:r w:rsidRPr="00587BC0">
        <w:rPr>
          <w:rFonts w:ascii="Times New Roman" w:hAnsi="Times New Roman" w:cs="Times New Roman"/>
          <w:b/>
          <w:i/>
          <w:color w:val="000000"/>
          <w:sz w:val="20"/>
          <w:szCs w:val="20"/>
        </w:rPr>
        <w:t>nalyses</w:t>
      </w:r>
    </w:p>
    <w:p w14:paraId="6787948C" w14:textId="35CBD328" w:rsidR="00010DC6" w:rsidRPr="000E3DCA" w:rsidRDefault="00010DC6" w:rsidP="00F9462C">
      <w:pPr>
        <w:tabs>
          <w:tab w:val="left" w:pos="1980"/>
          <w:tab w:val="left" w:pos="5490"/>
        </w:tabs>
        <w:spacing w:afterLines="60" w:after="144" w:line="240" w:lineRule="auto"/>
        <w:rPr>
          <w:rFonts w:ascii="Times New Roman" w:eastAsia="TimesNewRoman" w:hAnsi="Times New Roman" w:cs="Times New Roman"/>
          <w:sz w:val="20"/>
          <w:szCs w:val="20"/>
        </w:rPr>
      </w:pPr>
      <w:r w:rsidRPr="000E3DCA">
        <w:rPr>
          <w:rFonts w:ascii="Times New Roman" w:hAnsi="Times New Roman" w:cs="Times New Roman"/>
          <w:color w:val="000000"/>
          <w:sz w:val="20"/>
          <w:szCs w:val="20"/>
        </w:rPr>
        <w:t xml:space="preserve">The primary Bayesian analysis used an </w:t>
      </w:r>
      <w:r w:rsidRPr="000E3DCA">
        <w:rPr>
          <w:rFonts w:ascii="Times New Roman" w:eastAsia="TimesNewRoman" w:hAnsi="Times New Roman" w:cs="Times New Roman"/>
          <w:sz w:val="20"/>
          <w:szCs w:val="20"/>
        </w:rPr>
        <w:t>Inverse Gamma (0</w:t>
      </w:r>
      <w:r w:rsidR="00DF432F">
        <w:rPr>
          <w:rFonts w:ascii="Times New Roman" w:eastAsia="TimesNewRoman" w:hAnsi="Times New Roman" w:cs="Times New Roman"/>
          <w:sz w:val="20"/>
          <w:szCs w:val="20"/>
        </w:rPr>
        <w:t>.</w:t>
      </w:r>
      <w:r w:rsidRPr="000E3DCA">
        <w:rPr>
          <w:rFonts w:ascii="Times New Roman" w:eastAsia="TimesNewRoman" w:hAnsi="Times New Roman" w:cs="Times New Roman"/>
          <w:sz w:val="20"/>
          <w:szCs w:val="20"/>
        </w:rPr>
        <w:t xml:space="preserve">5, 200) distribution </w:t>
      </w:r>
      <w:proofErr w:type="gramStart"/>
      <w:r w:rsidRPr="000E3DCA">
        <w:rPr>
          <w:rFonts w:ascii="Times New Roman" w:eastAsia="TimesNewRoman" w:hAnsi="Times New Roman" w:cs="Times New Roman"/>
          <w:sz w:val="20"/>
          <w:szCs w:val="20"/>
        </w:rPr>
        <w:t xml:space="preserve">for </w:t>
      </w:r>
      <w:proofErr w:type="gramEnd"/>
      <m:oMath>
        <m:sSup>
          <m:sSupPr>
            <m:ctrlPr>
              <w:rPr>
                <w:rFonts w:ascii="Cambria Math" w:eastAsia="TimesNewRoman" w:hAnsi="Cambria Math" w:cs="Times New Roman"/>
                <w:i/>
                <w:sz w:val="20"/>
                <w:szCs w:val="20"/>
              </w:rPr>
            </m:ctrlPr>
          </m:sSupPr>
          <m:e>
            <m:r>
              <w:rPr>
                <w:rFonts w:ascii="Cambria Math" w:eastAsia="TimesNewRoman" w:hAnsi="Cambria Math" w:cs="Times New Roman"/>
                <w:sz w:val="20"/>
                <w:szCs w:val="20"/>
              </w:rPr>
              <m:t>τ</m:t>
            </m:r>
          </m:e>
          <m:sup>
            <m:r>
              <w:rPr>
                <w:rFonts w:ascii="Cambria Math" w:eastAsia="TimesNewRoman" w:hAnsi="Cambria Math" w:cs="Times New Roman"/>
                <w:sz w:val="20"/>
                <w:szCs w:val="20"/>
              </w:rPr>
              <m:t>2</m:t>
            </m:r>
          </m:sup>
        </m:sSup>
      </m:oMath>
      <w:r w:rsidRPr="000E3DCA">
        <w:rPr>
          <w:rFonts w:ascii="Times New Roman" w:eastAsia="TimesNewRoman" w:hAnsi="Times New Roman" w:cs="Times New Roman"/>
          <w:sz w:val="20"/>
          <w:szCs w:val="20"/>
        </w:rPr>
        <w:t xml:space="preserve">. This distribution is approximately </w:t>
      </w:r>
      <w:r w:rsidR="009F705B" w:rsidRPr="000E3DCA">
        <w:rPr>
          <w:rFonts w:ascii="Times New Roman" w:eastAsia="TimesNewRoman" w:hAnsi="Times New Roman" w:cs="Times New Roman"/>
          <w:sz w:val="20"/>
          <w:szCs w:val="20"/>
        </w:rPr>
        <w:t>centered</w:t>
      </w:r>
      <w:r w:rsidRPr="000E3DCA">
        <w:rPr>
          <w:rFonts w:ascii="Times New Roman" w:eastAsia="TimesNewRoman" w:hAnsi="Times New Roman" w:cs="Times New Roman"/>
          <w:sz w:val="20"/>
          <w:szCs w:val="20"/>
        </w:rPr>
        <w:t xml:space="preserve"> at 0</w:t>
      </w:r>
      <w:r w:rsidR="00DF432F">
        <w:rPr>
          <w:rFonts w:ascii="Times New Roman" w:eastAsia="TimesNewRoman" w:hAnsi="Times New Roman" w:cs="Times New Roman"/>
          <w:sz w:val="20"/>
          <w:szCs w:val="20"/>
        </w:rPr>
        <w:t>.</w:t>
      </w:r>
      <w:r w:rsidRPr="000E3DCA">
        <w:rPr>
          <w:rFonts w:ascii="Times New Roman" w:eastAsia="TimesNewRoman" w:hAnsi="Times New Roman" w:cs="Times New Roman"/>
          <w:sz w:val="20"/>
          <w:szCs w:val="20"/>
        </w:rPr>
        <w:t xml:space="preserve">1 with an equivalent weight of n=1. Given that the observed control group in this study was comparable with historical controls, in the final analysis the Bayesian augmented control model estimate of </w:t>
      </w:r>
      <m:oMath>
        <m:r>
          <w:rPr>
            <w:rFonts w:ascii="Cambria Math" w:hAnsi="Cambria Math" w:cs="Times New Roman"/>
            <w:color w:val="000000"/>
            <w:sz w:val="20"/>
            <w:szCs w:val="20"/>
          </w:rPr>
          <m:t>τ</m:t>
        </m:r>
      </m:oMath>
      <w:r w:rsidRPr="000E3DCA">
        <w:rPr>
          <w:rFonts w:ascii="Times New Roman" w:hAnsi="Times New Roman" w:cs="Times New Roman"/>
          <w:color w:val="000000"/>
          <w:sz w:val="20"/>
          <w:szCs w:val="20"/>
        </w:rPr>
        <w:t xml:space="preserve"> was relatively small, and the model </w:t>
      </w:r>
      <w:r w:rsidRPr="000E3DCA">
        <w:rPr>
          <w:rFonts w:ascii="Times New Roman" w:eastAsia="TimesNewRoman" w:hAnsi="Times New Roman" w:cs="Times New Roman"/>
          <w:sz w:val="20"/>
          <w:szCs w:val="20"/>
        </w:rPr>
        <w:t xml:space="preserve">borrowed information with weight equating to approximately 37 events from the historical studies. </w:t>
      </w:r>
    </w:p>
    <w:p w14:paraId="575AAD01" w14:textId="45843BBA" w:rsidR="00010DC6" w:rsidRPr="001B7206" w:rsidRDefault="00010DC6" w:rsidP="00F9462C">
      <w:pPr>
        <w:spacing w:afterLines="60" w:after="144" w:line="240" w:lineRule="auto"/>
        <w:rPr>
          <w:rFonts w:ascii="Times New Roman" w:hAnsi="Times New Roman" w:cs="Times New Roman"/>
          <w:sz w:val="20"/>
          <w:szCs w:val="20"/>
        </w:rPr>
      </w:pPr>
      <w:r w:rsidRPr="000E3DCA">
        <w:rPr>
          <w:rFonts w:ascii="Times New Roman" w:hAnsi="Times New Roman" w:cs="Times New Roman"/>
          <w:sz w:val="20"/>
          <w:szCs w:val="20"/>
        </w:rPr>
        <w:t>Because this pre-defined Bayesian design is a relatively new approach for assessing anti</w:t>
      </w:r>
      <w:r w:rsidR="0027325A">
        <w:rPr>
          <w:rFonts w:ascii="Times New Roman" w:hAnsi="Times New Roman" w:cs="Times New Roman"/>
          <w:sz w:val="20"/>
          <w:szCs w:val="20"/>
        </w:rPr>
        <w:t>-</w:t>
      </w:r>
      <w:r w:rsidRPr="000E3DCA">
        <w:rPr>
          <w:rFonts w:ascii="Times New Roman" w:hAnsi="Times New Roman" w:cs="Times New Roman"/>
          <w:sz w:val="20"/>
          <w:szCs w:val="20"/>
        </w:rPr>
        <w:t>tumo</w:t>
      </w:r>
      <w:r w:rsidR="0027325A">
        <w:rPr>
          <w:rFonts w:ascii="Times New Roman" w:hAnsi="Times New Roman" w:cs="Times New Roman"/>
          <w:sz w:val="20"/>
          <w:szCs w:val="20"/>
        </w:rPr>
        <w:t>u</w:t>
      </w:r>
      <w:r w:rsidRPr="000E3DCA">
        <w:rPr>
          <w:rFonts w:ascii="Times New Roman" w:hAnsi="Times New Roman" w:cs="Times New Roman"/>
          <w:sz w:val="20"/>
          <w:szCs w:val="20"/>
        </w:rPr>
        <w:t xml:space="preserve">r activity in early phase studies, we conducted a number of sensitivity evaluations to understand better the robustness of the study conclusions and the value of this approach. This secondary evaluation included a Bayesian model with weak </w:t>
      </w:r>
      <w:r w:rsidRPr="000E3DCA">
        <w:rPr>
          <w:rFonts w:ascii="Times New Roman" w:hAnsi="Times New Roman" w:cs="Times New Roman"/>
          <w:sz w:val="20"/>
          <w:szCs w:val="20"/>
        </w:rPr>
        <w:lastRenderedPageBreak/>
        <w:t xml:space="preserve">borrowing, adjustment for the </w:t>
      </w:r>
      <w:proofErr w:type="spellStart"/>
      <w:r w:rsidRPr="000E3DCA">
        <w:rPr>
          <w:rFonts w:ascii="Times New Roman" w:hAnsi="Times New Roman" w:cs="Times New Roman"/>
          <w:sz w:val="20"/>
          <w:szCs w:val="20"/>
        </w:rPr>
        <w:t>randomi</w:t>
      </w:r>
      <w:r w:rsidR="0027325A">
        <w:rPr>
          <w:rFonts w:ascii="Times New Roman" w:hAnsi="Times New Roman" w:cs="Times New Roman"/>
          <w:sz w:val="20"/>
          <w:szCs w:val="20"/>
        </w:rPr>
        <w:t>s</w:t>
      </w:r>
      <w:r w:rsidRPr="000E3DCA">
        <w:rPr>
          <w:rFonts w:ascii="Times New Roman" w:hAnsi="Times New Roman" w:cs="Times New Roman"/>
          <w:sz w:val="20"/>
          <w:szCs w:val="20"/>
        </w:rPr>
        <w:t>ation</w:t>
      </w:r>
      <w:proofErr w:type="spellEnd"/>
      <w:r w:rsidRPr="000E3DCA">
        <w:rPr>
          <w:rFonts w:ascii="Times New Roman" w:hAnsi="Times New Roman" w:cs="Times New Roman"/>
          <w:sz w:val="20"/>
          <w:szCs w:val="20"/>
        </w:rPr>
        <w:t xml:space="preserve"> factors (Eastern Cooperative Oncology Group [ECOG] status, disease stage, previous gemcitabine treatment) and other clinical prognostic factors, and descriptive or frequentist analysis of overall survival, including Kaplan-Meier method and Cox proportional hazards models. The Kaplan-Meier estimat</w:t>
      </w:r>
      <w:r w:rsidR="00DF432F">
        <w:rPr>
          <w:rFonts w:ascii="Times New Roman" w:hAnsi="Times New Roman" w:cs="Times New Roman"/>
          <w:sz w:val="20"/>
          <w:szCs w:val="20"/>
        </w:rPr>
        <w:t>e of median survival time was 9.</w:t>
      </w:r>
      <w:r w:rsidRPr="000E3DCA">
        <w:rPr>
          <w:rFonts w:ascii="Times New Roman" w:hAnsi="Times New Roman" w:cs="Times New Roman"/>
          <w:sz w:val="20"/>
          <w:szCs w:val="20"/>
        </w:rPr>
        <w:t>1 months (95% CI</w:t>
      </w:r>
      <w:r w:rsidR="00F07EAD">
        <w:rPr>
          <w:rFonts w:ascii="Times New Roman" w:hAnsi="Times New Roman" w:cs="Times New Roman"/>
          <w:sz w:val="20"/>
          <w:szCs w:val="20"/>
        </w:rPr>
        <w:t>:</w:t>
      </w:r>
      <w:r w:rsidRPr="000E3DCA">
        <w:rPr>
          <w:rFonts w:ascii="Times New Roman" w:hAnsi="Times New Roman" w:cs="Times New Roman"/>
          <w:sz w:val="20"/>
          <w:szCs w:val="20"/>
        </w:rPr>
        <w:t xml:space="preserve"> 7</w:t>
      </w:r>
      <w:r w:rsidR="00DF432F">
        <w:rPr>
          <w:rFonts w:ascii="Times New Roman" w:hAnsi="Times New Roman" w:cs="Times New Roman"/>
          <w:sz w:val="20"/>
          <w:szCs w:val="20"/>
        </w:rPr>
        <w:t>.4–12.</w:t>
      </w:r>
      <w:r w:rsidRPr="000E3DCA">
        <w:rPr>
          <w:rFonts w:ascii="Times New Roman" w:hAnsi="Times New Roman" w:cs="Times New Roman"/>
          <w:sz w:val="20"/>
          <w:szCs w:val="20"/>
        </w:rPr>
        <w:t xml:space="preserve">2) in the </w:t>
      </w: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group compared with 7</w:t>
      </w:r>
      <w:r w:rsidR="00DF432F">
        <w:rPr>
          <w:rFonts w:ascii="Times New Roman" w:hAnsi="Times New Roman" w:cs="Times New Roman"/>
          <w:sz w:val="20"/>
          <w:szCs w:val="20"/>
        </w:rPr>
        <w:t>.6 months (95% CI</w:t>
      </w:r>
      <w:r w:rsidR="00F07EAD">
        <w:rPr>
          <w:rFonts w:ascii="Times New Roman" w:hAnsi="Times New Roman" w:cs="Times New Roman"/>
          <w:sz w:val="20"/>
          <w:szCs w:val="20"/>
        </w:rPr>
        <w:t>:</w:t>
      </w:r>
      <w:r w:rsidR="00DF432F">
        <w:rPr>
          <w:rFonts w:ascii="Times New Roman" w:hAnsi="Times New Roman" w:cs="Times New Roman"/>
          <w:sz w:val="20"/>
          <w:szCs w:val="20"/>
        </w:rPr>
        <w:t xml:space="preserve"> 4.</w:t>
      </w:r>
      <w:r w:rsidRPr="000E3DCA">
        <w:rPr>
          <w:rFonts w:ascii="Times New Roman" w:hAnsi="Times New Roman" w:cs="Times New Roman"/>
          <w:sz w:val="20"/>
          <w:szCs w:val="20"/>
        </w:rPr>
        <w:t>0–9</w:t>
      </w:r>
      <w:r w:rsidR="00DF432F">
        <w:rPr>
          <w:rFonts w:ascii="Times New Roman" w:hAnsi="Times New Roman" w:cs="Times New Roman"/>
          <w:sz w:val="20"/>
          <w:szCs w:val="20"/>
        </w:rPr>
        <w:t>.</w:t>
      </w:r>
      <w:r w:rsidRPr="000E3DCA">
        <w:rPr>
          <w:rFonts w:ascii="Times New Roman" w:hAnsi="Times New Roman" w:cs="Times New Roman"/>
          <w:sz w:val="20"/>
          <w:szCs w:val="20"/>
        </w:rPr>
        <w:t>9) in the placebo g</w:t>
      </w:r>
      <w:r w:rsidR="00DF432F">
        <w:rPr>
          <w:rFonts w:ascii="Times New Roman" w:hAnsi="Times New Roman" w:cs="Times New Roman"/>
          <w:sz w:val="20"/>
          <w:szCs w:val="20"/>
        </w:rPr>
        <w:t>roup, log rank test p=0.</w:t>
      </w:r>
      <w:r w:rsidRPr="000E3DCA">
        <w:rPr>
          <w:rFonts w:ascii="Times New Roman" w:hAnsi="Times New Roman" w:cs="Times New Roman"/>
          <w:sz w:val="20"/>
          <w:szCs w:val="20"/>
        </w:rPr>
        <w:t xml:space="preserve">4014. Across the various sensitivity analyses of overall survival, the </w:t>
      </w:r>
      <w:r w:rsidR="00DF432F">
        <w:rPr>
          <w:rFonts w:ascii="Times New Roman" w:hAnsi="Times New Roman" w:cs="Times New Roman"/>
          <w:sz w:val="20"/>
          <w:szCs w:val="20"/>
        </w:rPr>
        <w:t>HR ranged from 0.79 (95% CI</w:t>
      </w:r>
      <w:r w:rsidR="00F07EAD">
        <w:rPr>
          <w:rFonts w:ascii="Times New Roman" w:hAnsi="Times New Roman" w:cs="Times New Roman"/>
          <w:sz w:val="20"/>
          <w:szCs w:val="20"/>
        </w:rPr>
        <w:t>:</w:t>
      </w:r>
      <w:r w:rsidR="00DF432F">
        <w:rPr>
          <w:rFonts w:ascii="Times New Roman" w:hAnsi="Times New Roman" w:cs="Times New Roman"/>
          <w:sz w:val="20"/>
          <w:szCs w:val="20"/>
        </w:rPr>
        <w:t xml:space="preserve"> 0.59–1.09) to 0.87 (95% CI</w:t>
      </w:r>
      <w:r w:rsidR="00F07EAD">
        <w:rPr>
          <w:rFonts w:ascii="Times New Roman" w:hAnsi="Times New Roman" w:cs="Times New Roman"/>
          <w:sz w:val="20"/>
          <w:szCs w:val="20"/>
        </w:rPr>
        <w:t>:</w:t>
      </w:r>
      <w:r w:rsidR="00DF432F">
        <w:rPr>
          <w:rFonts w:ascii="Times New Roman" w:hAnsi="Times New Roman" w:cs="Times New Roman"/>
          <w:sz w:val="20"/>
          <w:szCs w:val="20"/>
        </w:rPr>
        <w:t xml:space="preserve"> 0.61–1.</w:t>
      </w:r>
      <w:r w:rsidRPr="000E3DCA">
        <w:rPr>
          <w:rFonts w:ascii="Times New Roman" w:hAnsi="Times New Roman" w:cs="Times New Roman"/>
          <w:sz w:val="20"/>
          <w:szCs w:val="20"/>
        </w:rPr>
        <w:t xml:space="preserve">25) </w:t>
      </w:r>
      <w:r w:rsidRPr="001B7206">
        <w:rPr>
          <w:rFonts w:ascii="Times New Roman" w:hAnsi="Times New Roman" w:cs="Times New Roman"/>
          <w:sz w:val="20"/>
          <w:szCs w:val="20"/>
        </w:rPr>
        <w:t>(</w:t>
      </w:r>
      <w:r w:rsidR="001B7206" w:rsidRPr="001B7206">
        <w:rPr>
          <w:rFonts w:ascii="Times New Roman" w:hAnsi="Times New Roman" w:cs="Times New Roman"/>
          <w:sz w:val="20"/>
          <w:szCs w:val="20"/>
        </w:rPr>
        <w:t>T</w:t>
      </w:r>
      <w:r w:rsidRPr="001B7206">
        <w:rPr>
          <w:rFonts w:ascii="Times New Roman" w:hAnsi="Times New Roman" w:cs="Times New Roman"/>
          <w:sz w:val="20"/>
          <w:szCs w:val="20"/>
        </w:rPr>
        <w:t xml:space="preserve">able </w:t>
      </w:r>
      <w:r w:rsidR="0027325A">
        <w:rPr>
          <w:rFonts w:ascii="Times New Roman" w:hAnsi="Times New Roman" w:cs="Times New Roman"/>
          <w:sz w:val="20"/>
          <w:szCs w:val="20"/>
        </w:rPr>
        <w:t>1</w:t>
      </w:r>
      <w:r w:rsidRPr="001B7206">
        <w:rPr>
          <w:rFonts w:ascii="Times New Roman" w:hAnsi="Times New Roman" w:cs="Times New Roman"/>
          <w:sz w:val="20"/>
          <w:szCs w:val="20"/>
        </w:rPr>
        <w:t>).</w:t>
      </w:r>
    </w:p>
    <w:p w14:paraId="4CABD9A7" w14:textId="53528C6E" w:rsidR="00010DC6" w:rsidRPr="000E3DCA" w:rsidRDefault="00010DC6" w:rsidP="00F9462C">
      <w:pPr>
        <w:spacing w:afterLines="60" w:after="144" w:line="240" w:lineRule="auto"/>
        <w:rPr>
          <w:rFonts w:ascii="Times New Roman" w:hAnsi="Times New Roman" w:cs="Times New Roman"/>
          <w:sz w:val="20"/>
          <w:szCs w:val="20"/>
        </w:rPr>
      </w:pPr>
      <w:r w:rsidRPr="001B7206">
        <w:rPr>
          <w:rFonts w:ascii="Times New Roman" w:hAnsi="Times New Roman" w:cs="Times New Roman"/>
          <w:sz w:val="20"/>
          <w:szCs w:val="20"/>
        </w:rPr>
        <w:t>Several clinical characteristics were found to be prognostic for overall survival (</w:t>
      </w:r>
      <w:r w:rsidR="007B3C4C">
        <w:rPr>
          <w:rFonts w:ascii="Times New Roman" w:hAnsi="Times New Roman" w:cs="Times New Roman"/>
          <w:sz w:val="20"/>
          <w:szCs w:val="20"/>
        </w:rPr>
        <w:t xml:space="preserve">Supplementary </w:t>
      </w:r>
      <w:r w:rsidR="0027325A">
        <w:rPr>
          <w:rFonts w:ascii="Times New Roman" w:hAnsi="Times New Roman" w:cs="Times New Roman"/>
          <w:sz w:val="20"/>
          <w:szCs w:val="20"/>
        </w:rPr>
        <w:t>F</w:t>
      </w:r>
      <w:r w:rsidR="009F705B">
        <w:rPr>
          <w:rFonts w:ascii="Times New Roman" w:hAnsi="Times New Roman" w:cs="Times New Roman"/>
          <w:sz w:val="20"/>
          <w:szCs w:val="20"/>
        </w:rPr>
        <w:t>i</w:t>
      </w:r>
      <w:r w:rsidR="009F705B" w:rsidRPr="001B7206">
        <w:rPr>
          <w:rFonts w:ascii="Times New Roman" w:hAnsi="Times New Roman" w:cs="Times New Roman"/>
          <w:sz w:val="20"/>
          <w:szCs w:val="20"/>
        </w:rPr>
        <w:t>g</w:t>
      </w:r>
      <w:r w:rsidR="007B3C4C">
        <w:rPr>
          <w:rFonts w:ascii="Times New Roman" w:hAnsi="Times New Roman" w:cs="Times New Roman"/>
          <w:sz w:val="20"/>
          <w:szCs w:val="20"/>
        </w:rPr>
        <w:t>.</w:t>
      </w:r>
      <w:r w:rsidR="00DF432F" w:rsidRPr="001B7206">
        <w:rPr>
          <w:rFonts w:ascii="Times New Roman" w:hAnsi="Times New Roman" w:cs="Times New Roman"/>
          <w:sz w:val="20"/>
          <w:szCs w:val="20"/>
        </w:rPr>
        <w:t xml:space="preserve"> </w:t>
      </w:r>
      <w:r w:rsidR="0027325A">
        <w:rPr>
          <w:rFonts w:ascii="Times New Roman" w:hAnsi="Times New Roman" w:cs="Times New Roman"/>
          <w:sz w:val="20"/>
          <w:szCs w:val="20"/>
        </w:rPr>
        <w:t>S</w:t>
      </w:r>
      <w:r w:rsidR="00DF432F" w:rsidRPr="001B7206">
        <w:rPr>
          <w:rFonts w:ascii="Times New Roman" w:hAnsi="Times New Roman" w:cs="Times New Roman"/>
          <w:sz w:val="20"/>
          <w:szCs w:val="20"/>
        </w:rPr>
        <w:t>6</w:t>
      </w:r>
      <w:r w:rsidRPr="001B7206">
        <w:rPr>
          <w:rFonts w:ascii="Times New Roman" w:hAnsi="Times New Roman" w:cs="Times New Roman"/>
          <w:sz w:val="20"/>
          <w:szCs w:val="20"/>
        </w:rPr>
        <w:t>). Liver metastasis present at baseline, ECOG performance status, CA19-9 (&gt;upper limit of normal [ULN] to &lt;59</w:t>
      </w:r>
      <w:r w:rsidR="002450FA" w:rsidRPr="000E3DCA">
        <w:rPr>
          <w:rFonts w:ascii="Times New Roman" w:hAnsi="Times New Roman" w:cs="Times New Roman"/>
          <w:color w:val="000000"/>
          <w:sz w:val="20"/>
          <w:szCs w:val="20"/>
          <w:lang w:val="en-GB" w:eastAsia="de-DE"/>
        </w:rPr>
        <w:sym w:font="Symbol" w:char="F0B4"/>
      </w:r>
      <w:r w:rsidRPr="001B7206">
        <w:rPr>
          <w:rFonts w:ascii="Times New Roman" w:hAnsi="Times New Roman" w:cs="Times New Roman"/>
          <w:sz w:val="20"/>
          <w:szCs w:val="20"/>
        </w:rPr>
        <w:t>ULN, ≥59</w:t>
      </w:r>
      <w:r w:rsidR="002450FA" w:rsidRPr="000E3DCA">
        <w:rPr>
          <w:rFonts w:ascii="Times New Roman" w:hAnsi="Times New Roman" w:cs="Times New Roman"/>
          <w:color w:val="000000"/>
          <w:sz w:val="20"/>
          <w:szCs w:val="20"/>
          <w:lang w:val="en-GB" w:eastAsia="de-DE"/>
        </w:rPr>
        <w:sym w:font="Symbol" w:char="F0B4"/>
      </w:r>
      <w:r w:rsidRPr="001B7206">
        <w:rPr>
          <w:rFonts w:ascii="Times New Roman" w:hAnsi="Times New Roman" w:cs="Times New Roman"/>
          <w:sz w:val="20"/>
          <w:szCs w:val="20"/>
        </w:rPr>
        <w:t xml:space="preserve">ULN), post-discontinuation systemic anticancer therapy, previous gemcitabine treatment and sex were independent prognostic factors for overall survival in multivariate analyses. Adjustment for the significant prognostic factors in Cox proportional hazards models for overall survival was concordant with results from other sensitivity analyses of overall survival </w:t>
      </w:r>
      <w:r w:rsidR="001B7206" w:rsidRPr="001B7206">
        <w:rPr>
          <w:rFonts w:ascii="Times New Roman" w:hAnsi="Times New Roman" w:cs="Times New Roman"/>
          <w:sz w:val="20"/>
          <w:szCs w:val="20"/>
        </w:rPr>
        <w:t>(T</w:t>
      </w:r>
      <w:r w:rsidR="0027325A">
        <w:rPr>
          <w:rFonts w:ascii="Times New Roman" w:hAnsi="Times New Roman" w:cs="Times New Roman"/>
          <w:sz w:val="20"/>
          <w:szCs w:val="20"/>
        </w:rPr>
        <w:t>able 1</w:t>
      </w:r>
      <w:r w:rsidRPr="001B7206">
        <w:rPr>
          <w:rFonts w:ascii="Times New Roman" w:hAnsi="Times New Roman" w:cs="Times New Roman"/>
          <w:sz w:val="20"/>
          <w:szCs w:val="20"/>
        </w:rPr>
        <w:t>).</w:t>
      </w:r>
    </w:p>
    <w:p w14:paraId="0F8FF60D" w14:textId="3E02E295" w:rsidR="00010DC6" w:rsidRPr="00587BC0" w:rsidRDefault="00010DC6" w:rsidP="00F9462C">
      <w:pPr>
        <w:spacing w:afterLines="60" w:after="144" w:line="240" w:lineRule="auto"/>
        <w:rPr>
          <w:rFonts w:ascii="Times New Roman" w:hAnsi="Times New Roman" w:cs="Times New Roman"/>
          <w:b/>
          <w:i/>
          <w:sz w:val="20"/>
          <w:szCs w:val="20"/>
        </w:rPr>
      </w:pPr>
      <w:r w:rsidRPr="00587BC0">
        <w:rPr>
          <w:rFonts w:ascii="Times New Roman" w:hAnsi="Times New Roman" w:cs="Times New Roman"/>
          <w:b/>
          <w:i/>
          <w:sz w:val="20"/>
          <w:szCs w:val="20"/>
        </w:rPr>
        <w:t xml:space="preserve">Population </w:t>
      </w:r>
      <w:r w:rsidR="001F0CE6" w:rsidRPr="00587BC0">
        <w:rPr>
          <w:rFonts w:ascii="Times New Roman" w:hAnsi="Times New Roman" w:cs="Times New Roman"/>
          <w:b/>
          <w:i/>
          <w:sz w:val="20"/>
          <w:szCs w:val="20"/>
        </w:rPr>
        <w:t>P</w:t>
      </w:r>
      <w:r w:rsidRPr="00587BC0">
        <w:rPr>
          <w:rFonts w:ascii="Times New Roman" w:hAnsi="Times New Roman" w:cs="Times New Roman"/>
          <w:b/>
          <w:i/>
          <w:sz w:val="20"/>
          <w:szCs w:val="20"/>
        </w:rPr>
        <w:t>harmacokinetics</w:t>
      </w:r>
    </w:p>
    <w:p w14:paraId="20DEFAE9" w14:textId="67DE3171" w:rsidR="00010DC6" w:rsidRPr="000E3DCA" w:rsidRDefault="00010DC6" w:rsidP="00F9462C">
      <w:pPr>
        <w:spacing w:afterLines="60" w:after="144" w:line="240" w:lineRule="auto"/>
        <w:rPr>
          <w:rFonts w:ascii="Times New Roman" w:eastAsia="TimesNewRoman" w:hAnsi="Times New Roman" w:cs="Times New Roman"/>
          <w:sz w:val="20"/>
          <w:szCs w:val="20"/>
        </w:rPr>
      </w:pP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concentrations were determined from all evaluable patients. </w:t>
      </w: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was rapidly absorbed into the systemic circulation, reaching maximum concentrations typically within 1 hour (</w:t>
      </w:r>
      <w:r w:rsidR="007B3C4C">
        <w:rPr>
          <w:rFonts w:ascii="Times New Roman" w:hAnsi="Times New Roman" w:cs="Times New Roman"/>
          <w:sz w:val="20"/>
          <w:szCs w:val="20"/>
        </w:rPr>
        <w:t xml:space="preserve">Supplementary </w:t>
      </w:r>
      <w:r w:rsidR="0027325A">
        <w:rPr>
          <w:rFonts w:ascii="Times New Roman" w:hAnsi="Times New Roman" w:cs="Times New Roman"/>
          <w:sz w:val="20"/>
          <w:szCs w:val="20"/>
        </w:rPr>
        <w:t>F</w:t>
      </w:r>
      <w:r w:rsidR="009F705B">
        <w:rPr>
          <w:rFonts w:ascii="Times New Roman" w:hAnsi="Times New Roman" w:cs="Times New Roman"/>
          <w:sz w:val="20"/>
          <w:szCs w:val="20"/>
        </w:rPr>
        <w:t>ig</w:t>
      </w:r>
      <w:r w:rsidR="007B3C4C">
        <w:rPr>
          <w:rFonts w:ascii="Times New Roman" w:hAnsi="Times New Roman" w:cs="Times New Roman"/>
          <w:sz w:val="20"/>
          <w:szCs w:val="20"/>
        </w:rPr>
        <w:t>.</w:t>
      </w:r>
      <w:r w:rsidR="00DF432F">
        <w:rPr>
          <w:rFonts w:ascii="Times New Roman" w:hAnsi="Times New Roman" w:cs="Times New Roman"/>
          <w:sz w:val="20"/>
          <w:szCs w:val="20"/>
        </w:rPr>
        <w:t xml:space="preserve"> </w:t>
      </w:r>
      <w:r w:rsidR="0027325A">
        <w:rPr>
          <w:rFonts w:ascii="Times New Roman" w:hAnsi="Times New Roman" w:cs="Times New Roman"/>
          <w:sz w:val="20"/>
          <w:szCs w:val="20"/>
        </w:rPr>
        <w:t>S</w:t>
      </w:r>
      <w:r w:rsidR="00DF432F">
        <w:rPr>
          <w:rFonts w:ascii="Times New Roman" w:hAnsi="Times New Roman" w:cs="Times New Roman"/>
          <w:sz w:val="20"/>
          <w:szCs w:val="20"/>
        </w:rPr>
        <w:t>5</w:t>
      </w:r>
      <w:r w:rsidRPr="000E3DCA">
        <w:rPr>
          <w:rFonts w:ascii="Times New Roman" w:hAnsi="Times New Roman" w:cs="Times New Roman"/>
          <w:sz w:val="20"/>
          <w:szCs w:val="20"/>
        </w:rPr>
        <w:t xml:space="preserve">). </w:t>
      </w:r>
      <w:r w:rsidRPr="000E3DCA">
        <w:rPr>
          <w:rFonts w:ascii="Times New Roman" w:eastAsia="TimesNewRoman" w:hAnsi="Times New Roman" w:cs="Times New Roman"/>
          <w:sz w:val="20"/>
          <w:szCs w:val="20"/>
        </w:rPr>
        <w:t>The calculated m</w:t>
      </w:r>
      <w:r w:rsidRPr="000E3DCA">
        <w:rPr>
          <w:rFonts w:ascii="Times New Roman" w:hAnsi="Times New Roman" w:cs="Times New Roman"/>
          <w:sz w:val="20"/>
          <w:szCs w:val="20"/>
        </w:rPr>
        <w:t>edian (25th</w:t>
      </w:r>
      <w:r w:rsidR="00F4075B">
        <w:rPr>
          <w:rFonts w:ascii="Times New Roman" w:hAnsi="Times New Roman" w:cs="Times New Roman"/>
          <w:sz w:val="20"/>
          <w:szCs w:val="20"/>
        </w:rPr>
        <w:t>–</w:t>
      </w:r>
      <w:r w:rsidRPr="000E3DCA">
        <w:rPr>
          <w:rFonts w:ascii="Times New Roman" w:hAnsi="Times New Roman" w:cs="Times New Roman"/>
          <w:sz w:val="20"/>
          <w:szCs w:val="20"/>
        </w:rPr>
        <w:t>75th) population exposure at steady s</w:t>
      </w:r>
      <w:r w:rsidR="00DF432F">
        <w:rPr>
          <w:rFonts w:ascii="Times New Roman" w:hAnsi="Times New Roman" w:cs="Times New Roman"/>
          <w:sz w:val="20"/>
          <w:szCs w:val="20"/>
        </w:rPr>
        <w:t>tate was 5.56 mg*h/L (95% CI</w:t>
      </w:r>
      <w:r w:rsidR="00F07EAD">
        <w:rPr>
          <w:rFonts w:ascii="Times New Roman" w:hAnsi="Times New Roman" w:cs="Times New Roman"/>
          <w:sz w:val="20"/>
          <w:szCs w:val="20"/>
        </w:rPr>
        <w:t>:</w:t>
      </w:r>
      <w:r w:rsidR="00DF432F">
        <w:rPr>
          <w:rFonts w:ascii="Times New Roman" w:hAnsi="Times New Roman" w:cs="Times New Roman"/>
          <w:sz w:val="20"/>
          <w:szCs w:val="20"/>
        </w:rPr>
        <w:t xml:space="preserve"> 3.82</w:t>
      </w:r>
      <w:r w:rsidR="00F4075B">
        <w:rPr>
          <w:rFonts w:ascii="Times New Roman" w:hAnsi="Times New Roman" w:cs="Times New Roman"/>
          <w:sz w:val="20"/>
          <w:szCs w:val="20"/>
        </w:rPr>
        <w:t>–</w:t>
      </w:r>
      <w:r w:rsidR="00DF432F">
        <w:rPr>
          <w:rFonts w:ascii="Times New Roman" w:hAnsi="Times New Roman" w:cs="Times New Roman"/>
          <w:sz w:val="20"/>
          <w:szCs w:val="20"/>
        </w:rPr>
        <w:t>7.</w:t>
      </w:r>
      <w:r w:rsidRPr="000E3DCA">
        <w:rPr>
          <w:rFonts w:ascii="Times New Roman" w:hAnsi="Times New Roman" w:cs="Times New Roman"/>
          <w:sz w:val="20"/>
          <w:szCs w:val="20"/>
        </w:rPr>
        <w:t>91) with maximum concentration (</w:t>
      </w:r>
      <w:proofErr w:type="spellStart"/>
      <w:r w:rsidRPr="000E3DCA">
        <w:rPr>
          <w:rFonts w:ascii="Times New Roman" w:hAnsi="Times New Roman" w:cs="Times New Roman"/>
          <w:sz w:val="20"/>
          <w:szCs w:val="20"/>
        </w:rPr>
        <w:t>C</w:t>
      </w:r>
      <w:r w:rsidRPr="00F9462C">
        <w:rPr>
          <w:rFonts w:ascii="Times New Roman" w:hAnsi="Times New Roman" w:cs="Times New Roman"/>
          <w:sz w:val="20"/>
          <w:szCs w:val="20"/>
          <w:vertAlign w:val="subscript"/>
        </w:rPr>
        <w:t>max</w:t>
      </w:r>
      <w:proofErr w:type="spellEnd"/>
      <w:r w:rsidRPr="000E3DCA">
        <w:rPr>
          <w:rFonts w:ascii="Times New Roman" w:hAnsi="Times New Roman" w:cs="Times New Roman"/>
          <w:sz w:val="20"/>
          <w:szCs w:val="20"/>
        </w:rPr>
        <w:t>) and time to maximum concentration (</w:t>
      </w:r>
      <w:proofErr w:type="spellStart"/>
      <w:r w:rsidRPr="000E3DCA">
        <w:rPr>
          <w:rFonts w:ascii="Times New Roman" w:hAnsi="Times New Roman" w:cs="Times New Roman"/>
          <w:sz w:val="20"/>
          <w:szCs w:val="20"/>
        </w:rPr>
        <w:t>t</w:t>
      </w:r>
      <w:r w:rsidRPr="00F9462C">
        <w:rPr>
          <w:rFonts w:ascii="Times New Roman" w:hAnsi="Times New Roman" w:cs="Times New Roman"/>
          <w:sz w:val="20"/>
          <w:szCs w:val="20"/>
          <w:vertAlign w:val="subscript"/>
        </w:rPr>
        <w:t>max</w:t>
      </w:r>
      <w:proofErr w:type="spellEnd"/>
      <w:r w:rsidRPr="000E3DCA">
        <w:rPr>
          <w:rFonts w:ascii="Times New Roman" w:hAnsi="Times New Roman" w:cs="Times New Roman"/>
          <w:sz w:val="20"/>
          <w:szCs w:val="20"/>
        </w:rPr>
        <w:t>) of 904 ng/mL (95% CI</w:t>
      </w:r>
      <w:r w:rsidR="00F07EAD">
        <w:rPr>
          <w:rFonts w:ascii="Times New Roman" w:hAnsi="Times New Roman" w:cs="Times New Roman"/>
          <w:sz w:val="20"/>
          <w:szCs w:val="20"/>
        </w:rPr>
        <w:t>:</w:t>
      </w:r>
      <w:r w:rsidRPr="000E3DCA">
        <w:rPr>
          <w:rFonts w:ascii="Times New Roman" w:hAnsi="Times New Roman" w:cs="Times New Roman"/>
          <w:sz w:val="20"/>
          <w:szCs w:val="20"/>
        </w:rPr>
        <w:t xml:space="preserve"> 668</w:t>
      </w:r>
      <w:r w:rsidR="00F4075B">
        <w:rPr>
          <w:rFonts w:ascii="Times New Roman" w:hAnsi="Times New Roman" w:cs="Times New Roman"/>
          <w:sz w:val="20"/>
          <w:szCs w:val="20"/>
        </w:rPr>
        <w:t>–</w:t>
      </w:r>
      <w:r w:rsidRPr="000E3DCA">
        <w:rPr>
          <w:rFonts w:ascii="Times New Roman" w:hAnsi="Times New Roman" w:cs="Times New Roman"/>
          <w:sz w:val="20"/>
          <w:szCs w:val="20"/>
        </w:rPr>
        <w:t>1194) and 1.5 h (95% CI</w:t>
      </w:r>
      <w:r w:rsidR="00F07EAD">
        <w:rPr>
          <w:rFonts w:ascii="Times New Roman" w:hAnsi="Times New Roman" w:cs="Times New Roman"/>
          <w:sz w:val="20"/>
          <w:szCs w:val="20"/>
        </w:rPr>
        <w:t>:</w:t>
      </w:r>
      <w:r w:rsidRPr="000E3DCA">
        <w:rPr>
          <w:rFonts w:ascii="Times New Roman" w:hAnsi="Times New Roman" w:cs="Times New Roman"/>
          <w:sz w:val="20"/>
          <w:szCs w:val="20"/>
        </w:rPr>
        <w:t xml:space="preserve"> 1</w:t>
      </w:r>
      <w:r w:rsidR="00F4075B">
        <w:rPr>
          <w:rFonts w:ascii="Times New Roman" w:hAnsi="Times New Roman" w:cs="Times New Roman"/>
          <w:sz w:val="20"/>
          <w:szCs w:val="20"/>
        </w:rPr>
        <w:t>–</w:t>
      </w:r>
      <w:r w:rsidRPr="000E3DCA">
        <w:rPr>
          <w:rFonts w:ascii="Times New Roman" w:hAnsi="Times New Roman" w:cs="Times New Roman"/>
          <w:sz w:val="20"/>
          <w:szCs w:val="20"/>
        </w:rPr>
        <w:t>2</w:t>
      </w:r>
      <w:r w:rsidR="00DF432F">
        <w:rPr>
          <w:rFonts w:ascii="Times New Roman" w:hAnsi="Times New Roman" w:cs="Times New Roman"/>
          <w:sz w:val="20"/>
          <w:szCs w:val="20"/>
        </w:rPr>
        <w:t>.</w:t>
      </w:r>
      <w:r w:rsidRPr="000E3DCA">
        <w:rPr>
          <w:rFonts w:ascii="Times New Roman" w:hAnsi="Times New Roman" w:cs="Times New Roman"/>
          <w:sz w:val="20"/>
          <w:szCs w:val="20"/>
        </w:rPr>
        <w:t>5), respectively. Although there was one patient with very high exposure, t</w:t>
      </w:r>
      <w:r w:rsidRPr="000E3DCA">
        <w:rPr>
          <w:rFonts w:ascii="Times New Roman" w:eastAsia="TimesNewRoman" w:hAnsi="Times New Roman" w:cs="Times New Roman"/>
          <w:sz w:val="20"/>
          <w:szCs w:val="20"/>
        </w:rPr>
        <w:t>he predicted exposures at steady state (AUC</w:t>
      </w:r>
      <w:r w:rsidRPr="00F9462C">
        <w:rPr>
          <w:rFonts w:ascii="Times New Roman" w:eastAsia="TimesNewRoman" w:hAnsi="Times New Roman" w:cs="Times New Roman"/>
          <w:sz w:val="20"/>
          <w:szCs w:val="20"/>
          <w:vertAlign w:val="subscript"/>
        </w:rPr>
        <w:t>0-24,ss</w:t>
      </w:r>
      <w:r w:rsidRPr="000E3DCA">
        <w:rPr>
          <w:rFonts w:ascii="Times New Roman" w:eastAsia="TimesNewRoman" w:hAnsi="Times New Roman" w:cs="Times New Roman"/>
          <w:sz w:val="20"/>
          <w:szCs w:val="20"/>
        </w:rPr>
        <w:t>) following 300 mg/day dose, administered as 150 mg BID, were within the therapeutic window (3730 to 8380 ng*</w:t>
      </w:r>
      <w:proofErr w:type="spellStart"/>
      <w:r w:rsidRPr="000E3DCA">
        <w:rPr>
          <w:rFonts w:ascii="Times New Roman" w:eastAsia="TimesNewRoman" w:hAnsi="Times New Roman" w:cs="Times New Roman"/>
          <w:sz w:val="20"/>
          <w:szCs w:val="20"/>
        </w:rPr>
        <w:t>hr</w:t>
      </w:r>
      <w:proofErr w:type="spellEnd"/>
      <w:r w:rsidRPr="000E3DCA">
        <w:rPr>
          <w:rFonts w:ascii="Times New Roman" w:eastAsia="TimesNewRoman" w:hAnsi="Times New Roman" w:cs="Times New Roman"/>
          <w:sz w:val="20"/>
          <w:szCs w:val="20"/>
        </w:rPr>
        <w:t>/mL) defined previously.</w:t>
      </w:r>
      <w:r w:rsidR="001B7206">
        <w:rPr>
          <w:rFonts w:ascii="Times New Roman" w:eastAsia="TimesNewRoman" w:hAnsi="Times New Roman" w:cs="Times New Roman"/>
          <w:sz w:val="20"/>
          <w:szCs w:val="20"/>
          <w:vertAlign w:val="superscript"/>
        </w:rPr>
        <w:t>8</w:t>
      </w:r>
      <w:r w:rsidRPr="000E3DCA">
        <w:rPr>
          <w:rFonts w:ascii="Times New Roman" w:eastAsia="TimesNewRoman" w:hAnsi="Times New Roman" w:cs="Times New Roman"/>
          <w:sz w:val="20"/>
          <w:szCs w:val="20"/>
        </w:rPr>
        <w:t xml:space="preserve"> The mean (%</w:t>
      </w:r>
      <w:r w:rsidR="00587BC0">
        <w:rPr>
          <w:rFonts w:ascii="Times New Roman" w:eastAsia="TimesNewRoman" w:hAnsi="Times New Roman" w:cs="Times New Roman"/>
          <w:sz w:val="20"/>
          <w:szCs w:val="20"/>
        </w:rPr>
        <w:t xml:space="preserve"> standard error of estimation</w:t>
      </w:r>
      <w:r w:rsidRPr="000E3DCA">
        <w:rPr>
          <w:rFonts w:ascii="Times New Roman" w:eastAsia="TimesNewRoman" w:hAnsi="Times New Roman" w:cs="Times New Roman"/>
          <w:sz w:val="20"/>
          <w:szCs w:val="20"/>
        </w:rPr>
        <w:t xml:space="preserve">) apparent population clearance (CL/F) and volume of distribution of </w:t>
      </w:r>
      <w:proofErr w:type="spellStart"/>
      <w:r w:rsidRPr="000E3DCA">
        <w:rPr>
          <w:rFonts w:ascii="Times New Roman" w:eastAsia="TimesNewRoman" w:hAnsi="Times New Roman" w:cs="Times New Roman"/>
          <w:sz w:val="20"/>
          <w:szCs w:val="20"/>
        </w:rPr>
        <w:t>galunisertib</w:t>
      </w:r>
      <w:proofErr w:type="spellEnd"/>
      <w:r w:rsidRPr="000E3DCA">
        <w:rPr>
          <w:rFonts w:ascii="Times New Roman" w:eastAsia="TimesNewRoman" w:hAnsi="Times New Roman" w:cs="Times New Roman"/>
          <w:sz w:val="20"/>
          <w:szCs w:val="20"/>
        </w:rPr>
        <w:t xml:space="preserve"> were 35 (3) and 190 (18), respectively, with between-patient variability on apparent clearance of 47%. </w:t>
      </w:r>
      <w:r w:rsidRPr="000E3DCA">
        <w:rPr>
          <w:rFonts w:ascii="Times New Roman" w:eastAsia="TimesNewRoman" w:hAnsi="Times New Roman" w:cs="Times New Roman"/>
          <w:color w:val="000000"/>
          <w:sz w:val="20"/>
          <w:szCs w:val="20"/>
        </w:rPr>
        <w:t>There was a small but statistically significant effect of age on CL/F.</w:t>
      </w:r>
    </w:p>
    <w:p w14:paraId="254C7A3D" w14:textId="77777777" w:rsidR="00010DC6" w:rsidRPr="00587BC0" w:rsidRDefault="00010DC6" w:rsidP="00F9462C">
      <w:pPr>
        <w:autoSpaceDE w:val="0"/>
        <w:autoSpaceDN w:val="0"/>
        <w:adjustRightInd w:val="0"/>
        <w:spacing w:afterLines="60" w:after="144" w:line="240" w:lineRule="auto"/>
        <w:rPr>
          <w:rFonts w:ascii="Times New Roman" w:hAnsi="Times New Roman" w:cs="Times New Roman"/>
          <w:b/>
          <w:i/>
          <w:sz w:val="20"/>
          <w:szCs w:val="20"/>
          <w:lang w:eastAsia="ja-JP"/>
        </w:rPr>
      </w:pPr>
      <w:r w:rsidRPr="00587BC0">
        <w:rPr>
          <w:rFonts w:ascii="Times New Roman" w:hAnsi="Times New Roman" w:cs="Times New Roman"/>
          <w:b/>
          <w:i/>
          <w:sz w:val="20"/>
          <w:szCs w:val="20"/>
          <w:lang w:eastAsia="ja-JP"/>
        </w:rPr>
        <w:t>Health Outcomes</w:t>
      </w:r>
    </w:p>
    <w:p w14:paraId="01FA357B" w14:textId="41D72252" w:rsidR="00010DC6" w:rsidRDefault="00010DC6" w:rsidP="00F9462C">
      <w:pPr>
        <w:spacing w:afterLines="60" w:after="144" w:line="240" w:lineRule="auto"/>
        <w:rPr>
          <w:rFonts w:ascii="Times New Roman" w:hAnsi="Times New Roman" w:cs="Times New Roman"/>
          <w:color w:val="000000"/>
          <w:sz w:val="20"/>
          <w:szCs w:val="20"/>
          <w:lang w:eastAsia="de-DE"/>
        </w:rPr>
      </w:pPr>
      <w:r w:rsidRPr="000E3DCA">
        <w:rPr>
          <w:rFonts w:ascii="Times New Roman" w:hAnsi="Times New Roman" w:cs="Times New Roman"/>
          <w:sz w:val="20"/>
          <w:szCs w:val="20"/>
        </w:rPr>
        <w:t>Patient-reported symptoms, such as p</w:t>
      </w:r>
      <w:r w:rsidRPr="000E3DCA">
        <w:rPr>
          <w:rFonts w:ascii="Times New Roman" w:hAnsi="Times New Roman" w:cs="Times New Roman"/>
          <w:color w:val="000000"/>
          <w:sz w:val="20"/>
          <w:szCs w:val="20"/>
          <w:lang w:eastAsia="de-DE"/>
        </w:rPr>
        <w:t>atient-reported pain using the Brief Pain Inventory short form (BPI-sf</w:t>
      </w:r>
      <w:proofErr w:type="gramStart"/>
      <w:r w:rsidRPr="000E3DCA">
        <w:rPr>
          <w:rFonts w:ascii="Times New Roman" w:hAnsi="Times New Roman" w:cs="Times New Roman"/>
          <w:color w:val="000000"/>
          <w:sz w:val="20"/>
          <w:szCs w:val="20"/>
          <w:lang w:eastAsia="de-DE"/>
        </w:rPr>
        <w:t>)</w:t>
      </w:r>
      <w:r w:rsidR="001B7206">
        <w:rPr>
          <w:rFonts w:ascii="Times New Roman" w:hAnsi="Times New Roman" w:cs="Times New Roman"/>
          <w:color w:val="000000"/>
          <w:sz w:val="20"/>
          <w:szCs w:val="20"/>
          <w:vertAlign w:val="superscript"/>
          <w:lang w:eastAsia="de-DE"/>
        </w:rPr>
        <w:t>9</w:t>
      </w:r>
      <w:proofErr w:type="gramEnd"/>
      <w:r w:rsidRPr="000E3DCA">
        <w:rPr>
          <w:rFonts w:ascii="Times New Roman" w:hAnsi="Times New Roman" w:cs="Times New Roman"/>
          <w:color w:val="000000"/>
          <w:sz w:val="20"/>
          <w:szCs w:val="20"/>
          <w:lang w:eastAsia="de-DE"/>
        </w:rPr>
        <w:t xml:space="preserve"> and investigator-rated analgesic level were evaluated in phase 2 only. The BPI-sf questionnaire is a 9-item patient-reported instrument used as a multiple-item measure of cancer pain intensity and was administered </w:t>
      </w:r>
      <w:r w:rsidR="0027325A">
        <w:rPr>
          <w:rFonts w:ascii="Times New Roman" w:hAnsi="Times New Roman" w:cs="Times New Roman"/>
          <w:color w:val="000000"/>
          <w:sz w:val="20"/>
          <w:szCs w:val="20"/>
          <w:lang w:eastAsia="de-DE"/>
        </w:rPr>
        <w:t xml:space="preserve">to the patient prior to </w:t>
      </w:r>
      <w:proofErr w:type="spellStart"/>
      <w:r w:rsidR="0027325A">
        <w:rPr>
          <w:rFonts w:ascii="Times New Roman" w:hAnsi="Times New Roman" w:cs="Times New Roman"/>
          <w:color w:val="000000"/>
          <w:sz w:val="20"/>
          <w:szCs w:val="20"/>
          <w:lang w:eastAsia="de-DE"/>
        </w:rPr>
        <w:t>randomis</w:t>
      </w:r>
      <w:r w:rsidRPr="000E3DCA">
        <w:rPr>
          <w:rFonts w:ascii="Times New Roman" w:hAnsi="Times New Roman" w:cs="Times New Roman"/>
          <w:color w:val="000000"/>
          <w:sz w:val="20"/>
          <w:szCs w:val="20"/>
          <w:lang w:eastAsia="de-DE"/>
        </w:rPr>
        <w:t>ation</w:t>
      </w:r>
      <w:proofErr w:type="spellEnd"/>
      <w:r w:rsidRPr="000E3DCA">
        <w:rPr>
          <w:rFonts w:ascii="Times New Roman" w:hAnsi="Times New Roman" w:cs="Times New Roman"/>
          <w:color w:val="000000"/>
          <w:sz w:val="20"/>
          <w:szCs w:val="20"/>
          <w:lang w:eastAsia="de-DE"/>
        </w:rPr>
        <w:t xml:space="preserve"> and prior to the start of each cycle (before study treatment administration) as well as at follow up (approximately 30 days after the last dose of study treatment). </w:t>
      </w:r>
    </w:p>
    <w:p w14:paraId="76E24F73" w14:textId="521BBCA0" w:rsidR="00010DC6" w:rsidRPr="000E3DCA" w:rsidRDefault="00010DC6" w:rsidP="00F9462C">
      <w:pPr>
        <w:spacing w:afterLines="60" w:after="144" w:line="240" w:lineRule="auto"/>
        <w:rPr>
          <w:rFonts w:ascii="Times New Roman" w:hAnsi="Times New Roman" w:cs="Times New Roman"/>
          <w:sz w:val="20"/>
          <w:szCs w:val="20"/>
        </w:rPr>
      </w:pPr>
      <w:r w:rsidRPr="000E3DCA">
        <w:rPr>
          <w:rFonts w:ascii="Times New Roman" w:hAnsi="Times New Roman" w:cs="Times New Roman"/>
          <w:sz w:val="20"/>
          <w:szCs w:val="20"/>
        </w:rPr>
        <w:t>The majority compliance of BPI-sf administration ranged from approximately 70</w:t>
      </w:r>
      <w:r w:rsidR="00F4075B">
        <w:rPr>
          <w:rFonts w:ascii="Times New Roman" w:hAnsi="Times New Roman" w:cs="Times New Roman"/>
          <w:sz w:val="20"/>
          <w:szCs w:val="20"/>
        </w:rPr>
        <w:t>–</w:t>
      </w:r>
      <w:r w:rsidRPr="000E3DCA">
        <w:rPr>
          <w:rFonts w:ascii="Times New Roman" w:hAnsi="Times New Roman" w:cs="Times New Roman"/>
          <w:sz w:val="20"/>
          <w:szCs w:val="20"/>
        </w:rPr>
        <w:t xml:space="preserve">90% across visits. At baseline, the mean pain score </w:t>
      </w:r>
      <w:r w:rsidR="00DF432F">
        <w:rPr>
          <w:rFonts w:ascii="Times New Roman" w:hAnsi="Times New Roman" w:cs="Times New Roman"/>
          <w:sz w:val="20"/>
          <w:szCs w:val="20"/>
        </w:rPr>
        <w:t>(standard deviation [SD]) was 2.48 (2.</w:t>
      </w:r>
      <w:r w:rsidRPr="000E3DCA">
        <w:rPr>
          <w:rFonts w:ascii="Times New Roman" w:hAnsi="Times New Roman" w:cs="Times New Roman"/>
          <w:sz w:val="20"/>
          <w:szCs w:val="20"/>
        </w:rPr>
        <w:t>21) for the placebo group and 2</w:t>
      </w:r>
      <w:r w:rsidR="00DF432F">
        <w:rPr>
          <w:rFonts w:ascii="Times New Roman" w:hAnsi="Times New Roman" w:cs="Times New Roman"/>
          <w:sz w:val="20"/>
          <w:szCs w:val="20"/>
        </w:rPr>
        <w:t>.60 (2.</w:t>
      </w:r>
      <w:r w:rsidRPr="000E3DCA">
        <w:rPr>
          <w:rFonts w:ascii="Times New Roman" w:hAnsi="Times New Roman" w:cs="Times New Roman"/>
          <w:sz w:val="20"/>
          <w:szCs w:val="20"/>
        </w:rPr>
        <w:t xml:space="preserve">06) for the </w:t>
      </w: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group. There were no differences between the two treatment groups post-treatment (</w:t>
      </w:r>
      <w:r w:rsidR="007B3C4C">
        <w:rPr>
          <w:rFonts w:ascii="Times New Roman" w:hAnsi="Times New Roman" w:cs="Times New Roman"/>
          <w:sz w:val="20"/>
          <w:szCs w:val="20"/>
        </w:rPr>
        <w:t xml:space="preserve">Supplementary </w:t>
      </w:r>
      <w:r w:rsidR="0027325A">
        <w:rPr>
          <w:rFonts w:ascii="Times New Roman" w:hAnsi="Times New Roman" w:cs="Times New Roman"/>
          <w:sz w:val="20"/>
          <w:szCs w:val="20"/>
        </w:rPr>
        <w:t>F</w:t>
      </w:r>
      <w:r w:rsidR="009F705B">
        <w:rPr>
          <w:rFonts w:ascii="Times New Roman" w:hAnsi="Times New Roman" w:cs="Times New Roman"/>
          <w:sz w:val="20"/>
          <w:szCs w:val="20"/>
        </w:rPr>
        <w:t>ig</w:t>
      </w:r>
      <w:r w:rsidR="007B3C4C">
        <w:rPr>
          <w:rFonts w:ascii="Times New Roman" w:hAnsi="Times New Roman" w:cs="Times New Roman"/>
          <w:sz w:val="20"/>
          <w:szCs w:val="20"/>
        </w:rPr>
        <w:t>.</w:t>
      </w:r>
      <w:r w:rsidR="00DF432F">
        <w:rPr>
          <w:rFonts w:ascii="Times New Roman" w:hAnsi="Times New Roman" w:cs="Times New Roman"/>
          <w:sz w:val="20"/>
          <w:szCs w:val="20"/>
        </w:rPr>
        <w:t xml:space="preserve"> </w:t>
      </w:r>
      <w:r w:rsidR="0027325A">
        <w:rPr>
          <w:rFonts w:ascii="Times New Roman" w:hAnsi="Times New Roman" w:cs="Times New Roman"/>
          <w:sz w:val="20"/>
          <w:szCs w:val="20"/>
        </w:rPr>
        <w:t>S</w:t>
      </w:r>
      <w:r w:rsidR="00DF432F">
        <w:rPr>
          <w:rFonts w:ascii="Times New Roman" w:hAnsi="Times New Roman" w:cs="Times New Roman"/>
          <w:sz w:val="20"/>
          <w:szCs w:val="20"/>
        </w:rPr>
        <w:t>3</w:t>
      </w:r>
      <w:r w:rsidRPr="000E3DCA">
        <w:rPr>
          <w:rFonts w:ascii="Times New Roman" w:hAnsi="Times New Roman" w:cs="Times New Roman"/>
          <w:sz w:val="20"/>
          <w:szCs w:val="20"/>
        </w:rPr>
        <w:t>). Mean pain (SD) interfe</w:t>
      </w:r>
      <w:r w:rsidR="00DF432F">
        <w:rPr>
          <w:rFonts w:ascii="Times New Roman" w:hAnsi="Times New Roman" w:cs="Times New Roman"/>
          <w:sz w:val="20"/>
          <w:szCs w:val="20"/>
        </w:rPr>
        <w:t>rence scores at baseline were 3.20 (2.78) for the placebo group and 2.83 (2.</w:t>
      </w:r>
      <w:r w:rsidRPr="000E3DCA">
        <w:rPr>
          <w:rFonts w:ascii="Times New Roman" w:hAnsi="Times New Roman" w:cs="Times New Roman"/>
          <w:sz w:val="20"/>
          <w:szCs w:val="20"/>
        </w:rPr>
        <w:t xml:space="preserve">46) for the </w:t>
      </w:r>
      <w:proofErr w:type="spellStart"/>
      <w:r w:rsidRPr="000E3DCA">
        <w:rPr>
          <w:rFonts w:ascii="Times New Roman" w:hAnsi="Times New Roman" w:cs="Times New Roman"/>
          <w:sz w:val="20"/>
          <w:szCs w:val="20"/>
        </w:rPr>
        <w:t>galunisertib</w:t>
      </w:r>
      <w:proofErr w:type="spellEnd"/>
      <w:r w:rsidRPr="000E3DCA">
        <w:rPr>
          <w:rFonts w:ascii="Times New Roman" w:hAnsi="Times New Roman" w:cs="Times New Roman"/>
          <w:sz w:val="20"/>
          <w:szCs w:val="20"/>
        </w:rPr>
        <w:t xml:space="preserve"> group. Pain interference scores were reduced in both treatment groups up to Cycle 6 (data not shown). Finally, analgesia intake was similar between both treatment groups, which included drugs such as aspirin, paracetamol, nonsteroidal anti-inflammatory drugs, codeine, </w:t>
      </w:r>
      <w:proofErr w:type="spellStart"/>
      <w:r w:rsidRPr="000E3DCA">
        <w:rPr>
          <w:rFonts w:ascii="Times New Roman" w:hAnsi="Times New Roman" w:cs="Times New Roman"/>
          <w:sz w:val="20"/>
          <w:szCs w:val="20"/>
        </w:rPr>
        <w:t>dextropropoxyphene</w:t>
      </w:r>
      <w:proofErr w:type="spellEnd"/>
      <w:r w:rsidRPr="000E3DCA">
        <w:rPr>
          <w:rFonts w:ascii="Times New Roman" w:hAnsi="Times New Roman" w:cs="Times New Roman"/>
          <w:sz w:val="20"/>
          <w:szCs w:val="20"/>
        </w:rPr>
        <w:t xml:space="preserve">, </w:t>
      </w:r>
      <w:proofErr w:type="spellStart"/>
      <w:r w:rsidRPr="000E3DCA">
        <w:rPr>
          <w:rFonts w:ascii="Times New Roman" w:hAnsi="Times New Roman" w:cs="Times New Roman"/>
          <w:sz w:val="20"/>
          <w:szCs w:val="20"/>
        </w:rPr>
        <w:t>pentazocine</w:t>
      </w:r>
      <w:proofErr w:type="spellEnd"/>
      <w:r w:rsidRPr="000E3DCA">
        <w:rPr>
          <w:rFonts w:ascii="Times New Roman" w:hAnsi="Times New Roman" w:cs="Times New Roman"/>
          <w:sz w:val="20"/>
          <w:szCs w:val="20"/>
        </w:rPr>
        <w:t>, oxycodone, and hydrocodone. In both treatment groups, a reduction from baseline in analgesic consumption levels was observed across the post-baseline cycles up to Cycle 13 and, as would be expected, levels increased at the follow-up visit when patients were experiencing more pain (data not shown).</w:t>
      </w:r>
    </w:p>
    <w:p w14:paraId="630EEF94" w14:textId="281B8165" w:rsidR="00010DC6" w:rsidRPr="000E3DCA" w:rsidRDefault="00010DC6" w:rsidP="00F9462C">
      <w:pPr>
        <w:autoSpaceDE w:val="0"/>
        <w:autoSpaceDN w:val="0"/>
        <w:adjustRightInd w:val="0"/>
        <w:spacing w:afterLines="60" w:after="144" w:line="240" w:lineRule="auto"/>
        <w:rPr>
          <w:rFonts w:ascii="Times New Roman" w:hAnsi="Times New Roman" w:cs="Times New Roman"/>
          <w:sz w:val="20"/>
          <w:szCs w:val="20"/>
          <w:lang w:eastAsia="ja-JP"/>
        </w:rPr>
      </w:pPr>
      <w:r w:rsidRPr="001B7206">
        <w:rPr>
          <w:rFonts w:ascii="Times New Roman" w:hAnsi="Times New Roman" w:cs="Times New Roman"/>
          <w:b/>
          <w:sz w:val="20"/>
          <w:szCs w:val="20"/>
          <w:lang w:eastAsia="ja-JP"/>
        </w:rPr>
        <w:t>References</w:t>
      </w:r>
    </w:p>
    <w:p w14:paraId="3B7A7371" w14:textId="0D203AA4"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Herbertz S, Sawyer JS, Stauber AJ, et al. Clinical development of galunisertib (LY2157299 monohydrate), a small molecule inhibitor of transforming growth factor-beta signaling pathway. </w:t>
      </w:r>
      <w:r w:rsidRPr="00F9462C">
        <w:rPr>
          <w:rFonts w:ascii="Times New Roman" w:hAnsi="Times New Roman" w:cs="Times New Roman"/>
          <w:i/>
          <w:noProof/>
          <w:sz w:val="20"/>
          <w:szCs w:val="20"/>
          <w:lang w:val="en-GB"/>
        </w:rPr>
        <w:t>Drug Des Devel Ther</w:t>
      </w:r>
      <w:r w:rsidRPr="00F9462C">
        <w:rPr>
          <w:rFonts w:ascii="Times New Roman" w:hAnsi="Times New Roman" w:cs="Times New Roman"/>
          <w:noProof/>
          <w:sz w:val="20"/>
          <w:szCs w:val="20"/>
          <w:lang w:val="en-GB"/>
        </w:rPr>
        <w:t xml:space="preserve"> 2015;9:4479-4499.</w:t>
      </w:r>
    </w:p>
    <w:p w14:paraId="63AB88FF" w14:textId="28766A5D"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Oettle H, Richards D, Ramanathan RK, et al. A phase III trial of pemetrexed plus gemcitabine versus gemcitabine in patients with unresectable or metastatic pancreatic cancer. </w:t>
      </w:r>
      <w:r w:rsidRPr="00F9462C">
        <w:rPr>
          <w:rFonts w:ascii="Times New Roman" w:hAnsi="Times New Roman" w:cs="Times New Roman"/>
          <w:i/>
          <w:noProof/>
          <w:sz w:val="20"/>
          <w:szCs w:val="20"/>
          <w:lang w:val="en-GB"/>
        </w:rPr>
        <w:t>Ann Oncol</w:t>
      </w:r>
      <w:r w:rsidRPr="00F9462C">
        <w:rPr>
          <w:rFonts w:ascii="Times New Roman" w:hAnsi="Times New Roman" w:cs="Times New Roman"/>
          <w:noProof/>
          <w:sz w:val="20"/>
          <w:szCs w:val="20"/>
          <w:lang w:val="en-GB"/>
        </w:rPr>
        <w:t xml:space="preserve"> 2005;16(10):1639-1645. </w:t>
      </w:r>
    </w:p>
    <w:p w14:paraId="46B37B66" w14:textId="61DB41E2"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Saif MW, Oettle H, Vervenne WL, et al. Randomized double-blind phase II trial comparing gemcitabine plus LY293111 versus gemcitabine plus placebo in advanced adenocarcinoma of the pancreas. </w:t>
      </w:r>
      <w:r w:rsidRPr="00F9462C">
        <w:rPr>
          <w:rFonts w:ascii="Times New Roman" w:hAnsi="Times New Roman" w:cs="Times New Roman"/>
          <w:i/>
          <w:noProof/>
          <w:sz w:val="20"/>
          <w:szCs w:val="20"/>
          <w:lang w:val="en-GB"/>
        </w:rPr>
        <w:t>Cancer J</w:t>
      </w:r>
      <w:r w:rsidRPr="00F9462C">
        <w:rPr>
          <w:rFonts w:ascii="Times New Roman" w:hAnsi="Times New Roman" w:cs="Times New Roman"/>
          <w:noProof/>
          <w:sz w:val="20"/>
          <w:szCs w:val="20"/>
          <w:lang w:val="en-GB"/>
        </w:rPr>
        <w:t xml:space="preserve"> 2009;15(4):339-343.</w:t>
      </w:r>
    </w:p>
    <w:p w14:paraId="6E91CCF2" w14:textId="337B5B9C"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Von Hoff DD, Ervin T, Arena FP, et al. Increased survival in pancreatic cancer with nab-paclitaxel plus gemcitabine. </w:t>
      </w:r>
      <w:r w:rsidRPr="00F9462C">
        <w:rPr>
          <w:rFonts w:ascii="Times New Roman" w:hAnsi="Times New Roman" w:cs="Times New Roman"/>
          <w:i/>
          <w:noProof/>
          <w:sz w:val="20"/>
          <w:szCs w:val="20"/>
          <w:lang w:val="en-GB"/>
        </w:rPr>
        <w:t>N Engl J Med</w:t>
      </w:r>
      <w:r w:rsidRPr="00F9462C">
        <w:rPr>
          <w:rFonts w:ascii="Times New Roman" w:hAnsi="Times New Roman" w:cs="Times New Roman"/>
          <w:noProof/>
          <w:sz w:val="20"/>
          <w:szCs w:val="20"/>
          <w:lang w:val="en-GB"/>
        </w:rPr>
        <w:t xml:space="preserve"> 2013;369(18):1691-1703.</w:t>
      </w:r>
    </w:p>
    <w:p w14:paraId="6A705866" w14:textId="1E7647B7"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lastRenderedPageBreak/>
        <w:t xml:space="preserve">Sideras K, Braat H, Kwekkeboom J, et al. Role of the immune system in pancreatic cancer progression and immune modulating treatment strategies. </w:t>
      </w:r>
      <w:r w:rsidRPr="00F9462C">
        <w:rPr>
          <w:rFonts w:ascii="Times New Roman" w:hAnsi="Times New Roman" w:cs="Times New Roman"/>
          <w:i/>
          <w:noProof/>
          <w:sz w:val="20"/>
          <w:szCs w:val="20"/>
          <w:lang w:val="en-GB"/>
        </w:rPr>
        <w:t>Cancer Treat Rev</w:t>
      </w:r>
      <w:r w:rsidRPr="00F9462C">
        <w:rPr>
          <w:rFonts w:ascii="Times New Roman" w:hAnsi="Times New Roman" w:cs="Times New Roman"/>
          <w:noProof/>
          <w:sz w:val="20"/>
          <w:szCs w:val="20"/>
          <w:lang w:val="en-GB"/>
        </w:rPr>
        <w:t xml:space="preserve"> 2014;40(4):513-522.</w:t>
      </w:r>
    </w:p>
    <w:p w14:paraId="72FC1DE3" w14:textId="3AA9FB5E"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Travis MA, Sheppard D. TGF-β activation and function in immunity. </w:t>
      </w:r>
      <w:r w:rsidRPr="00F9462C">
        <w:rPr>
          <w:rFonts w:ascii="Times New Roman" w:hAnsi="Times New Roman" w:cs="Times New Roman"/>
          <w:i/>
          <w:noProof/>
          <w:sz w:val="20"/>
          <w:szCs w:val="20"/>
          <w:lang w:val="en-GB"/>
        </w:rPr>
        <w:t>Annu Rev Immunol</w:t>
      </w:r>
      <w:r w:rsidRPr="00F9462C">
        <w:rPr>
          <w:rFonts w:ascii="Times New Roman" w:hAnsi="Times New Roman" w:cs="Times New Roman"/>
          <w:noProof/>
          <w:sz w:val="20"/>
          <w:szCs w:val="20"/>
          <w:lang w:val="en-GB"/>
        </w:rPr>
        <w:t xml:space="preserve"> 2014;32:51-82.</w:t>
      </w:r>
    </w:p>
    <w:p w14:paraId="4D138FB1" w14:textId="261D0E5B"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Baron U, Floess S, Wieczorek G, et al. DNA demethylation in the human FOXP3 locus discriminates regulatory T cells from activated FOXP3(+) conventional T cells. </w:t>
      </w:r>
      <w:r w:rsidRPr="00F9462C">
        <w:rPr>
          <w:rFonts w:ascii="Times New Roman" w:hAnsi="Times New Roman" w:cs="Times New Roman"/>
          <w:i/>
          <w:noProof/>
          <w:sz w:val="20"/>
          <w:szCs w:val="20"/>
          <w:lang w:val="en-GB"/>
        </w:rPr>
        <w:t>Eur J Immunol</w:t>
      </w:r>
      <w:r w:rsidRPr="00F9462C">
        <w:rPr>
          <w:rFonts w:ascii="Times New Roman" w:hAnsi="Times New Roman" w:cs="Times New Roman"/>
          <w:noProof/>
          <w:sz w:val="20"/>
          <w:szCs w:val="20"/>
          <w:lang w:val="en-GB"/>
        </w:rPr>
        <w:t xml:space="preserve"> 2007;37(9):2378-2389.</w:t>
      </w:r>
    </w:p>
    <w:p w14:paraId="027C4774" w14:textId="43BC7E4B" w:rsidR="00983FFF" w:rsidRPr="00F9462C" w:rsidRDefault="00983FFF" w:rsidP="00F9462C">
      <w:pPr>
        <w:pStyle w:val="ListParagraph"/>
        <w:numPr>
          <w:ilvl w:val="0"/>
          <w:numId w:val="2"/>
        </w:numPr>
        <w:autoSpaceDE w:val="0"/>
        <w:autoSpaceDN w:val="0"/>
        <w:adjustRightInd w:val="0"/>
        <w:spacing w:afterLines="60" w:after="144" w:line="240" w:lineRule="auto"/>
        <w:ind w:left="432" w:hanging="432"/>
        <w:rPr>
          <w:rFonts w:ascii="Times New Roman" w:hAnsi="Times New Roman" w:cs="Times New Roman"/>
          <w:noProof/>
          <w:sz w:val="20"/>
          <w:szCs w:val="20"/>
          <w:lang w:val="en-GB"/>
        </w:rPr>
      </w:pPr>
      <w:r w:rsidRPr="00F9462C">
        <w:rPr>
          <w:rFonts w:ascii="Times New Roman" w:hAnsi="Times New Roman" w:cs="Times New Roman"/>
          <w:noProof/>
          <w:sz w:val="20"/>
          <w:szCs w:val="20"/>
          <w:lang w:val="en-GB"/>
        </w:rPr>
        <w:t xml:space="preserve">Gueorguieva I, Cleverly AL, Stauber A, et al. Defining a therapeutic window for the novel TGF-β inhibitor LY2157299 monohydrate based on a pharmacokinetic/pharmacodynamic model. </w:t>
      </w:r>
      <w:r w:rsidRPr="00F9462C">
        <w:rPr>
          <w:rFonts w:ascii="Times New Roman" w:hAnsi="Times New Roman" w:cs="Times New Roman"/>
          <w:i/>
          <w:noProof/>
          <w:sz w:val="20"/>
          <w:szCs w:val="20"/>
          <w:lang w:val="en-GB"/>
        </w:rPr>
        <w:t>Br J Clin Pharmacol</w:t>
      </w:r>
      <w:r w:rsidRPr="00F9462C">
        <w:rPr>
          <w:rFonts w:ascii="Times New Roman" w:hAnsi="Times New Roman" w:cs="Times New Roman"/>
          <w:noProof/>
          <w:sz w:val="20"/>
          <w:szCs w:val="20"/>
          <w:lang w:val="en-GB"/>
        </w:rPr>
        <w:t xml:space="preserve"> 2014;77(5):796-807.</w:t>
      </w:r>
    </w:p>
    <w:p w14:paraId="33E9E481" w14:textId="217F5127" w:rsidR="00BD01C7" w:rsidRPr="00587BC0" w:rsidRDefault="00983FFF" w:rsidP="000B424C">
      <w:pPr>
        <w:pStyle w:val="ListParagraph"/>
        <w:numPr>
          <w:ilvl w:val="0"/>
          <w:numId w:val="2"/>
        </w:numPr>
        <w:spacing w:afterLines="60" w:after="144" w:line="240" w:lineRule="auto"/>
        <w:ind w:left="432" w:hanging="432"/>
        <w:rPr>
          <w:rFonts w:ascii="Times New Roman" w:hAnsi="Times New Roman" w:cs="Times New Roman"/>
          <w:sz w:val="20"/>
          <w:szCs w:val="20"/>
        </w:rPr>
      </w:pPr>
      <w:r w:rsidRPr="005E64A7">
        <w:rPr>
          <w:rFonts w:ascii="Times New Roman" w:hAnsi="Times New Roman" w:cs="Times New Roman"/>
          <w:noProof/>
          <w:sz w:val="20"/>
          <w:szCs w:val="20"/>
          <w:lang w:val="en-GB"/>
        </w:rPr>
        <w:t>Cleeland CS. Pa</w:t>
      </w:r>
      <w:r w:rsidRPr="00272411">
        <w:rPr>
          <w:rFonts w:ascii="Times New Roman" w:hAnsi="Times New Roman" w:cs="Times New Roman"/>
          <w:noProof/>
          <w:sz w:val="20"/>
          <w:szCs w:val="20"/>
          <w:lang w:val="en-GB"/>
        </w:rPr>
        <w:t xml:space="preserve">in assessment in cancer. In: Osaba D, ed. </w:t>
      </w:r>
      <w:r w:rsidRPr="00272411">
        <w:rPr>
          <w:rFonts w:ascii="Times New Roman" w:hAnsi="Times New Roman" w:cs="Times New Roman"/>
          <w:i/>
          <w:noProof/>
          <w:sz w:val="20"/>
          <w:szCs w:val="20"/>
          <w:lang w:val="en-GB"/>
        </w:rPr>
        <w:t>Effect of Cancer on Quality of Life</w:t>
      </w:r>
      <w:r w:rsidRPr="00DA7405">
        <w:rPr>
          <w:rFonts w:ascii="Times New Roman" w:hAnsi="Times New Roman" w:cs="Times New Roman"/>
          <w:noProof/>
          <w:sz w:val="20"/>
          <w:szCs w:val="20"/>
          <w:lang w:val="en-GB"/>
        </w:rPr>
        <w:t>. Boca Raton, FL: CRC Press; 1991:293-305.</w:t>
      </w:r>
      <w:r w:rsidR="000B424C" w:rsidRPr="00587BC0">
        <w:rPr>
          <w:rFonts w:ascii="Times New Roman" w:hAnsi="Times New Roman" w:cs="Times New Roman"/>
          <w:sz w:val="20"/>
          <w:szCs w:val="20"/>
        </w:rPr>
        <w:t xml:space="preserve"> </w:t>
      </w:r>
    </w:p>
    <w:sectPr w:rsidR="00BD01C7" w:rsidRPr="00587BC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564C9" w14:textId="77777777" w:rsidR="002560B0" w:rsidRDefault="002560B0" w:rsidP="00482506">
      <w:pPr>
        <w:spacing w:after="0" w:line="240" w:lineRule="auto"/>
      </w:pPr>
      <w:r>
        <w:separator/>
      </w:r>
    </w:p>
  </w:endnote>
  <w:endnote w:type="continuationSeparator" w:id="0">
    <w:p w14:paraId="4FBBEA31" w14:textId="77777777" w:rsidR="002560B0" w:rsidRDefault="002560B0" w:rsidP="00482506">
      <w:pPr>
        <w:spacing w:after="0" w:line="240" w:lineRule="auto"/>
      </w:pPr>
      <w:r>
        <w:continuationSeparator/>
      </w:r>
    </w:p>
  </w:endnote>
  <w:endnote w:type="continuationNotice" w:id="1">
    <w:p w14:paraId="5F49F283" w14:textId="77777777" w:rsidR="002560B0" w:rsidRDefault="00256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altName w:val="Palatino"/>
    <w:panose1 w:val="02040502050505030304"/>
    <w:charset w:val="00"/>
    <w:family w:val="roman"/>
    <w:pitch w:val="variable"/>
    <w:sig w:usb0="E0000287" w:usb1="40000013" w:usb2="00000000" w:usb3="00000000" w:csb0="0000019F" w:csb1="00000000"/>
  </w:font>
  <w:font w:name="TimesNewRoman">
    <w:altName w:val="MS Mincho"/>
    <w:charset w:val="00"/>
    <w:family w:val="auto"/>
    <w:pitch w:val="default"/>
    <w:sig w:usb0="00000003" w:usb1="08070000" w:usb2="00000010" w:usb3="00000000" w:csb0="00020001" w:csb1="00000000"/>
  </w:font>
  <w:font w:name="AGaramondPro-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319809"/>
      <w:docPartObj>
        <w:docPartGallery w:val="Page Numbers (Bottom of Page)"/>
        <w:docPartUnique/>
      </w:docPartObj>
    </w:sdtPr>
    <w:sdtEndPr>
      <w:rPr>
        <w:noProof/>
      </w:rPr>
    </w:sdtEndPr>
    <w:sdtContent>
      <w:p w14:paraId="2F97705F" w14:textId="77777777" w:rsidR="00F9462C" w:rsidRDefault="00F9462C">
        <w:pPr>
          <w:pStyle w:val="Footer"/>
          <w:jc w:val="center"/>
        </w:pPr>
        <w:r>
          <w:fldChar w:fldCharType="begin"/>
        </w:r>
        <w:r>
          <w:instrText xml:space="preserve"> PAGE   \* MERGEFORMAT </w:instrText>
        </w:r>
        <w:r>
          <w:fldChar w:fldCharType="separate"/>
        </w:r>
        <w:r w:rsidR="006F5AA1">
          <w:rPr>
            <w:noProof/>
          </w:rPr>
          <w:t>5</w:t>
        </w:r>
        <w:r>
          <w:rPr>
            <w:noProof/>
          </w:rPr>
          <w:fldChar w:fldCharType="end"/>
        </w:r>
      </w:p>
    </w:sdtContent>
  </w:sdt>
  <w:p w14:paraId="5FBEADEC" w14:textId="77777777" w:rsidR="00F9462C" w:rsidRDefault="00F946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4A811" w14:textId="77777777" w:rsidR="002560B0" w:rsidRDefault="002560B0" w:rsidP="00482506">
      <w:pPr>
        <w:spacing w:after="0" w:line="240" w:lineRule="auto"/>
      </w:pPr>
      <w:r>
        <w:separator/>
      </w:r>
    </w:p>
  </w:footnote>
  <w:footnote w:type="continuationSeparator" w:id="0">
    <w:p w14:paraId="17328DAC" w14:textId="77777777" w:rsidR="002560B0" w:rsidRDefault="002560B0" w:rsidP="00482506">
      <w:pPr>
        <w:spacing w:after="0" w:line="240" w:lineRule="auto"/>
      </w:pPr>
      <w:r>
        <w:continuationSeparator/>
      </w:r>
    </w:p>
  </w:footnote>
  <w:footnote w:type="continuationNotice" w:id="1">
    <w:p w14:paraId="6C441E02" w14:textId="77777777" w:rsidR="002560B0" w:rsidRDefault="002560B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42D38" w14:textId="77777777" w:rsidR="00002CDA" w:rsidRPr="00002CDA" w:rsidRDefault="00002CDA" w:rsidP="00002CDA">
    <w:pPr>
      <w:spacing w:afterLines="60" w:after="144" w:line="240" w:lineRule="auto"/>
      <w:rPr>
        <w:rFonts w:ascii="Times New Roman" w:hAnsi="Times New Roman" w:cs="Times New Roman"/>
        <w:b/>
        <w:sz w:val="20"/>
        <w:szCs w:val="20"/>
      </w:rPr>
    </w:pPr>
    <w:r w:rsidRPr="00002CDA">
      <w:rPr>
        <w:rFonts w:ascii="Times New Roman" w:hAnsi="Times New Roman" w:cs="Times New Roman"/>
        <w:b/>
        <w:sz w:val="20"/>
        <w:szCs w:val="20"/>
      </w:rPr>
      <w:t xml:space="preserve">Summary: </w:t>
    </w:r>
    <w:r w:rsidRPr="00002CDA">
      <w:rPr>
        <w:rFonts w:ascii="Times New Roman" w:hAnsi="Times New Roman" w:cs="Times New Roman"/>
        <w:sz w:val="20"/>
        <w:szCs w:val="20"/>
      </w:rPr>
      <w:t>Supplementary materials contains additional methods, results (with figures/tables uploaded separately) and relevant references.</w:t>
    </w:r>
  </w:p>
  <w:p w14:paraId="02599301" w14:textId="77777777" w:rsidR="00002CDA" w:rsidRDefault="00002C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40D4A"/>
    <w:multiLevelType w:val="hybridMultilevel"/>
    <w:tmpl w:val="E086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C03C50"/>
    <w:multiLevelType w:val="hybridMultilevel"/>
    <w:tmpl w:val="06C89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127C45"/>
    <w:multiLevelType w:val="hybridMultilevel"/>
    <w:tmpl w:val="A502BFA2"/>
    <w:lvl w:ilvl="0" w:tplc="434E973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C6"/>
    <w:rsid w:val="00002CDA"/>
    <w:rsid w:val="00010DC6"/>
    <w:rsid w:val="0007098E"/>
    <w:rsid w:val="000B424C"/>
    <w:rsid w:val="000B71DD"/>
    <w:rsid w:val="000D6B16"/>
    <w:rsid w:val="000E3396"/>
    <w:rsid w:val="000E3DCA"/>
    <w:rsid w:val="000F7D7B"/>
    <w:rsid w:val="00114A38"/>
    <w:rsid w:val="0014722C"/>
    <w:rsid w:val="001B7206"/>
    <w:rsid w:val="001F0CE6"/>
    <w:rsid w:val="002450FA"/>
    <w:rsid w:val="002560B0"/>
    <w:rsid w:val="00272411"/>
    <w:rsid w:val="0027325A"/>
    <w:rsid w:val="00295290"/>
    <w:rsid w:val="0033212F"/>
    <w:rsid w:val="0034280D"/>
    <w:rsid w:val="00397DB8"/>
    <w:rsid w:val="003C0BE3"/>
    <w:rsid w:val="003F56D5"/>
    <w:rsid w:val="00403A49"/>
    <w:rsid w:val="00482506"/>
    <w:rsid w:val="004C0C72"/>
    <w:rsid w:val="004C62EA"/>
    <w:rsid w:val="004E41B5"/>
    <w:rsid w:val="0055431D"/>
    <w:rsid w:val="00555390"/>
    <w:rsid w:val="00587BC0"/>
    <w:rsid w:val="005E64A7"/>
    <w:rsid w:val="00653999"/>
    <w:rsid w:val="00676175"/>
    <w:rsid w:val="006B6C9A"/>
    <w:rsid w:val="006D5C97"/>
    <w:rsid w:val="006F45CB"/>
    <w:rsid w:val="006F5AA1"/>
    <w:rsid w:val="007020C8"/>
    <w:rsid w:val="0070296C"/>
    <w:rsid w:val="0072681A"/>
    <w:rsid w:val="007B3C4C"/>
    <w:rsid w:val="00820CC6"/>
    <w:rsid w:val="008216BE"/>
    <w:rsid w:val="00841903"/>
    <w:rsid w:val="0084583D"/>
    <w:rsid w:val="008947A0"/>
    <w:rsid w:val="009008FA"/>
    <w:rsid w:val="00935EBA"/>
    <w:rsid w:val="00941D5F"/>
    <w:rsid w:val="00944F94"/>
    <w:rsid w:val="0096718F"/>
    <w:rsid w:val="00983FFF"/>
    <w:rsid w:val="00987B05"/>
    <w:rsid w:val="009D5787"/>
    <w:rsid w:val="009F705B"/>
    <w:rsid w:val="00A12659"/>
    <w:rsid w:val="00A43C5A"/>
    <w:rsid w:val="00A4555B"/>
    <w:rsid w:val="00AA746D"/>
    <w:rsid w:val="00AB1354"/>
    <w:rsid w:val="00B233B8"/>
    <w:rsid w:val="00B537E4"/>
    <w:rsid w:val="00BA7867"/>
    <w:rsid w:val="00BD01C7"/>
    <w:rsid w:val="00BF65AF"/>
    <w:rsid w:val="00CA679F"/>
    <w:rsid w:val="00CB11C0"/>
    <w:rsid w:val="00CC7785"/>
    <w:rsid w:val="00D334B1"/>
    <w:rsid w:val="00D51A50"/>
    <w:rsid w:val="00D97DAF"/>
    <w:rsid w:val="00DA7405"/>
    <w:rsid w:val="00DE582F"/>
    <w:rsid w:val="00DF432F"/>
    <w:rsid w:val="00E138B0"/>
    <w:rsid w:val="00E47604"/>
    <w:rsid w:val="00E53B52"/>
    <w:rsid w:val="00E83BF6"/>
    <w:rsid w:val="00F07EAD"/>
    <w:rsid w:val="00F4075B"/>
    <w:rsid w:val="00F50935"/>
    <w:rsid w:val="00F6616F"/>
    <w:rsid w:val="00F94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E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C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99"/>
    <w:qFormat/>
    <w:rsid w:val="00010DC6"/>
    <w:pPr>
      <w:keepNext/>
      <w:keepLines/>
      <w:spacing w:before="240" w:after="120" w:line="259" w:lineRule="atLeast"/>
      <w:ind w:left="2304" w:hanging="2304"/>
    </w:pPr>
    <w:rPr>
      <w:rFonts w:ascii="Arial" w:eastAsia="Times New Roman" w:hAnsi="Arial" w:cs="Times New Roman"/>
      <w:b/>
      <w:bCs/>
      <w:szCs w:val="20"/>
    </w:rPr>
  </w:style>
  <w:style w:type="character" w:customStyle="1" w:styleId="CaptionChar">
    <w:name w:val="Caption Char"/>
    <w:link w:val="Caption"/>
    <w:uiPriority w:val="99"/>
    <w:locked/>
    <w:rsid w:val="00010DC6"/>
    <w:rPr>
      <w:rFonts w:ascii="Arial" w:eastAsia="Times New Roman" w:hAnsi="Arial" w:cs="Times New Roman"/>
      <w:b/>
      <w:bCs/>
      <w:szCs w:val="20"/>
    </w:rPr>
  </w:style>
  <w:style w:type="paragraph" w:styleId="BalloonText">
    <w:name w:val="Balloon Text"/>
    <w:basedOn w:val="Normal"/>
    <w:link w:val="BalloonTextChar"/>
    <w:uiPriority w:val="99"/>
    <w:semiHidden/>
    <w:unhideWhenUsed/>
    <w:rsid w:val="00010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DC6"/>
    <w:rPr>
      <w:rFonts w:ascii="Tahoma" w:eastAsiaTheme="minorEastAsia" w:hAnsi="Tahoma" w:cs="Tahoma"/>
      <w:sz w:val="16"/>
      <w:szCs w:val="16"/>
    </w:rPr>
  </w:style>
  <w:style w:type="paragraph" w:styleId="ListParagraph">
    <w:name w:val="List Paragraph"/>
    <w:basedOn w:val="Normal"/>
    <w:uiPriority w:val="34"/>
    <w:qFormat/>
    <w:rsid w:val="001B7206"/>
    <w:pPr>
      <w:ind w:left="720"/>
      <w:contextualSpacing/>
    </w:pPr>
  </w:style>
  <w:style w:type="character" w:styleId="CommentReference">
    <w:name w:val="annotation reference"/>
    <w:basedOn w:val="DefaultParagraphFont"/>
    <w:uiPriority w:val="99"/>
    <w:semiHidden/>
    <w:unhideWhenUsed/>
    <w:rsid w:val="00F4075B"/>
    <w:rPr>
      <w:sz w:val="16"/>
      <w:szCs w:val="16"/>
    </w:rPr>
  </w:style>
  <w:style w:type="paragraph" w:styleId="CommentText">
    <w:name w:val="annotation text"/>
    <w:basedOn w:val="Normal"/>
    <w:link w:val="CommentTextChar"/>
    <w:uiPriority w:val="99"/>
    <w:semiHidden/>
    <w:unhideWhenUsed/>
    <w:rsid w:val="00F4075B"/>
    <w:pPr>
      <w:spacing w:line="240" w:lineRule="auto"/>
    </w:pPr>
    <w:rPr>
      <w:sz w:val="20"/>
      <w:szCs w:val="20"/>
    </w:rPr>
  </w:style>
  <w:style w:type="character" w:customStyle="1" w:styleId="CommentTextChar">
    <w:name w:val="Comment Text Char"/>
    <w:basedOn w:val="DefaultParagraphFont"/>
    <w:link w:val="CommentText"/>
    <w:uiPriority w:val="99"/>
    <w:semiHidden/>
    <w:rsid w:val="00F4075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075B"/>
    <w:rPr>
      <w:b/>
      <w:bCs/>
    </w:rPr>
  </w:style>
  <w:style w:type="character" w:customStyle="1" w:styleId="CommentSubjectChar">
    <w:name w:val="Comment Subject Char"/>
    <w:basedOn w:val="CommentTextChar"/>
    <w:link w:val="CommentSubject"/>
    <w:uiPriority w:val="99"/>
    <w:semiHidden/>
    <w:rsid w:val="00F4075B"/>
    <w:rPr>
      <w:rFonts w:eastAsiaTheme="minorEastAsia"/>
      <w:b/>
      <w:bCs/>
      <w:sz w:val="20"/>
      <w:szCs w:val="20"/>
    </w:rPr>
  </w:style>
  <w:style w:type="paragraph" w:customStyle="1" w:styleId="mdTblEntry">
    <w:name w:val="md_Tbl Entry"/>
    <w:basedOn w:val="Normal"/>
    <w:link w:val="mdTblEntryChar"/>
    <w:uiPriority w:val="99"/>
    <w:rsid w:val="00482506"/>
    <w:pPr>
      <w:keepLines/>
      <w:spacing w:after="0" w:line="259" w:lineRule="atLeast"/>
    </w:pPr>
    <w:rPr>
      <w:rFonts w:ascii="Times New Roman" w:eastAsia="Times New Roman" w:hAnsi="Times New Roman" w:cs="Times New Roman"/>
      <w:sz w:val="20"/>
      <w:szCs w:val="20"/>
    </w:rPr>
  </w:style>
  <w:style w:type="table" w:styleId="TableGrid">
    <w:name w:val="Table Grid"/>
    <w:basedOn w:val="TableNormal"/>
    <w:uiPriority w:val="59"/>
    <w:rsid w:val="0048250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8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506"/>
    <w:rPr>
      <w:rFonts w:eastAsiaTheme="minorEastAsia"/>
    </w:rPr>
  </w:style>
  <w:style w:type="character" w:customStyle="1" w:styleId="mdTblEntryChar">
    <w:name w:val="md_Tbl Entry Char"/>
    <w:basedOn w:val="DefaultParagraphFont"/>
    <w:link w:val="mdTblEntry"/>
    <w:uiPriority w:val="99"/>
    <w:rsid w:val="00482506"/>
    <w:rPr>
      <w:rFonts w:ascii="Times New Roman" w:eastAsia="Times New Roman" w:hAnsi="Times New Roman" w:cs="Times New Roman"/>
      <w:sz w:val="20"/>
      <w:szCs w:val="20"/>
    </w:rPr>
  </w:style>
  <w:style w:type="table" w:styleId="LightShading">
    <w:name w:val="Light Shading"/>
    <w:basedOn w:val="TableNormal"/>
    <w:uiPriority w:val="60"/>
    <w:rsid w:val="00482506"/>
    <w:pPr>
      <w:spacing w:after="0" w:line="240" w:lineRule="auto"/>
    </w:pPr>
    <w:rPr>
      <w:rFonts w:eastAsiaTheme="minorEastAsia"/>
      <w:color w:val="000000" w:themeColor="text1" w:themeShade="BF"/>
      <w:sz w:val="24"/>
      <w:szCs w:val="24"/>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48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506"/>
    <w:rPr>
      <w:rFonts w:eastAsiaTheme="minorEastAsia"/>
    </w:rPr>
  </w:style>
  <w:style w:type="character" w:styleId="Hyperlink">
    <w:name w:val="Hyperlink"/>
    <w:basedOn w:val="DefaultParagraphFont"/>
    <w:uiPriority w:val="99"/>
    <w:semiHidden/>
    <w:unhideWhenUsed/>
    <w:rsid w:val="00403A49"/>
    <w:rPr>
      <w:strike w:val="0"/>
      <w:dstrike w:val="0"/>
      <w:color w:val="0000FF"/>
      <w:u w:val="none"/>
      <w:effect w:val="none"/>
    </w:rPr>
  </w:style>
  <w:style w:type="paragraph" w:customStyle="1" w:styleId="Default">
    <w:name w:val="Default"/>
    <w:rsid w:val="00272411"/>
    <w:pPr>
      <w:autoSpaceDE w:val="0"/>
      <w:autoSpaceDN w:val="0"/>
      <w:adjustRightInd w:val="0"/>
      <w:spacing w:after="0" w:line="240" w:lineRule="auto"/>
    </w:pPr>
    <w:rPr>
      <w:rFonts w:ascii="Palatino Linotype" w:hAnsi="Palatino Linotype" w:cs="Palatino Linotyp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C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99"/>
    <w:qFormat/>
    <w:rsid w:val="00010DC6"/>
    <w:pPr>
      <w:keepNext/>
      <w:keepLines/>
      <w:spacing w:before="240" w:after="120" w:line="259" w:lineRule="atLeast"/>
      <w:ind w:left="2304" w:hanging="2304"/>
    </w:pPr>
    <w:rPr>
      <w:rFonts w:ascii="Arial" w:eastAsia="Times New Roman" w:hAnsi="Arial" w:cs="Times New Roman"/>
      <w:b/>
      <w:bCs/>
      <w:szCs w:val="20"/>
    </w:rPr>
  </w:style>
  <w:style w:type="character" w:customStyle="1" w:styleId="CaptionChar">
    <w:name w:val="Caption Char"/>
    <w:link w:val="Caption"/>
    <w:uiPriority w:val="99"/>
    <w:locked/>
    <w:rsid w:val="00010DC6"/>
    <w:rPr>
      <w:rFonts w:ascii="Arial" w:eastAsia="Times New Roman" w:hAnsi="Arial" w:cs="Times New Roman"/>
      <w:b/>
      <w:bCs/>
      <w:szCs w:val="20"/>
    </w:rPr>
  </w:style>
  <w:style w:type="paragraph" w:styleId="BalloonText">
    <w:name w:val="Balloon Text"/>
    <w:basedOn w:val="Normal"/>
    <w:link w:val="BalloonTextChar"/>
    <w:uiPriority w:val="99"/>
    <w:semiHidden/>
    <w:unhideWhenUsed/>
    <w:rsid w:val="00010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DC6"/>
    <w:rPr>
      <w:rFonts w:ascii="Tahoma" w:eastAsiaTheme="minorEastAsia" w:hAnsi="Tahoma" w:cs="Tahoma"/>
      <w:sz w:val="16"/>
      <w:szCs w:val="16"/>
    </w:rPr>
  </w:style>
  <w:style w:type="paragraph" w:styleId="ListParagraph">
    <w:name w:val="List Paragraph"/>
    <w:basedOn w:val="Normal"/>
    <w:uiPriority w:val="34"/>
    <w:qFormat/>
    <w:rsid w:val="001B7206"/>
    <w:pPr>
      <w:ind w:left="720"/>
      <w:contextualSpacing/>
    </w:pPr>
  </w:style>
  <w:style w:type="character" w:styleId="CommentReference">
    <w:name w:val="annotation reference"/>
    <w:basedOn w:val="DefaultParagraphFont"/>
    <w:uiPriority w:val="99"/>
    <w:semiHidden/>
    <w:unhideWhenUsed/>
    <w:rsid w:val="00F4075B"/>
    <w:rPr>
      <w:sz w:val="16"/>
      <w:szCs w:val="16"/>
    </w:rPr>
  </w:style>
  <w:style w:type="paragraph" w:styleId="CommentText">
    <w:name w:val="annotation text"/>
    <w:basedOn w:val="Normal"/>
    <w:link w:val="CommentTextChar"/>
    <w:uiPriority w:val="99"/>
    <w:semiHidden/>
    <w:unhideWhenUsed/>
    <w:rsid w:val="00F4075B"/>
    <w:pPr>
      <w:spacing w:line="240" w:lineRule="auto"/>
    </w:pPr>
    <w:rPr>
      <w:sz w:val="20"/>
      <w:szCs w:val="20"/>
    </w:rPr>
  </w:style>
  <w:style w:type="character" w:customStyle="1" w:styleId="CommentTextChar">
    <w:name w:val="Comment Text Char"/>
    <w:basedOn w:val="DefaultParagraphFont"/>
    <w:link w:val="CommentText"/>
    <w:uiPriority w:val="99"/>
    <w:semiHidden/>
    <w:rsid w:val="00F4075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075B"/>
    <w:rPr>
      <w:b/>
      <w:bCs/>
    </w:rPr>
  </w:style>
  <w:style w:type="character" w:customStyle="1" w:styleId="CommentSubjectChar">
    <w:name w:val="Comment Subject Char"/>
    <w:basedOn w:val="CommentTextChar"/>
    <w:link w:val="CommentSubject"/>
    <w:uiPriority w:val="99"/>
    <w:semiHidden/>
    <w:rsid w:val="00F4075B"/>
    <w:rPr>
      <w:rFonts w:eastAsiaTheme="minorEastAsia"/>
      <w:b/>
      <w:bCs/>
      <w:sz w:val="20"/>
      <w:szCs w:val="20"/>
    </w:rPr>
  </w:style>
  <w:style w:type="paragraph" w:customStyle="1" w:styleId="mdTblEntry">
    <w:name w:val="md_Tbl Entry"/>
    <w:basedOn w:val="Normal"/>
    <w:link w:val="mdTblEntryChar"/>
    <w:uiPriority w:val="99"/>
    <w:rsid w:val="00482506"/>
    <w:pPr>
      <w:keepLines/>
      <w:spacing w:after="0" w:line="259" w:lineRule="atLeast"/>
    </w:pPr>
    <w:rPr>
      <w:rFonts w:ascii="Times New Roman" w:eastAsia="Times New Roman" w:hAnsi="Times New Roman" w:cs="Times New Roman"/>
      <w:sz w:val="20"/>
      <w:szCs w:val="20"/>
    </w:rPr>
  </w:style>
  <w:style w:type="table" w:styleId="TableGrid">
    <w:name w:val="Table Grid"/>
    <w:basedOn w:val="TableNormal"/>
    <w:uiPriority w:val="59"/>
    <w:rsid w:val="0048250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8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506"/>
    <w:rPr>
      <w:rFonts w:eastAsiaTheme="minorEastAsia"/>
    </w:rPr>
  </w:style>
  <w:style w:type="character" w:customStyle="1" w:styleId="mdTblEntryChar">
    <w:name w:val="md_Tbl Entry Char"/>
    <w:basedOn w:val="DefaultParagraphFont"/>
    <w:link w:val="mdTblEntry"/>
    <w:uiPriority w:val="99"/>
    <w:rsid w:val="00482506"/>
    <w:rPr>
      <w:rFonts w:ascii="Times New Roman" w:eastAsia="Times New Roman" w:hAnsi="Times New Roman" w:cs="Times New Roman"/>
      <w:sz w:val="20"/>
      <w:szCs w:val="20"/>
    </w:rPr>
  </w:style>
  <w:style w:type="table" w:styleId="LightShading">
    <w:name w:val="Light Shading"/>
    <w:basedOn w:val="TableNormal"/>
    <w:uiPriority w:val="60"/>
    <w:rsid w:val="00482506"/>
    <w:pPr>
      <w:spacing w:after="0" w:line="240" w:lineRule="auto"/>
    </w:pPr>
    <w:rPr>
      <w:rFonts w:eastAsiaTheme="minorEastAsia"/>
      <w:color w:val="000000" w:themeColor="text1" w:themeShade="BF"/>
      <w:sz w:val="24"/>
      <w:szCs w:val="24"/>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48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506"/>
    <w:rPr>
      <w:rFonts w:eastAsiaTheme="minorEastAsia"/>
    </w:rPr>
  </w:style>
  <w:style w:type="character" w:styleId="Hyperlink">
    <w:name w:val="Hyperlink"/>
    <w:basedOn w:val="DefaultParagraphFont"/>
    <w:uiPriority w:val="99"/>
    <w:semiHidden/>
    <w:unhideWhenUsed/>
    <w:rsid w:val="00403A49"/>
    <w:rPr>
      <w:strike w:val="0"/>
      <w:dstrike w:val="0"/>
      <w:color w:val="0000FF"/>
      <w:u w:val="none"/>
      <w:effect w:val="none"/>
    </w:rPr>
  </w:style>
  <w:style w:type="paragraph" w:customStyle="1" w:styleId="Default">
    <w:name w:val="Default"/>
    <w:rsid w:val="00272411"/>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2969</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inVentiv Health</Company>
  <LinksUpToDate>false</LinksUpToDate>
  <CharactersWithSpaces>19857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Meghan Greenwood</dc:creator>
  <cp:lastModifiedBy>Iraimoudi.Ayene</cp:lastModifiedBy>
  <cp:revision>2</cp:revision>
  <dcterms:created xsi:type="dcterms:W3CDTF">2018-09-12T17:18:00Z</dcterms:created>
  <dcterms:modified xsi:type="dcterms:W3CDTF">2018-09-12T17:18:00Z</dcterms:modified>
</cp:coreProperties>
</file>