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0A6A2" w14:textId="7B3BDA9D" w:rsidR="001A7935" w:rsidRPr="00F55F8E" w:rsidRDefault="001A7935" w:rsidP="001A7935">
      <w:pPr>
        <w:spacing w:after="0" w:line="480" w:lineRule="auto"/>
        <w:jc w:val="center"/>
        <w:rPr>
          <w:rFonts w:ascii="Times New Roman" w:hAnsi="Times New Roman" w:cs="Times New Roman"/>
          <w:b/>
        </w:rPr>
      </w:pPr>
      <w:r w:rsidRPr="00F55F8E">
        <w:rPr>
          <w:rFonts w:ascii="Times New Roman" w:hAnsi="Times New Roman" w:cs="Times New Roman"/>
          <w:b/>
        </w:rPr>
        <w:t xml:space="preserve">Supplementary </w:t>
      </w:r>
      <w:r w:rsidR="00762EEB">
        <w:rPr>
          <w:rFonts w:ascii="Times New Roman" w:hAnsi="Times New Roman" w:cs="Times New Roman"/>
          <w:b/>
        </w:rPr>
        <w:t>Information</w:t>
      </w:r>
    </w:p>
    <w:p w14:paraId="21E54615" w14:textId="77777777" w:rsidR="001A7935" w:rsidRPr="00F55F8E" w:rsidRDefault="001A7935" w:rsidP="001A7935">
      <w:pPr>
        <w:spacing w:after="0" w:line="480" w:lineRule="auto"/>
        <w:jc w:val="center"/>
        <w:rPr>
          <w:rFonts w:ascii="Times New Roman" w:hAnsi="Times New Roman" w:cs="Times New Roman"/>
          <w:b/>
        </w:rPr>
      </w:pPr>
    </w:p>
    <w:p w14:paraId="28F936F0" w14:textId="77777777" w:rsidR="001A7935" w:rsidRPr="00F55F8E" w:rsidRDefault="001A7935" w:rsidP="001A7935">
      <w:pPr>
        <w:spacing w:after="0" w:line="480" w:lineRule="auto"/>
        <w:jc w:val="center"/>
        <w:rPr>
          <w:rFonts w:ascii="Times New Roman" w:hAnsi="Times New Roman" w:cs="Times New Roman"/>
          <w:b/>
        </w:rPr>
      </w:pPr>
      <w:r w:rsidRPr="00F55F8E">
        <w:rPr>
          <w:rFonts w:ascii="Times New Roman" w:hAnsi="Times New Roman" w:cs="Times New Roman"/>
          <w:b/>
        </w:rPr>
        <w:t>Characterization of homologous recombination deficiency in paired primary and recurrent high-grade serous ovarian cancer</w:t>
      </w:r>
    </w:p>
    <w:p w14:paraId="7BBD4F54" w14:textId="77777777" w:rsidR="001A7935" w:rsidRPr="00F55F8E" w:rsidRDefault="001A7935" w:rsidP="001A7935">
      <w:pPr>
        <w:spacing w:after="0" w:line="480" w:lineRule="auto"/>
        <w:jc w:val="both"/>
        <w:rPr>
          <w:rFonts w:ascii="Times New Roman" w:hAnsi="Times New Roman" w:cs="Times New Roman"/>
        </w:rPr>
      </w:pPr>
    </w:p>
    <w:p w14:paraId="289947EC" w14:textId="55FEC4E3"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Jai N. Patel</w:t>
      </w:r>
      <w:r w:rsidRPr="00F55F8E">
        <w:rPr>
          <w:rFonts w:ascii="Times New Roman" w:hAnsi="Times New Roman" w:cs="Times New Roman"/>
          <w:vertAlign w:val="superscript"/>
        </w:rPr>
        <w:t>1</w:t>
      </w:r>
      <w:r w:rsidRPr="00F55F8E">
        <w:rPr>
          <w:rFonts w:ascii="Times New Roman" w:hAnsi="Times New Roman" w:cs="Times New Roman"/>
        </w:rPr>
        <w:t>, Ioana Braicu</w:t>
      </w:r>
      <w:r w:rsidRPr="00F55F8E">
        <w:rPr>
          <w:rFonts w:ascii="Times New Roman" w:hAnsi="Times New Roman" w:cs="Times New Roman"/>
          <w:vertAlign w:val="superscript"/>
        </w:rPr>
        <w:t>2</w:t>
      </w:r>
      <w:r w:rsidRPr="00F55F8E">
        <w:rPr>
          <w:rFonts w:ascii="Times New Roman" w:hAnsi="Times New Roman" w:cs="Times New Roman"/>
        </w:rPr>
        <w:t>, Kirsten M. Timms</w:t>
      </w:r>
      <w:r w:rsidRPr="00F55F8E">
        <w:rPr>
          <w:rFonts w:ascii="Times New Roman" w:hAnsi="Times New Roman" w:cs="Times New Roman"/>
          <w:vertAlign w:val="superscript"/>
        </w:rPr>
        <w:t>4</w:t>
      </w:r>
      <w:r w:rsidRPr="00F55F8E">
        <w:rPr>
          <w:rFonts w:ascii="Times New Roman" w:hAnsi="Times New Roman" w:cs="Times New Roman"/>
        </w:rPr>
        <w:t>, Cara Solimeno</w:t>
      </w:r>
      <w:r w:rsidRPr="00F55F8E">
        <w:rPr>
          <w:rFonts w:ascii="Times New Roman" w:hAnsi="Times New Roman" w:cs="Times New Roman"/>
          <w:vertAlign w:val="superscript"/>
        </w:rPr>
        <w:t>4</w:t>
      </w:r>
      <w:r w:rsidRPr="00F55F8E">
        <w:rPr>
          <w:rFonts w:ascii="Times New Roman" w:hAnsi="Times New Roman" w:cs="Times New Roman"/>
        </w:rPr>
        <w:t>, Placede Tshiaba</w:t>
      </w:r>
      <w:r w:rsidRPr="00F55F8E">
        <w:rPr>
          <w:rFonts w:ascii="Times New Roman" w:hAnsi="Times New Roman" w:cs="Times New Roman"/>
          <w:vertAlign w:val="superscript"/>
        </w:rPr>
        <w:t>4</w:t>
      </w:r>
      <w:r w:rsidRPr="00F55F8E">
        <w:rPr>
          <w:rFonts w:ascii="Times New Roman" w:hAnsi="Times New Roman" w:cs="Times New Roman"/>
        </w:rPr>
        <w:t>, Julia Reid</w:t>
      </w:r>
      <w:r w:rsidRPr="00F55F8E">
        <w:rPr>
          <w:rFonts w:ascii="Times New Roman" w:hAnsi="Times New Roman" w:cs="Times New Roman"/>
          <w:vertAlign w:val="superscript"/>
        </w:rPr>
        <w:t>4</w:t>
      </w:r>
      <w:r w:rsidRPr="00F55F8E">
        <w:rPr>
          <w:rFonts w:ascii="Times New Roman" w:hAnsi="Times New Roman" w:cs="Times New Roman"/>
        </w:rPr>
        <w:t>, Jerry S. Lanchbury</w:t>
      </w:r>
      <w:r w:rsidRPr="00F55F8E">
        <w:rPr>
          <w:rFonts w:ascii="Times New Roman" w:hAnsi="Times New Roman" w:cs="Times New Roman"/>
          <w:vertAlign w:val="superscript"/>
        </w:rPr>
        <w:t>4</w:t>
      </w:r>
      <w:r w:rsidRPr="00F55F8E">
        <w:rPr>
          <w:rFonts w:ascii="Times New Roman" w:hAnsi="Times New Roman" w:cs="Times New Roman"/>
        </w:rPr>
        <w:t>, Silvia Darb-Esfahani</w:t>
      </w:r>
      <w:r w:rsidRPr="00F55F8E">
        <w:rPr>
          <w:rFonts w:ascii="Times New Roman" w:hAnsi="Times New Roman" w:cs="Times New Roman"/>
          <w:vertAlign w:val="superscript"/>
        </w:rPr>
        <w:t>3</w:t>
      </w:r>
      <w:r w:rsidRPr="00F55F8E">
        <w:rPr>
          <w:rFonts w:ascii="Times New Roman" w:hAnsi="Times New Roman" w:cs="Times New Roman"/>
        </w:rPr>
        <w:t>, Mahrukh K. Ganapathi</w:t>
      </w:r>
      <w:r w:rsidRPr="00F55F8E">
        <w:rPr>
          <w:rFonts w:ascii="Times New Roman" w:hAnsi="Times New Roman" w:cs="Times New Roman"/>
          <w:vertAlign w:val="superscript"/>
        </w:rPr>
        <w:t>1</w:t>
      </w:r>
      <w:r w:rsidRPr="00F55F8E">
        <w:rPr>
          <w:rFonts w:ascii="Times New Roman" w:hAnsi="Times New Roman" w:cs="Times New Roman"/>
        </w:rPr>
        <w:t>, Jalid Sehouli</w:t>
      </w:r>
      <w:r w:rsidRPr="00F55F8E">
        <w:rPr>
          <w:rFonts w:ascii="Times New Roman" w:hAnsi="Times New Roman" w:cs="Times New Roman"/>
          <w:vertAlign w:val="superscript"/>
        </w:rPr>
        <w:t>2</w:t>
      </w:r>
      <w:r w:rsidRPr="00F55F8E">
        <w:rPr>
          <w:rFonts w:ascii="Times New Roman" w:hAnsi="Times New Roman" w:cs="Times New Roman"/>
        </w:rPr>
        <w:t>, Ram N. Ganapathi</w:t>
      </w:r>
      <w:r w:rsidRPr="00F55F8E">
        <w:rPr>
          <w:rFonts w:ascii="Times New Roman" w:hAnsi="Times New Roman" w:cs="Times New Roman"/>
          <w:vertAlign w:val="superscript"/>
        </w:rPr>
        <w:t>1</w:t>
      </w:r>
      <w:r w:rsidRPr="00F55F8E">
        <w:rPr>
          <w:rFonts w:ascii="Times New Roman" w:hAnsi="Times New Roman" w:cs="Times New Roman"/>
        </w:rPr>
        <w:t xml:space="preserve"> </w:t>
      </w:r>
    </w:p>
    <w:p w14:paraId="1B68ECB2" w14:textId="77777777" w:rsidR="001A7935" w:rsidRPr="00F55F8E" w:rsidRDefault="001A7935" w:rsidP="001A7935">
      <w:pPr>
        <w:spacing w:after="0" w:line="480" w:lineRule="auto"/>
        <w:jc w:val="both"/>
        <w:rPr>
          <w:rFonts w:ascii="Times New Roman" w:hAnsi="Times New Roman" w:cs="Times New Roman"/>
        </w:rPr>
      </w:pPr>
    </w:p>
    <w:p w14:paraId="295AA544"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vertAlign w:val="superscript"/>
        </w:rPr>
        <w:t>1</w:t>
      </w:r>
      <w:r w:rsidRPr="00F55F8E">
        <w:rPr>
          <w:rFonts w:ascii="Times New Roman" w:hAnsi="Times New Roman" w:cs="Times New Roman"/>
        </w:rPr>
        <w:t xml:space="preserve">Levine Cancer Institute, Carolinas HealthCare System, Charlotte, NC, </w:t>
      </w:r>
      <w:r w:rsidRPr="00F55F8E">
        <w:rPr>
          <w:rFonts w:ascii="Times New Roman" w:hAnsi="Times New Roman" w:cs="Times New Roman"/>
          <w:vertAlign w:val="superscript"/>
        </w:rPr>
        <w:t>2</w:t>
      </w:r>
      <w:r w:rsidRPr="00F55F8E">
        <w:rPr>
          <w:rFonts w:ascii="Times New Roman" w:hAnsi="Times New Roman" w:cs="Times New Roman"/>
        </w:rPr>
        <w:t xml:space="preserve">Charité – Universitätsmedizin Berlin, corporate member of Freie Universität Berlin, Humboldt-Universität zu Berlin, and Berlin Institute of Health, Department of Gynecology, Campus Virchow, Germany; </w:t>
      </w:r>
      <w:r w:rsidRPr="00F55F8E">
        <w:rPr>
          <w:rFonts w:ascii="Times New Roman" w:hAnsi="Times New Roman" w:cs="Times New Roman"/>
          <w:vertAlign w:val="superscript"/>
        </w:rPr>
        <w:t>3</w:t>
      </w:r>
      <w:r w:rsidRPr="00F55F8E">
        <w:rPr>
          <w:rFonts w:ascii="Times New Roman" w:hAnsi="Times New Roman" w:cs="Times New Roman"/>
          <w:iCs/>
        </w:rPr>
        <w:t>Charité – Universitätsmedizin Berlin, corporate member of Freie Universität Berlin, Humboldt-Universität zu Berlin, and Berlin Institute of Health, Department of Pathology, Germany</w:t>
      </w:r>
      <w:r w:rsidRPr="00F55F8E">
        <w:rPr>
          <w:rFonts w:ascii="Times New Roman" w:hAnsi="Times New Roman" w:cs="Times New Roman"/>
        </w:rPr>
        <w:t xml:space="preserve">; </w:t>
      </w:r>
      <w:r w:rsidRPr="00F55F8E">
        <w:rPr>
          <w:rFonts w:ascii="Times New Roman" w:hAnsi="Times New Roman" w:cs="Times New Roman"/>
          <w:vertAlign w:val="superscript"/>
        </w:rPr>
        <w:t>4</w:t>
      </w:r>
      <w:r w:rsidRPr="00F55F8E">
        <w:rPr>
          <w:rFonts w:ascii="Times New Roman" w:hAnsi="Times New Roman" w:cs="Times New Roman"/>
        </w:rPr>
        <w:t>Myriad Genetics, Inc., Salt Lake City, UT</w:t>
      </w:r>
    </w:p>
    <w:p w14:paraId="1582E5F7"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Correspondence to:</w:t>
      </w:r>
      <w:r w:rsidRPr="00F55F8E">
        <w:rPr>
          <w:rFonts w:ascii="Times New Roman" w:hAnsi="Times New Roman" w:cs="Times New Roman"/>
        </w:rPr>
        <w:tab/>
        <w:t>Ram N. Ganapathi</w:t>
      </w:r>
    </w:p>
    <w:p w14:paraId="59BCFA6A"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ab/>
      </w:r>
      <w:r w:rsidRPr="00F55F8E">
        <w:rPr>
          <w:rFonts w:ascii="Times New Roman" w:hAnsi="Times New Roman" w:cs="Times New Roman"/>
        </w:rPr>
        <w:tab/>
      </w:r>
      <w:r w:rsidRPr="00F55F8E">
        <w:rPr>
          <w:rFonts w:ascii="Times New Roman" w:hAnsi="Times New Roman" w:cs="Times New Roman"/>
        </w:rPr>
        <w:tab/>
        <w:t>Levine Cancer Institute, Suite 3100</w:t>
      </w:r>
    </w:p>
    <w:p w14:paraId="41DF8B80"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ab/>
      </w:r>
      <w:r w:rsidRPr="00F55F8E">
        <w:rPr>
          <w:rFonts w:ascii="Times New Roman" w:hAnsi="Times New Roman" w:cs="Times New Roman"/>
        </w:rPr>
        <w:tab/>
      </w:r>
      <w:r w:rsidRPr="00F55F8E">
        <w:rPr>
          <w:rFonts w:ascii="Times New Roman" w:hAnsi="Times New Roman" w:cs="Times New Roman"/>
        </w:rPr>
        <w:tab/>
        <w:t>Carolinas HealthCare System</w:t>
      </w:r>
    </w:p>
    <w:p w14:paraId="37F782EB"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ab/>
      </w:r>
      <w:r w:rsidRPr="00F55F8E">
        <w:rPr>
          <w:rFonts w:ascii="Times New Roman" w:hAnsi="Times New Roman" w:cs="Times New Roman"/>
        </w:rPr>
        <w:tab/>
      </w:r>
      <w:r w:rsidRPr="00F55F8E">
        <w:rPr>
          <w:rFonts w:ascii="Times New Roman" w:hAnsi="Times New Roman" w:cs="Times New Roman"/>
        </w:rPr>
        <w:tab/>
        <w:t>1021 Morehead Medical Drive</w:t>
      </w:r>
    </w:p>
    <w:p w14:paraId="2D664DE9"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ab/>
      </w:r>
      <w:r w:rsidRPr="00F55F8E">
        <w:rPr>
          <w:rFonts w:ascii="Times New Roman" w:hAnsi="Times New Roman" w:cs="Times New Roman"/>
        </w:rPr>
        <w:tab/>
      </w:r>
      <w:r w:rsidRPr="00F55F8E">
        <w:rPr>
          <w:rFonts w:ascii="Times New Roman" w:hAnsi="Times New Roman" w:cs="Times New Roman"/>
        </w:rPr>
        <w:tab/>
        <w:t xml:space="preserve">Charlotte, NC 28204-2839 </w:t>
      </w:r>
    </w:p>
    <w:p w14:paraId="48C7A3A2" w14:textId="77777777" w:rsidR="001A7935" w:rsidRPr="00F55F8E" w:rsidRDefault="001A7935" w:rsidP="001A7935">
      <w:pPr>
        <w:spacing w:after="0" w:line="480" w:lineRule="auto"/>
        <w:ind w:left="1440" w:firstLine="720"/>
        <w:jc w:val="both"/>
        <w:rPr>
          <w:rStyle w:val="Hyperlink"/>
          <w:rFonts w:ascii="Times New Roman" w:hAnsi="Times New Roman" w:cs="Times New Roman"/>
        </w:rPr>
      </w:pPr>
      <w:r w:rsidRPr="00F55F8E">
        <w:rPr>
          <w:rFonts w:ascii="Times New Roman" w:hAnsi="Times New Roman" w:cs="Times New Roman"/>
        </w:rPr>
        <w:t>Email: ram.ganapathi@carolinashealthcare.org</w:t>
      </w:r>
    </w:p>
    <w:p w14:paraId="2DDD5C56" w14:textId="77777777" w:rsidR="001A7935" w:rsidRPr="00F55F8E" w:rsidRDefault="001A7935" w:rsidP="001A7935">
      <w:pPr>
        <w:spacing w:after="0" w:line="480" w:lineRule="auto"/>
        <w:ind w:left="1440" w:firstLine="720"/>
        <w:jc w:val="both"/>
        <w:rPr>
          <w:rFonts w:ascii="Times New Roman" w:hAnsi="Times New Roman" w:cs="Times New Roman"/>
        </w:rPr>
      </w:pPr>
      <w:r w:rsidRPr="00F55F8E">
        <w:rPr>
          <w:rStyle w:val="Hyperlink"/>
          <w:rFonts w:ascii="Times New Roman" w:hAnsi="Times New Roman" w:cs="Times New Roman"/>
        </w:rPr>
        <w:t>Tel: (704) 355-9759</w:t>
      </w:r>
    </w:p>
    <w:p w14:paraId="202C2AF5"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Running title: HRD characteristics in paired HGSOC samples</w:t>
      </w:r>
    </w:p>
    <w:p w14:paraId="5978B911" w14:textId="77777777" w:rsidR="001A7935" w:rsidRPr="00F55F8E" w:rsidRDefault="001A7935" w:rsidP="001A7935">
      <w:pPr>
        <w:spacing w:after="0" w:line="480" w:lineRule="auto"/>
        <w:jc w:val="both"/>
        <w:rPr>
          <w:rFonts w:ascii="Times New Roman" w:hAnsi="Times New Roman" w:cs="Times New Roman"/>
        </w:rPr>
      </w:pPr>
      <w:r w:rsidRPr="00F55F8E">
        <w:rPr>
          <w:rFonts w:ascii="Times New Roman" w:hAnsi="Times New Roman" w:cs="Times New Roman"/>
        </w:rPr>
        <w:t>Correspondence: Ram Ganapathi (ram.ganapathi@carolinashealthcare.org) or Jalid Sehouli (</w:t>
      </w:r>
      <w:r w:rsidRPr="00F55F8E">
        <w:rPr>
          <w:rFonts w:ascii="Times New Roman" w:hAnsi="Times New Roman" w:cs="Times New Roman"/>
          <w:lang w:val="de-DE"/>
        </w:rPr>
        <w:t>jalid.Sehouli@charite.de)</w:t>
      </w:r>
    </w:p>
    <w:p w14:paraId="2C1B28CE" w14:textId="77777777" w:rsidR="001A7935" w:rsidRPr="00F55F8E" w:rsidRDefault="001A7935">
      <w:pPr>
        <w:spacing w:after="0" w:line="240" w:lineRule="auto"/>
        <w:rPr>
          <w:rFonts w:ascii="Times New Roman" w:hAnsi="Times New Roman" w:cs="Times New Roman"/>
          <w:i/>
        </w:rPr>
      </w:pPr>
      <w:r w:rsidRPr="00F55F8E">
        <w:rPr>
          <w:rFonts w:ascii="Times New Roman" w:hAnsi="Times New Roman" w:cs="Times New Roman"/>
          <w:i/>
        </w:rPr>
        <w:br w:type="page"/>
      </w:r>
    </w:p>
    <w:p w14:paraId="1A2E10FA" w14:textId="744DFF17" w:rsidR="00F55F8E" w:rsidRDefault="00F55F8E" w:rsidP="001A7935">
      <w:pPr>
        <w:spacing w:line="480" w:lineRule="auto"/>
        <w:jc w:val="both"/>
        <w:outlineLvl w:val="0"/>
        <w:rPr>
          <w:rFonts w:ascii="Times New Roman" w:hAnsi="Times New Roman" w:cs="Times New Roman"/>
          <w:i/>
        </w:rPr>
      </w:pPr>
      <w:r w:rsidRPr="00F55F8E">
        <w:rPr>
          <w:rFonts w:ascii="Times New Roman" w:hAnsi="Times New Roman" w:cs="Times New Roman"/>
          <w:i/>
        </w:rPr>
        <w:lastRenderedPageBreak/>
        <w:t>Supplementary Methods</w:t>
      </w:r>
    </w:p>
    <w:p w14:paraId="7AEDAF8F" w14:textId="0C0BD8A4" w:rsidR="00762EEB" w:rsidRPr="00762EEB" w:rsidRDefault="003801E1" w:rsidP="001A7935">
      <w:pPr>
        <w:spacing w:line="480" w:lineRule="auto"/>
        <w:jc w:val="both"/>
        <w:outlineLvl w:val="0"/>
        <w:rPr>
          <w:rFonts w:ascii="Times New Roman" w:hAnsi="Times New Roman" w:cs="Times New Roman"/>
        </w:rPr>
      </w:pPr>
      <w:r>
        <w:rPr>
          <w:rFonts w:ascii="Times New Roman" w:hAnsi="Times New Roman" w:cs="Times New Roman"/>
        </w:rPr>
        <w:t xml:space="preserve">This includes a detailed description of the molecular assays and analysis methods utilized in this study. </w:t>
      </w:r>
      <w:r w:rsidR="00FE1CEF">
        <w:rPr>
          <w:rFonts w:ascii="Times New Roman" w:hAnsi="Times New Roman" w:cs="Times New Roman"/>
        </w:rPr>
        <w:t xml:space="preserve"> </w:t>
      </w:r>
      <w:r>
        <w:rPr>
          <w:rFonts w:ascii="Times New Roman" w:hAnsi="Times New Roman" w:cs="Times New Roman"/>
        </w:rPr>
        <w:t>If methods have previously been described in detail in other publications then references to those publications is provided.</w:t>
      </w:r>
    </w:p>
    <w:p w14:paraId="15084909" w14:textId="468309C8" w:rsidR="001A7935" w:rsidRPr="00F55F8E" w:rsidRDefault="001A7935" w:rsidP="001A7935">
      <w:pPr>
        <w:spacing w:line="480" w:lineRule="auto"/>
        <w:jc w:val="both"/>
        <w:outlineLvl w:val="0"/>
        <w:rPr>
          <w:rFonts w:ascii="Times New Roman" w:hAnsi="Times New Roman" w:cs="Times New Roman"/>
          <w:i/>
        </w:rPr>
      </w:pPr>
      <w:r w:rsidRPr="00F55F8E">
        <w:rPr>
          <w:rFonts w:ascii="Times New Roman" w:hAnsi="Times New Roman" w:cs="Times New Roman"/>
          <w:i/>
        </w:rPr>
        <w:t xml:space="preserve">Molecular Analysis </w:t>
      </w:r>
    </w:p>
    <w:p w14:paraId="79E69EEE" w14:textId="4576CC6F" w:rsidR="001A7935" w:rsidRPr="00F55F8E" w:rsidRDefault="00470F20" w:rsidP="001A7935">
      <w:pPr>
        <w:spacing w:line="480" w:lineRule="auto"/>
        <w:ind w:firstLine="720"/>
        <w:jc w:val="both"/>
        <w:rPr>
          <w:rFonts w:ascii="Times New Roman" w:hAnsi="Times New Roman" w:cs="Times New Roman"/>
        </w:rPr>
      </w:pPr>
      <w:r w:rsidRPr="00F55F8E">
        <w:rPr>
          <w:rFonts w:ascii="Times New Roman" w:hAnsi="Times New Roman" w:cs="Times New Roman"/>
        </w:rPr>
        <w:t xml:space="preserve">DNA extraction: </w:t>
      </w:r>
      <w:r w:rsidR="001A7935" w:rsidRPr="00F55F8E">
        <w:rPr>
          <w:rFonts w:ascii="Times New Roman" w:hAnsi="Times New Roman" w:cs="Times New Roman"/>
        </w:rPr>
        <w:t>A</w:t>
      </w:r>
      <w:r w:rsidR="001A7935" w:rsidRPr="00F55F8E">
        <w:rPr>
          <w:rFonts w:ascii="Times New Roman" w:eastAsia="Times New Roman" w:hAnsi="Times New Roman" w:cs="Times New Roman"/>
        </w:rPr>
        <w:t xml:space="preserve"> 5 μM section stained with hematoxylin/eosin was used for histology and 5 – 10 μM sections from </w:t>
      </w:r>
      <w:r w:rsidR="001A7935" w:rsidRPr="00F55F8E">
        <w:rPr>
          <w:rFonts w:ascii="Times New Roman" w:hAnsi="Times New Roman" w:cs="Times New Roman"/>
        </w:rPr>
        <w:t>formalin-fixed paraffin-embedded (FFPE) tumor samples were used for DNA extraction after scraping areas with the highest tumor cell density.</w:t>
      </w:r>
      <w:r w:rsidR="001A7935" w:rsidRPr="00F55F8E">
        <w:rPr>
          <w:rFonts w:ascii="Times New Roman" w:eastAsia="Times New Roman" w:hAnsi="Times New Roman" w:cs="Times New Roman"/>
        </w:rPr>
        <w:t xml:space="preserve">  30% minimum tumor was a prerequisite for all samples.</w:t>
      </w:r>
      <w:r w:rsidR="001A7935" w:rsidRPr="00F55F8E">
        <w:rPr>
          <w:rFonts w:ascii="Times New Roman" w:hAnsi="Times New Roman" w:cs="Times New Roman"/>
        </w:rPr>
        <w:t xml:space="preserve">  Sections from FFPE tissue were first incubated in Proteinase K followed by DNA extraction performed using the Promega Maxwell 16 LEV FFPE Plus kit (AS1290, Promega, Madison, WI) according to the manufacturer’s instructions. </w:t>
      </w:r>
      <w:r w:rsidR="00CC6036">
        <w:rPr>
          <w:rFonts w:ascii="Times New Roman" w:hAnsi="Times New Roman" w:cs="Times New Roman"/>
        </w:rPr>
        <w:t xml:space="preserve"> </w:t>
      </w:r>
      <w:r w:rsidR="001A7935" w:rsidRPr="00F55F8E">
        <w:rPr>
          <w:rFonts w:ascii="Times New Roman" w:hAnsi="Times New Roman" w:cs="Times New Roman"/>
        </w:rPr>
        <w:t>Genomic DNA was eluted in 100 µL of water.</w:t>
      </w:r>
    </w:p>
    <w:p w14:paraId="1F6C074D" w14:textId="12BAF53B" w:rsidR="001A7935" w:rsidRPr="00F55F8E" w:rsidRDefault="00470F20" w:rsidP="00470F20">
      <w:pPr>
        <w:spacing w:line="480" w:lineRule="auto"/>
        <w:ind w:firstLine="720"/>
        <w:rPr>
          <w:rFonts w:ascii="Times New Roman" w:hAnsi="Times New Roman" w:cs="Times New Roman"/>
        </w:rPr>
      </w:pPr>
      <w:r w:rsidRPr="00F55F8E">
        <w:rPr>
          <w:rFonts w:ascii="Times New Roman" w:hAnsi="Times New Roman" w:cs="Times New Roman"/>
        </w:rPr>
        <w:t xml:space="preserve">Promoter methylation analysis: </w:t>
      </w:r>
      <w:r w:rsidR="001A7935" w:rsidRPr="00F55F8E">
        <w:rPr>
          <w:rFonts w:ascii="Times New Roman" w:hAnsi="Times New Roman" w:cs="Times New Roman"/>
          <w:i/>
        </w:rPr>
        <w:t>BRCA1</w:t>
      </w:r>
      <w:r w:rsidR="001A7935" w:rsidRPr="00F55F8E">
        <w:rPr>
          <w:rFonts w:ascii="Times New Roman" w:hAnsi="Times New Roman" w:cs="Times New Roman"/>
        </w:rPr>
        <w:t xml:space="preserve"> promoter methylation analysis was performed by bisulfite sequencing using a 2-step PCR amplicon-based approach. </w:t>
      </w:r>
      <w:r w:rsidR="00CC6036">
        <w:rPr>
          <w:rFonts w:ascii="Times New Roman" w:hAnsi="Times New Roman" w:cs="Times New Roman"/>
        </w:rPr>
        <w:t xml:space="preserve"> </w:t>
      </w:r>
      <w:r w:rsidR="001A7935" w:rsidRPr="00F55F8E">
        <w:rPr>
          <w:rFonts w:ascii="Times New Roman" w:hAnsi="Times New Roman" w:cs="Times New Roman"/>
        </w:rPr>
        <w:t xml:space="preserve">100 ng of isolated DNA was subjected to bisulfite conversion using an EpiTect Plus Bisulfite kit (Qiagen, Hilden, Germany). PCR primers specific for bisulfite converted DNA were designed to the promoter region in exon 1A of the 5’ untranslated region of the </w:t>
      </w:r>
      <w:r w:rsidR="001A7935" w:rsidRPr="00F55F8E">
        <w:rPr>
          <w:rFonts w:ascii="Times New Roman" w:hAnsi="Times New Roman" w:cs="Times New Roman"/>
          <w:i/>
        </w:rPr>
        <w:t>BRCA1</w:t>
      </w:r>
      <w:r w:rsidR="001A7935" w:rsidRPr="00F55F8E">
        <w:rPr>
          <w:rFonts w:ascii="Times New Roman" w:hAnsi="Times New Roman" w:cs="Times New Roman"/>
        </w:rPr>
        <w:t xml:space="preserve"> gene (5'-TGAGAGG</w:t>
      </w:r>
      <w:r w:rsidR="001A7935" w:rsidRPr="00F55F8E">
        <w:rPr>
          <w:rFonts w:ascii="Times New Roman" w:hAnsi="Times New Roman" w:cs="Times New Roman"/>
          <w:color w:val="FF0000"/>
        </w:rPr>
        <w:t>T</w:t>
      </w:r>
      <w:r w:rsidR="001A7935" w:rsidRPr="00F55F8E">
        <w:rPr>
          <w:rFonts w:ascii="Times New Roman" w:hAnsi="Times New Roman" w:cs="Times New Roman"/>
        </w:rPr>
        <w:t>TG</w:t>
      </w:r>
      <w:r w:rsidR="001A7935" w:rsidRPr="00F55F8E">
        <w:rPr>
          <w:rFonts w:ascii="Times New Roman" w:hAnsi="Times New Roman" w:cs="Times New Roman"/>
          <w:color w:val="FF0000"/>
        </w:rPr>
        <w:t>T</w:t>
      </w:r>
      <w:r w:rsidR="001A7935" w:rsidRPr="00F55F8E">
        <w:rPr>
          <w:rFonts w:ascii="Times New Roman" w:hAnsi="Times New Roman" w:cs="Times New Roman"/>
        </w:rPr>
        <w:t>TG</w:t>
      </w:r>
      <w:r w:rsidR="001A7935" w:rsidRPr="00F55F8E">
        <w:rPr>
          <w:rFonts w:ascii="Times New Roman" w:hAnsi="Times New Roman" w:cs="Times New Roman"/>
          <w:color w:val="FF0000"/>
        </w:rPr>
        <w:t>T</w:t>
      </w:r>
      <w:r w:rsidR="001A7935" w:rsidRPr="00F55F8E">
        <w:rPr>
          <w:rFonts w:ascii="Times New Roman" w:hAnsi="Times New Roman" w:cs="Times New Roman"/>
        </w:rPr>
        <w:t>TTAG-3' and 5'-CT</w:t>
      </w:r>
      <w:r w:rsidR="001A7935" w:rsidRPr="00F55F8E">
        <w:rPr>
          <w:rFonts w:ascii="Times New Roman" w:hAnsi="Times New Roman" w:cs="Times New Roman"/>
          <w:color w:val="FF0000"/>
        </w:rPr>
        <w:t>A</w:t>
      </w:r>
      <w:r w:rsidR="001A7935" w:rsidRPr="00F55F8E">
        <w:rPr>
          <w:rFonts w:ascii="Times New Roman" w:hAnsi="Times New Roman" w:cs="Times New Roman"/>
        </w:rPr>
        <w:t>A</w:t>
      </w:r>
      <w:r w:rsidR="001A7935" w:rsidRPr="00F55F8E">
        <w:rPr>
          <w:rFonts w:ascii="Times New Roman" w:hAnsi="Times New Roman" w:cs="Times New Roman"/>
          <w:color w:val="FF0000"/>
        </w:rPr>
        <w:t>A</w:t>
      </w:r>
      <w:r w:rsidR="001A7935" w:rsidRPr="00F55F8E">
        <w:rPr>
          <w:rFonts w:ascii="Times New Roman" w:hAnsi="Times New Roman" w:cs="Times New Roman"/>
        </w:rPr>
        <w:t>AAACCCCACA</w:t>
      </w:r>
      <w:r w:rsidR="001A7935" w:rsidRPr="00F55F8E">
        <w:rPr>
          <w:rFonts w:ascii="Times New Roman" w:hAnsi="Times New Roman" w:cs="Times New Roman"/>
          <w:color w:val="FF0000"/>
        </w:rPr>
        <w:t>A</w:t>
      </w:r>
      <w:r w:rsidR="001A7935" w:rsidRPr="00F55F8E">
        <w:rPr>
          <w:rFonts w:ascii="Times New Roman" w:hAnsi="Times New Roman" w:cs="Times New Roman"/>
        </w:rPr>
        <w:t>CCT</w:t>
      </w:r>
      <w:r w:rsidR="001A7935" w:rsidRPr="00F55F8E">
        <w:rPr>
          <w:rFonts w:ascii="Times New Roman" w:hAnsi="Times New Roman" w:cs="Times New Roman"/>
          <w:color w:val="FF0000"/>
        </w:rPr>
        <w:t>A</w:t>
      </w:r>
      <w:r w:rsidR="001A7935" w:rsidRPr="00F55F8E">
        <w:rPr>
          <w:rFonts w:ascii="Times New Roman" w:hAnsi="Times New Roman" w:cs="Times New Roman"/>
        </w:rPr>
        <w:t xml:space="preserve">TC-3'). </w:t>
      </w:r>
      <w:r w:rsidR="00CC6036">
        <w:rPr>
          <w:rFonts w:ascii="Times New Roman" w:hAnsi="Times New Roman" w:cs="Times New Roman"/>
        </w:rPr>
        <w:t xml:space="preserve"> </w:t>
      </w:r>
      <w:r w:rsidR="001A7935" w:rsidRPr="00F55F8E">
        <w:rPr>
          <w:rFonts w:ascii="Times New Roman" w:hAnsi="Times New Roman" w:cs="Times New Roman"/>
        </w:rPr>
        <w:t xml:space="preserve">Converted DNA and </w:t>
      </w:r>
      <w:r w:rsidR="001A7935" w:rsidRPr="00F55F8E">
        <w:rPr>
          <w:rFonts w:ascii="Times New Roman" w:hAnsi="Times New Roman" w:cs="Times New Roman"/>
          <w:i/>
        </w:rPr>
        <w:t>BRCA1</w:t>
      </w:r>
      <w:r w:rsidR="001A7935" w:rsidRPr="00F55F8E">
        <w:rPr>
          <w:rFonts w:ascii="Times New Roman" w:hAnsi="Times New Roman" w:cs="Times New Roman"/>
        </w:rPr>
        <w:t xml:space="preserve"> primers were annealed at 62</w:t>
      </w:r>
      <w:r w:rsidR="001A7935" w:rsidRPr="00F55F8E">
        <w:rPr>
          <w:rFonts w:ascii="Cambria Math" w:hAnsi="Cambria Math" w:cs="Cambria Math"/>
        </w:rPr>
        <w:t>℃</w:t>
      </w:r>
      <w:r w:rsidR="001A7935" w:rsidRPr="00F55F8E">
        <w:rPr>
          <w:rFonts w:ascii="Times New Roman" w:hAnsi="Times New Roman" w:cs="Times New Roman"/>
        </w:rPr>
        <w:t xml:space="preserve"> and amplified (step1. 96</w:t>
      </w:r>
      <w:r w:rsidR="001A7935" w:rsidRPr="00F55F8E">
        <w:rPr>
          <w:rFonts w:ascii="Cambria Math" w:hAnsi="Cambria Math" w:cs="Cambria Math"/>
        </w:rPr>
        <w:t>℃</w:t>
      </w:r>
      <w:r w:rsidR="001A7935" w:rsidRPr="00F55F8E">
        <w:rPr>
          <w:rFonts w:ascii="Times New Roman" w:hAnsi="Times New Roman" w:cs="Times New Roman"/>
        </w:rPr>
        <w:t xml:space="preserve"> 2:30, step2. 96</w:t>
      </w:r>
      <w:r w:rsidR="001A7935" w:rsidRPr="00F55F8E">
        <w:rPr>
          <w:rFonts w:ascii="Cambria Math" w:hAnsi="Cambria Math" w:cs="Cambria Math"/>
        </w:rPr>
        <w:t>℃</w:t>
      </w:r>
      <w:r w:rsidR="001A7935" w:rsidRPr="00F55F8E">
        <w:rPr>
          <w:rFonts w:ascii="Times New Roman" w:hAnsi="Times New Roman" w:cs="Times New Roman"/>
        </w:rPr>
        <w:t xml:space="preserve"> 0:30, step3. 62</w:t>
      </w:r>
      <w:r w:rsidR="001A7935" w:rsidRPr="00F55F8E">
        <w:rPr>
          <w:rFonts w:ascii="Cambria Math" w:hAnsi="Cambria Math" w:cs="Cambria Math"/>
        </w:rPr>
        <w:t>℃</w:t>
      </w:r>
      <w:r w:rsidR="001A7935" w:rsidRPr="00F55F8E">
        <w:rPr>
          <w:rFonts w:ascii="Times New Roman" w:hAnsi="Times New Roman" w:cs="Times New Roman"/>
        </w:rPr>
        <w:t xml:space="preserve"> 0:30, step4. 72</w:t>
      </w:r>
      <w:r w:rsidR="001A7935" w:rsidRPr="00F55F8E">
        <w:rPr>
          <w:rFonts w:ascii="Cambria Math" w:hAnsi="Cambria Math" w:cs="Cambria Math"/>
        </w:rPr>
        <w:t>℃</w:t>
      </w:r>
      <w:r w:rsidR="001A7935" w:rsidRPr="00F55F8E">
        <w:rPr>
          <w:rFonts w:ascii="Times New Roman" w:hAnsi="Times New Roman" w:cs="Times New Roman"/>
        </w:rPr>
        <w:t xml:space="preserve"> 1:00, go to step 2 34X, step5. 72</w:t>
      </w:r>
      <w:r w:rsidR="001A7935" w:rsidRPr="00F55F8E">
        <w:rPr>
          <w:rFonts w:ascii="Cambria Math" w:hAnsi="Cambria Math" w:cs="Cambria Math"/>
        </w:rPr>
        <w:t>℃</w:t>
      </w:r>
      <w:r w:rsidR="001A7935" w:rsidRPr="00F55F8E">
        <w:rPr>
          <w:rFonts w:ascii="Times New Roman" w:hAnsi="Times New Roman" w:cs="Times New Roman"/>
        </w:rPr>
        <w:t xml:space="preserve"> 5:00)</w:t>
      </w:r>
      <w:r w:rsidR="00CC6036">
        <w:rPr>
          <w:rFonts w:ascii="Times New Roman" w:hAnsi="Times New Roman" w:cs="Times New Roman"/>
        </w:rPr>
        <w:t>.</w:t>
      </w:r>
      <w:r w:rsidR="001A7935" w:rsidRPr="00F55F8E">
        <w:rPr>
          <w:rFonts w:ascii="Times New Roman" w:hAnsi="Times New Roman" w:cs="Times New Roman"/>
        </w:rPr>
        <w:t xml:space="preserve">  Following amplification</w:t>
      </w:r>
      <w:r w:rsidR="002D3B0F">
        <w:rPr>
          <w:rFonts w:ascii="Times New Roman" w:hAnsi="Times New Roman" w:cs="Times New Roman"/>
        </w:rPr>
        <w:t>,</w:t>
      </w:r>
      <w:r w:rsidR="001A7935" w:rsidRPr="00F55F8E">
        <w:rPr>
          <w:rFonts w:ascii="Times New Roman" w:hAnsi="Times New Roman" w:cs="Times New Roman"/>
        </w:rPr>
        <w:t xml:space="preserve"> 2µl of </w:t>
      </w:r>
      <w:r w:rsidR="002D3B0F">
        <w:rPr>
          <w:rFonts w:ascii="Times New Roman" w:hAnsi="Times New Roman" w:cs="Times New Roman"/>
        </w:rPr>
        <w:t xml:space="preserve">the </w:t>
      </w:r>
      <w:r w:rsidR="001A7935" w:rsidRPr="00F55F8E">
        <w:rPr>
          <w:rFonts w:ascii="Times New Roman" w:hAnsi="Times New Roman" w:cs="Times New Roman"/>
        </w:rPr>
        <w:t xml:space="preserve">PCR product was used as template in a secondary reaction using Fluidigm Access Array Barcode Library primers (1-96) (Part number: 100-2345, Fluidigm, South San Francisco, CA); template and primers </w:t>
      </w:r>
      <w:r w:rsidR="002D3B0F">
        <w:rPr>
          <w:rFonts w:ascii="Times New Roman" w:hAnsi="Times New Roman" w:cs="Times New Roman"/>
        </w:rPr>
        <w:t>were</w:t>
      </w:r>
      <w:r w:rsidR="001A7935" w:rsidRPr="00F55F8E">
        <w:rPr>
          <w:rFonts w:ascii="Times New Roman" w:hAnsi="Times New Roman" w:cs="Times New Roman"/>
        </w:rPr>
        <w:t xml:space="preserve"> annealed at 60</w:t>
      </w:r>
      <w:r w:rsidR="001A7935" w:rsidRPr="00F55F8E">
        <w:rPr>
          <w:rFonts w:ascii="Cambria Math" w:hAnsi="Cambria Math" w:cs="Cambria Math"/>
        </w:rPr>
        <w:t>℃</w:t>
      </w:r>
      <w:r w:rsidR="001A7935" w:rsidRPr="00F55F8E">
        <w:rPr>
          <w:rFonts w:ascii="Times New Roman" w:hAnsi="Times New Roman" w:cs="Times New Roman"/>
        </w:rPr>
        <w:t xml:space="preserve"> and am</w:t>
      </w:r>
      <w:r w:rsidR="002D3B0F">
        <w:rPr>
          <w:rFonts w:ascii="Times New Roman" w:hAnsi="Times New Roman" w:cs="Times New Roman"/>
        </w:rPr>
        <w:t>plified (</w:t>
      </w:r>
      <w:r w:rsidR="001A7935" w:rsidRPr="00F55F8E">
        <w:rPr>
          <w:rFonts w:ascii="Times New Roman" w:hAnsi="Times New Roman" w:cs="Times New Roman"/>
        </w:rPr>
        <w:t>step1. 96</w:t>
      </w:r>
      <w:r w:rsidR="001A7935" w:rsidRPr="00F55F8E">
        <w:rPr>
          <w:rFonts w:ascii="Cambria Math" w:hAnsi="Cambria Math" w:cs="Cambria Math"/>
        </w:rPr>
        <w:t>℃</w:t>
      </w:r>
      <w:r w:rsidR="001A7935" w:rsidRPr="00F55F8E">
        <w:rPr>
          <w:rFonts w:ascii="Times New Roman" w:hAnsi="Times New Roman" w:cs="Times New Roman"/>
        </w:rPr>
        <w:t xml:space="preserve"> 2:00, step2. 96</w:t>
      </w:r>
      <w:r w:rsidR="001A7935" w:rsidRPr="00F55F8E">
        <w:rPr>
          <w:rFonts w:ascii="Cambria Math" w:hAnsi="Cambria Math" w:cs="Cambria Math"/>
        </w:rPr>
        <w:t>℃</w:t>
      </w:r>
      <w:r w:rsidR="001A7935" w:rsidRPr="00F55F8E">
        <w:rPr>
          <w:rFonts w:ascii="Times New Roman" w:hAnsi="Times New Roman" w:cs="Times New Roman"/>
        </w:rPr>
        <w:t xml:space="preserve"> 0:30, step3. 60</w:t>
      </w:r>
      <w:r w:rsidR="001A7935" w:rsidRPr="00F55F8E">
        <w:rPr>
          <w:rFonts w:ascii="Cambria Math" w:hAnsi="Cambria Math" w:cs="Cambria Math"/>
        </w:rPr>
        <w:t>℃</w:t>
      </w:r>
      <w:r w:rsidR="001A7935" w:rsidRPr="00F55F8E">
        <w:rPr>
          <w:rFonts w:ascii="Times New Roman" w:hAnsi="Times New Roman" w:cs="Times New Roman"/>
        </w:rPr>
        <w:t xml:space="preserve"> 0:30, step4. 72</w:t>
      </w:r>
      <w:r w:rsidR="001A7935" w:rsidRPr="00F55F8E">
        <w:rPr>
          <w:rFonts w:ascii="Cambria Math" w:hAnsi="Cambria Math" w:cs="Cambria Math"/>
        </w:rPr>
        <w:t>℃</w:t>
      </w:r>
      <w:r w:rsidR="001A7935" w:rsidRPr="00F55F8E">
        <w:rPr>
          <w:rFonts w:ascii="Times New Roman" w:hAnsi="Times New Roman" w:cs="Times New Roman"/>
        </w:rPr>
        <w:t xml:space="preserve"> 1:00, go to step 2 32X, step5. 72</w:t>
      </w:r>
      <w:r w:rsidR="001A7935" w:rsidRPr="00F55F8E">
        <w:rPr>
          <w:rFonts w:ascii="Cambria Math" w:hAnsi="Cambria Math" w:cs="Cambria Math"/>
        </w:rPr>
        <w:t>℃</w:t>
      </w:r>
      <w:r w:rsidR="001A7935" w:rsidRPr="00F55F8E">
        <w:rPr>
          <w:rFonts w:ascii="Times New Roman" w:hAnsi="Times New Roman" w:cs="Times New Roman"/>
        </w:rPr>
        <w:t xml:space="preserve"> 5:00).  The products from secondary PCR were size fractionated using a Pippin Prep (Sage Science, Beverly, MA) to isolate products 250-300bp in length. </w:t>
      </w:r>
      <w:r w:rsidR="00CC6036">
        <w:rPr>
          <w:rFonts w:ascii="Times New Roman" w:hAnsi="Times New Roman" w:cs="Times New Roman"/>
        </w:rPr>
        <w:t xml:space="preserve"> </w:t>
      </w:r>
      <w:r w:rsidR="001A7935" w:rsidRPr="00F55F8E">
        <w:rPr>
          <w:rFonts w:ascii="Times New Roman" w:hAnsi="Times New Roman" w:cs="Times New Roman"/>
        </w:rPr>
        <w:t xml:space="preserve">The reaction product was sequenced using a MiSeq sequencer (Illumina, </w:t>
      </w:r>
      <w:r w:rsidR="001A7935" w:rsidRPr="00F55F8E">
        <w:rPr>
          <w:rFonts w:ascii="Times New Roman" w:hAnsi="Times New Roman" w:cs="Times New Roman"/>
        </w:rPr>
        <w:lastRenderedPageBreak/>
        <w:t xml:space="preserve">San Diego, CA). </w:t>
      </w:r>
      <w:r w:rsidR="00CC6036">
        <w:rPr>
          <w:rFonts w:ascii="Times New Roman" w:hAnsi="Times New Roman" w:cs="Times New Roman"/>
        </w:rPr>
        <w:t xml:space="preserve"> </w:t>
      </w:r>
      <w:r w:rsidR="001A7935" w:rsidRPr="00F55F8E">
        <w:rPr>
          <w:rFonts w:ascii="Times New Roman" w:hAnsi="Times New Roman" w:cs="Times New Roman"/>
        </w:rPr>
        <w:t>Analysis of the methylation assay sequence data was as described in Telli et al., 2016 (supplementary methods)</w:t>
      </w:r>
      <w:r w:rsidR="00CC6036">
        <w:rPr>
          <w:rFonts w:ascii="Times New Roman" w:hAnsi="Times New Roman" w:cs="Times New Roman"/>
        </w:rPr>
        <w:t>.</w:t>
      </w:r>
      <w:r w:rsidR="00B15A7A">
        <w:rPr>
          <w:rFonts w:ascii="Times New Roman" w:hAnsi="Times New Roman" w:cs="Times New Roman"/>
          <w:vertAlign w:val="superscript"/>
        </w:rPr>
        <w:t>1</w:t>
      </w:r>
    </w:p>
    <w:p w14:paraId="33D6663F" w14:textId="4690E993" w:rsidR="00555F0F" w:rsidRPr="00F55F8E" w:rsidRDefault="00555F0F" w:rsidP="00555F0F">
      <w:pPr>
        <w:spacing w:line="480" w:lineRule="auto"/>
        <w:ind w:firstLine="720"/>
        <w:jc w:val="both"/>
        <w:rPr>
          <w:rFonts w:ascii="Times New Roman" w:hAnsi="Times New Roman" w:cs="Times New Roman"/>
        </w:rPr>
      </w:pPr>
      <w:r w:rsidRPr="00F55F8E">
        <w:rPr>
          <w:rFonts w:ascii="Times New Roman" w:hAnsi="Times New Roman" w:cs="Times New Roman"/>
        </w:rPr>
        <w:t xml:space="preserve">Mutation analysis and whole genome SNP analysis: </w:t>
      </w:r>
      <w:r w:rsidR="001A7935" w:rsidRPr="00F55F8E">
        <w:rPr>
          <w:rFonts w:ascii="Times New Roman" w:hAnsi="Times New Roman" w:cs="Times New Roman"/>
          <w:i/>
        </w:rPr>
        <w:t>BRCA1/2</w:t>
      </w:r>
      <w:r w:rsidR="001A7935" w:rsidRPr="00F55F8E">
        <w:rPr>
          <w:rFonts w:ascii="Times New Roman" w:hAnsi="Times New Roman" w:cs="Times New Roman"/>
        </w:rPr>
        <w:t xml:space="preserve"> gene mutation detection and SNP whole genome analysis was performed using a custom hybridization capture method.  A custom hybridization enrichment panel targeting 54,091 genome-wide single nucleotide polymorphisms, and the entire coding regions of </w:t>
      </w:r>
      <w:r w:rsidR="001A7935" w:rsidRPr="00F55F8E">
        <w:rPr>
          <w:rFonts w:ascii="Times New Roman" w:hAnsi="Times New Roman" w:cs="Times New Roman"/>
          <w:i/>
        </w:rPr>
        <w:t>BRCA1</w:t>
      </w:r>
      <w:r w:rsidR="001A7935" w:rsidRPr="00F55F8E">
        <w:rPr>
          <w:rFonts w:ascii="Times New Roman" w:hAnsi="Times New Roman" w:cs="Times New Roman"/>
        </w:rPr>
        <w:t xml:space="preserve"> and </w:t>
      </w:r>
      <w:r w:rsidR="001A7935" w:rsidRPr="00F55F8E">
        <w:rPr>
          <w:rFonts w:ascii="Times New Roman" w:hAnsi="Times New Roman" w:cs="Times New Roman"/>
          <w:i/>
        </w:rPr>
        <w:t>BRCA2</w:t>
      </w:r>
      <w:r w:rsidR="001A7935" w:rsidRPr="00F55F8E">
        <w:rPr>
          <w:rFonts w:ascii="Times New Roman" w:hAnsi="Times New Roman" w:cs="Times New Roman"/>
        </w:rPr>
        <w:t xml:space="preserve"> was used to generate next generation sequencing libraries. </w:t>
      </w:r>
      <w:r w:rsidR="0083786C">
        <w:rPr>
          <w:rFonts w:ascii="Times New Roman" w:hAnsi="Times New Roman" w:cs="Times New Roman"/>
        </w:rPr>
        <w:t xml:space="preserve"> </w:t>
      </w:r>
      <w:r w:rsidR="001A7935" w:rsidRPr="00F55F8E">
        <w:rPr>
          <w:rFonts w:ascii="Times New Roman" w:hAnsi="Times New Roman" w:cs="Times New Roman"/>
        </w:rPr>
        <w:t>A detailed description of the SNP selection process is given in Timms et al., 2014 (additional file 1)</w:t>
      </w:r>
      <w:r w:rsidR="0083786C">
        <w:rPr>
          <w:rFonts w:ascii="Times New Roman" w:hAnsi="Times New Roman" w:cs="Times New Roman"/>
        </w:rPr>
        <w:t>.</w:t>
      </w:r>
      <w:r w:rsidR="001A7935" w:rsidRPr="00F55F8E">
        <w:rPr>
          <w:rFonts w:ascii="Times New Roman" w:hAnsi="Times New Roman" w:cs="Times New Roman"/>
          <w:vertAlign w:val="superscript"/>
        </w:rPr>
        <w:t>2</w:t>
      </w:r>
      <w:r w:rsidR="005C3004">
        <w:rPr>
          <w:rFonts w:ascii="Times New Roman" w:hAnsi="Times New Roman" w:cs="Times New Roman"/>
        </w:rPr>
        <w:t xml:space="preserve"> </w:t>
      </w:r>
      <w:r w:rsidR="001A7935" w:rsidRPr="00F55F8E">
        <w:rPr>
          <w:rFonts w:ascii="Times New Roman" w:hAnsi="Times New Roman" w:cs="Times New Roman"/>
        </w:rPr>
        <w:t>Twenty-</w:t>
      </w:r>
      <w:r w:rsidR="002D3B0F">
        <w:rPr>
          <w:rFonts w:ascii="Times New Roman" w:hAnsi="Times New Roman" w:cs="Times New Roman"/>
        </w:rPr>
        <w:t>f</w:t>
      </w:r>
      <w:r w:rsidR="001A7935" w:rsidRPr="00F55F8E">
        <w:rPr>
          <w:rFonts w:ascii="Times New Roman" w:hAnsi="Times New Roman" w:cs="Times New Roman"/>
        </w:rPr>
        <w:t>ive of the tumor normal pairs were analyzed using a custom hybridization panel based on the Agilent SureSelect XT chemistry (Agilent Technologies, Santa Clara, CA).</w:t>
      </w:r>
      <w:r w:rsidR="0083786C">
        <w:rPr>
          <w:rFonts w:ascii="Times New Roman" w:hAnsi="Times New Roman" w:cs="Times New Roman"/>
        </w:rPr>
        <w:t xml:space="preserve">  </w:t>
      </w:r>
      <w:r w:rsidR="001A7935" w:rsidRPr="00F55F8E">
        <w:rPr>
          <w:rFonts w:ascii="Times New Roman" w:hAnsi="Times New Roman" w:cs="Times New Roman"/>
        </w:rPr>
        <w:t>The remaining tumor normal pairs were analyzed using a panel developed utilizing IDT’s xGen hybridization capture technology (Integrated DNA Technologies, Coralville, IA).</w:t>
      </w:r>
      <w:r w:rsidR="0083786C">
        <w:rPr>
          <w:rFonts w:ascii="Times New Roman" w:hAnsi="Times New Roman" w:cs="Times New Roman"/>
        </w:rPr>
        <w:t xml:space="preserve">  </w:t>
      </w:r>
      <w:r w:rsidR="001A7935" w:rsidRPr="00F55F8E">
        <w:rPr>
          <w:rFonts w:ascii="Times New Roman" w:hAnsi="Times New Roman" w:cs="Times New Roman"/>
        </w:rPr>
        <w:t>The IDT probe panel was designed to target the same SNP locations and gene target regions as the Agilent probe panel.</w:t>
      </w:r>
      <w:r w:rsidR="0083786C">
        <w:rPr>
          <w:rFonts w:ascii="Times New Roman" w:hAnsi="Times New Roman" w:cs="Times New Roman"/>
        </w:rPr>
        <w:t xml:space="preserve">  </w:t>
      </w:r>
      <w:r w:rsidR="001A7935" w:rsidRPr="00F55F8E">
        <w:rPr>
          <w:rFonts w:ascii="Times New Roman" w:hAnsi="Times New Roman" w:cs="Times New Roman"/>
        </w:rPr>
        <w:t>Comparative testing was performed to ensure that equivalent results were obtained from both panels prior to implementation of the IDT assay (data not shown).</w:t>
      </w:r>
      <w:r w:rsidR="0083786C">
        <w:rPr>
          <w:rFonts w:ascii="Times New Roman" w:hAnsi="Times New Roman" w:cs="Times New Roman"/>
        </w:rPr>
        <w:t xml:space="preserve">  </w:t>
      </w:r>
      <w:r w:rsidR="001A7935" w:rsidRPr="00F55F8E">
        <w:rPr>
          <w:rFonts w:ascii="Times New Roman" w:hAnsi="Times New Roman" w:cs="Times New Roman"/>
        </w:rPr>
        <w:t xml:space="preserve">For both capture methods whole exome libraries were first created using a Hyper Kapa XT2 kit (Kapa Biosystem, Wilmington, MA). </w:t>
      </w:r>
      <w:r w:rsidR="00844314">
        <w:rPr>
          <w:rFonts w:ascii="Times New Roman" w:hAnsi="Times New Roman" w:cs="Times New Roman"/>
        </w:rPr>
        <w:t xml:space="preserve"> </w:t>
      </w:r>
      <w:r w:rsidR="001A7935" w:rsidRPr="00F55F8E">
        <w:rPr>
          <w:rFonts w:ascii="Times New Roman" w:hAnsi="Times New Roman" w:cs="Times New Roman"/>
        </w:rPr>
        <w:t>200 ng of isolated DNA was sheared on a Covaris E220 (Covaris, Woburn, MA) to achieve a peak size between 150-180 bp.</w:t>
      </w:r>
      <w:r w:rsidR="00844314">
        <w:rPr>
          <w:rFonts w:ascii="Times New Roman" w:hAnsi="Times New Roman" w:cs="Times New Roman"/>
        </w:rPr>
        <w:t xml:space="preserve">  </w:t>
      </w:r>
      <w:r w:rsidR="001A7935" w:rsidRPr="00F55F8E">
        <w:rPr>
          <w:rFonts w:ascii="Times New Roman" w:hAnsi="Times New Roman" w:cs="Times New Roman"/>
        </w:rPr>
        <w:t>The sheared DNA then underwent Agencourt AMPure XP bead cleanup (Be</w:t>
      </w:r>
      <w:r w:rsidR="00844314">
        <w:rPr>
          <w:rFonts w:ascii="Times New Roman" w:hAnsi="Times New Roman" w:cs="Times New Roman"/>
        </w:rPr>
        <w:t>c</w:t>
      </w:r>
      <w:r w:rsidR="001A7935" w:rsidRPr="00F55F8E">
        <w:rPr>
          <w:rFonts w:ascii="Times New Roman" w:hAnsi="Times New Roman" w:cs="Times New Roman"/>
        </w:rPr>
        <w:t>kman, Brea, CA).</w:t>
      </w:r>
      <w:r w:rsidR="00844314">
        <w:rPr>
          <w:rFonts w:ascii="Times New Roman" w:hAnsi="Times New Roman" w:cs="Times New Roman"/>
        </w:rPr>
        <w:t xml:space="preserve">  </w:t>
      </w:r>
      <w:r w:rsidR="001A7935" w:rsidRPr="00F55F8E">
        <w:rPr>
          <w:rFonts w:ascii="Times New Roman" w:hAnsi="Times New Roman" w:cs="Times New Roman"/>
        </w:rPr>
        <w:t xml:space="preserve">The gDNA fragments were then end-repaired, A-tailed, and adaptor ligated with individually barcoded adaptors per the Hyper Kapa XT2 kit instructions, followed by Agencourt AMPure XP bead cleanup. </w:t>
      </w:r>
      <w:r w:rsidR="00844314">
        <w:rPr>
          <w:rFonts w:ascii="Times New Roman" w:hAnsi="Times New Roman" w:cs="Times New Roman"/>
        </w:rPr>
        <w:t xml:space="preserve"> </w:t>
      </w:r>
      <w:r w:rsidR="001A7935" w:rsidRPr="00F55F8E">
        <w:rPr>
          <w:rFonts w:ascii="Times New Roman" w:hAnsi="Times New Roman" w:cs="Times New Roman"/>
        </w:rPr>
        <w:t>The adaptor ligated libraries were then amplified by PCR (step1 98</w:t>
      </w:r>
      <w:r w:rsidR="001A7935" w:rsidRPr="00F55F8E">
        <w:rPr>
          <w:rFonts w:ascii="Times New Roman" w:hAnsi="Times New Roman" w:cs="Times New Roman"/>
          <w:vertAlign w:val="superscript"/>
        </w:rPr>
        <w:t>o</w:t>
      </w:r>
      <w:r w:rsidR="001A7935" w:rsidRPr="00F55F8E">
        <w:rPr>
          <w:rFonts w:ascii="Times New Roman" w:hAnsi="Times New Roman" w:cs="Times New Roman"/>
        </w:rPr>
        <w:t>C 0:45, step2 98</w:t>
      </w:r>
      <w:r w:rsidR="001A7935" w:rsidRPr="00F55F8E">
        <w:rPr>
          <w:rFonts w:ascii="Times New Roman" w:hAnsi="Times New Roman" w:cs="Times New Roman"/>
          <w:vertAlign w:val="superscript"/>
        </w:rPr>
        <w:t>o</w:t>
      </w:r>
      <w:r w:rsidR="001A7935" w:rsidRPr="00F55F8E">
        <w:rPr>
          <w:rFonts w:ascii="Times New Roman" w:hAnsi="Times New Roman" w:cs="Times New Roman"/>
        </w:rPr>
        <w:t>C 0:15, step3 60</w:t>
      </w:r>
      <w:r w:rsidR="001A7935" w:rsidRPr="00F55F8E">
        <w:rPr>
          <w:rFonts w:ascii="Times New Roman" w:hAnsi="Times New Roman" w:cs="Times New Roman"/>
          <w:vertAlign w:val="superscript"/>
        </w:rPr>
        <w:t>o</w:t>
      </w:r>
      <w:r w:rsidR="001A7935" w:rsidRPr="00F55F8E">
        <w:rPr>
          <w:rFonts w:ascii="Times New Roman" w:hAnsi="Times New Roman" w:cs="Times New Roman"/>
        </w:rPr>
        <w:t>C 0:30, step4 72</w:t>
      </w:r>
      <w:r w:rsidR="001A7935" w:rsidRPr="00F55F8E">
        <w:rPr>
          <w:rFonts w:ascii="Times New Roman" w:hAnsi="Times New Roman" w:cs="Times New Roman"/>
          <w:vertAlign w:val="superscript"/>
        </w:rPr>
        <w:t>o</w:t>
      </w:r>
      <w:r w:rsidR="001A7935" w:rsidRPr="00F55F8E">
        <w:rPr>
          <w:rFonts w:ascii="Times New Roman" w:hAnsi="Times New Roman" w:cs="Times New Roman"/>
        </w:rPr>
        <w:t>C 0:30, go to step2 8x, step4 72</w:t>
      </w:r>
      <w:r w:rsidR="001A7935" w:rsidRPr="00F55F8E">
        <w:rPr>
          <w:rFonts w:ascii="Times New Roman" w:hAnsi="Times New Roman" w:cs="Times New Roman"/>
          <w:vertAlign w:val="superscript"/>
        </w:rPr>
        <w:t>o</w:t>
      </w:r>
      <w:r w:rsidR="001A7935" w:rsidRPr="00F55F8E">
        <w:rPr>
          <w:rFonts w:ascii="Times New Roman" w:hAnsi="Times New Roman" w:cs="Times New Roman"/>
        </w:rPr>
        <w:t xml:space="preserve">C 1:00). </w:t>
      </w:r>
      <w:r w:rsidR="00844314">
        <w:rPr>
          <w:rFonts w:ascii="Times New Roman" w:hAnsi="Times New Roman" w:cs="Times New Roman"/>
        </w:rPr>
        <w:t xml:space="preserve"> </w:t>
      </w:r>
      <w:r w:rsidR="001A7935" w:rsidRPr="00F55F8E">
        <w:rPr>
          <w:rFonts w:ascii="Times New Roman" w:hAnsi="Times New Roman" w:cs="Times New Roman"/>
        </w:rPr>
        <w:t>Following amplification</w:t>
      </w:r>
      <w:r w:rsidR="00E27FD7">
        <w:rPr>
          <w:rFonts w:ascii="Times New Roman" w:hAnsi="Times New Roman" w:cs="Times New Roman"/>
        </w:rPr>
        <w:t>,</w:t>
      </w:r>
      <w:r w:rsidR="001A7935" w:rsidRPr="00F55F8E">
        <w:rPr>
          <w:rFonts w:ascii="Times New Roman" w:hAnsi="Times New Roman" w:cs="Times New Roman"/>
        </w:rPr>
        <w:t xml:space="preserve"> the libraries were quantitated on a TapeStation 2200 (Agilent, Santa Clara, CA). 100 ng from each of 16 individually barcoded libraries were then pooled to create a 1600 ng pool for hybridization using either Agilent SureSelect XT2 or IDT xGen hybridization capture. </w:t>
      </w:r>
      <w:r w:rsidR="00844314">
        <w:rPr>
          <w:rFonts w:ascii="Times New Roman" w:hAnsi="Times New Roman" w:cs="Times New Roman"/>
        </w:rPr>
        <w:t xml:space="preserve"> </w:t>
      </w:r>
      <w:r w:rsidR="001A7935" w:rsidRPr="00F55F8E">
        <w:rPr>
          <w:rFonts w:ascii="Times New Roman" w:hAnsi="Times New Roman" w:cs="Times New Roman"/>
        </w:rPr>
        <w:t xml:space="preserve">Agilent SureSelect Hybridization Capture: All reagents </w:t>
      </w:r>
      <w:r w:rsidR="002D3B0F">
        <w:rPr>
          <w:rFonts w:ascii="Times New Roman" w:hAnsi="Times New Roman" w:cs="Times New Roman"/>
        </w:rPr>
        <w:t>were</w:t>
      </w:r>
      <w:r w:rsidR="001A7935" w:rsidRPr="00F55F8E">
        <w:rPr>
          <w:rFonts w:ascii="Times New Roman" w:hAnsi="Times New Roman" w:cs="Times New Roman"/>
        </w:rPr>
        <w:t xml:space="preserve"> from Agilent Technologies unless otherwise stated. </w:t>
      </w:r>
      <w:r w:rsidR="00844314">
        <w:rPr>
          <w:rFonts w:ascii="Times New Roman" w:hAnsi="Times New Roman" w:cs="Times New Roman"/>
        </w:rPr>
        <w:t xml:space="preserve"> </w:t>
      </w:r>
      <w:r w:rsidR="001A7935" w:rsidRPr="00F55F8E">
        <w:rPr>
          <w:rFonts w:ascii="Times New Roman" w:hAnsi="Times New Roman" w:cs="Times New Roman"/>
        </w:rPr>
        <w:t>The hybridization process was performed according to the manufa</w:t>
      </w:r>
      <w:r w:rsidR="00844314">
        <w:rPr>
          <w:rFonts w:ascii="Times New Roman" w:hAnsi="Times New Roman" w:cs="Times New Roman"/>
        </w:rPr>
        <w:t>c</w:t>
      </w:r>
      <w:r w:rsidR="001A7935" w:rsidRPr="00F55F8E">
        <w:rPr>
          <w:rFonts w:ascii="Times New Roman" w:hAnsi="Times New Roman" w:cs="Times New Roman"/>
        </w:rPr>
        <w:t xml:space="preserve">turer’s instructions. </w:t>
      </w:r>
      <w:r w:rsidR="00844314">
        <w:rPr>
          <w:rFonts w:ascii="Times New Roman" w:hAnsi="Times New Roman" w:cs="Times New Roman"/>
        </w:rPr>
        <w:t xml:space="preserve"> </w:t>
      </w:r>
      <w:r w:rsidR="001A7935" w:rsidRPr="00F55F8E">
        <w:rPr>
          <w:rFonts w:ascii="Times New Roman" w:hAnsi="Times New Roman" w:cs="Times New Roman"/>
        </w:rPr>
        <w:t xml:space="preserve">The pooled samples were </w:t>
      </w:r>
      <w:r w:rsidR="005C3004" w:rsidRPr="00F55F8E">
        <w:rPr>
          <w:rFonts w:ascii="Times New Roman" w:hAnsi="Times New Roman" w:cs="Times New Roman"/>
        </w:rPr>
        <w:t>hybridized</w:t>
      </w:r>
      <w:r w:rsidR="001A7935" w:rsidRPr="00F55F8E">
        <w:rPr>
          <w:rFonts w:ascii="Times New Roman" w:hAnsi="Times New Roman" w:cs="Times New Roman"/>
        </w:rPr>
        <w:t xml:space="preserve"> to the </w:t>
      </w:r>
      <w:r w:rsidR="001A7935" w:rsidRPr="00F55F8E">
        <w:rPr>
          <w:rFonts w:ascii="Times New Roman" w:hAnsi="Times New Roman" w:cs="Times New Roman"/>
        </w:rPr>
        <w:lastRenderedPageBreak/>
        <w:t xml:space="preserve">custom panel of biotinylated RNA probes for 24 hours. </w:t>
      </w:r>
      <w:r w:rsidR="00844314">
        <w:rPr>
          <w:rFonts w:ascii="Times New Roman" w:hAnsi="Times New Roman" w:cs="Times New Roman"/>
        </w:rPr>
        <w:t xml:space="preserve"> </w:t>
      </w:r>
      <w:r w:rsidR="001A7935" w:rsidRPr="00F55F8E">
        <w:rPr>
          <w:rFonts w:ascii="Times New Roman" w:hAnsi="Times New Roman" w:cs="Times New Roman"/>
        </w:rPr>
        <w:t xml:space="preserve">Dynabeads MyOne Streptavidin T1 (Invitrogen, Carlsbad, CA) beads were then used to bind the biotinylated targets and washed according to the SureSelect XT2 protocol. </w:t>
      </w:r>
      <w:r w:rsidR="00844314">
        <w:rPr>
          <w:rFonts w:ascii="Times New Roman" w:hAnsi="Times New Roman" w:cs="Times New Roman"/>
        </w:rPr>
        <w:t xml:space="preserve"> </w:t>
      </w:r>
      <w:r w:rsidR="002D3B0F">
        <w:rPr>
          <w:rFonts w:ascii="Times New Roman" w:hAnsi="Times New Roman" w:cs="Times New Roman"/>
        </w:rPr>
        <w:t xml:space="preserve">Twenty </w:t>
      </w:r>
      <w:r w:rsidR="001A7935" w:rsidRPr="00F55F8E">
        <w:rPr>
          <w:rFonts w:ascii="Times New Roman" w:hAnsi="Times New Roman" w:cs="Times New Roman"/>
        </w:rPr>
        <w:t>µl of eluted DNA was PCR amplified using PCR Master Mix (2x Kapa HiFi HotStart Ready Mix (25µl), Illumina Primer Mix (5µl) (Kapa Biosystems) (step1 98</w:t>
      </w:r>
      <w:r w:rsidR="001A7935" w:rsidRPr="00F55F8E">
        <w:rPr>
          <w:rFonts w:ascii="Times New Roman" w:hAnsi="Times New Roman" w:cs="Times New Roman"/>
          <w:vertAlign w:val="superscript"/>
        </w:rPr>
        <w:t>o</w:t>
      </w:r>
      <w:r w:rsidR="001A7935" w:rsidRPr="00F55F8E">
        <w:rPr>
          <w:rFonts w:ascii="Times New Roman" w:hAnsi="Times New Roman" w:cs="Times New Roman"/>
        </w:rPr>
        <w:t>C 0:45, step2 98</w:t>
      </w:r>
      <w:r w:rsidR="001A7935" w:rsidRPr="00F55F8E">
        <w:rPr>
          <w:rFonts w:ascii="Times New Roman" w:hAnsi="Times New Roman" w:cs="Times New Roman"/>
          <w:vertAlign w:val="superscript"/>
        </w:rPr>
        <w:t xml:space="preserve"> o</w:t>
      </w:r>
      <w:r w:rsidR="001A7935" w:rsidRPr="00F55F8E">
        <w:rPr>
          <w:rFonts w:ascii="Times New Roman" w:hAnsi="Times New Roman" w:cs="Times New Roman"/>
        </w:rPr>
        <w:t>C 0:15, step3 60</w:t>
      </w:r>
      <w:r w:rsidR="001A7935" w:rsidRPr="00F55F8E">
        <w:rPr>
          <w:rFonts w:ascii="Times New Roman" w:hAnsi="Times New Roman" w:cs="Times New Roman"/>
          <w:vertAlign w:val="superscript"/>
        </w:rPr>
        <w:t xml:space="preserve"> o</w:t>
      </w:r>
      <w:r w:rsidR="001A7935" w:rsidRPr="00F55F8E">
        <w:rPr>
          <w:rFonts w:ascii="Times New Roman" w:hAnsi="Times New Roman" w:cs="Times New Roman"/>
        </w:rPr>
        <w:t>C 0:30, step4 72</w:t>
      </w:r>
      <w:r w:rsidR="001A7935" w:rsidRPr="00F55F8E">
        <w:rPr>
          <w:rFonts w:ascii="Times New Roman" w:hAnsi="Times New Roman" w:cs="Times New Roman"/>
          <w:vertAlign w:val="superscript"/>
        </w:rPr>
        <w:t xml:space="preserve"> o</w:t>
      </w:r>
      <w:r w:rsidR="001A7935" w:rsidRPr="00F55F8E">
        <w:rPr>
          <w:rFonts w:ascii="Times New Roman" w:hAnsi="Times New Roman" w:cs="Times New Roman"/>
        </w:rPr>
        <w:t>C 0:30, go to step2 for 7 cycles, step5 72</w:t>
      </w:r>
      <w:r w:rsidR="001A7935" w:rsidRPr="00F55F8E">
        <w:rPr>
          <w:rFonts w:ascii="Times New Roman" w:hAnsi="Times New Roman" w:cs="Times New Roman"/>
          <w:vertAlign w:val="superscript"/>
        </w:rPr>
        <w:t>o</w:t>
      </w:r>
      <w:r w:rsidR="001A7935" w:rsidRPr="00F55F8E">
        <w:rPr>
          <w:rFonts w:ascii="Times New Roman" w:hAnsi="Times New Roman" w:cs="Times New Roman"/>
        </w:rPr>
        <w:t xml:space="preserve">C 1:00). </w:t>
      </w:r>
      <w:r w:rsidR="00844314">
        <w:rPr>
          <w:rFonts w:ascii="Times New Roman" w:hAnsi="Times New Roman" w:cs="Times New Roman"/>
        </w:rPr>
        <w:t xml:space="preserve"> </w:t>
      </w:r>
      <w:r w:rsidR="001A7935" w:rsidRPr="00F55F8E">
        <w:rPr>
          <w:rFonts w:ascii="Times New Roman" w:hAnsi="Times New Roman" w:cs="Times New Roman"/>
        </w:rPr>
        <w:t xml:space="preserve">The PCR products then underwent a 3X AMPure XP bead cleanup and the amplified libraries were quantitated on the TapeStation E220 and then diluted to 2nM for sequencing. </w:t>
      </w:r>
      <w:r w:rsidR="00844314">
        <w:rPr>
          <w:rFonts w:ascii="Times New Roman" w:hAnsi="Times New Roman" w:cs="Times New Roman"/>
        </w:rPr>
        <w:t xml:space="preserve"> </w:t>
      </w:r>
      <w:r w:rsidR="001A7935" w:rsidRPr="00F55F8E">
        <w:rPr>
          <w:rFonts w:ascii="Times New Roman" w:hAnsi="Times New Roman" w:cs="Times New Roman"/>
        </w:rPr>
        <w:t xml:space="preserve">IDT xGEN Hybridizaton Capture: Pooled DNA was mixed with 5µl Cot1 DNA (Thermo Fisher, Waltham, MA) and 1µl of each Universal blocking oligo (Ts-p5 and Ts-p7 (8nt)) (Integrated DNA Technologies), and then dried down and resuspended in xGEN hybridization buffers. </w:t>
      </w:r>
      <w:r w:rsidR="00844314">
        <w:rPr>
          <w:rFonts w:ascii="Times New Roman" w:hAnsi="Times New Roman" w:cs="Times New Roman"/>
        </w:rPr>
        <w:t xml:space="preserve"> </w:t>
      </w:r>
      <w:r w:rsidR="001A7935" w:rsidRPr="00F55F8E">
        <w:rPr>
          <w:rFonts w:ascii="Times New Roman" w:hAnsi="Times New Roman" w:cs="Times New Roman"/>
        </w:rPr>
        <w:t>IDT xGen custom capture probes and vap</w:t>
      </w:r>
      <w:r w:rsidR="00844314">
        <w:rPr>
          <w:rFonts w:ascii="Times New Roman" w:hAnsi="Times New Roman" w:cs="Times New Roman"/>
        </w:rPr>
        <w:t>o</w:t>
      </w:r>
      <w:r w:rsidR="001A7935" w:rsidRPr="00F55F8E">
        <w:rPr>
          <w:rFonts w:ascii="Times New Roman" w:hAnsi="Times New Roman" w:cs="Times New Roman"/>
        </w:rPr>
        <w:t>r lock oil w</w:t>
      </w:r>
      <w:r w:rsidR="00844314">
        <w:rPr>
          <w:rFonts w:ascii="Times New Roman" w:hAnsi="Times New Roman" w:cs="Times New Roman"/>
        </w:rPr>
        <w:t>as</w:t>
      </w:r>
      <w:r w:rsidR="001A7935" w:rsidRPr="00F55F8E">
        <w:rPr>
          <w:rFonts w:ascii="Times New Roman" w:hAnsi="Times New Roman" w:cs="Times New Roman"/>
        </w:rPr>
        <w:t xml:space="preserve"> added, and the reaction was incubated at 95</w:t>
      </w:r>
      <w:r w:rsidR="001A7935" w:rsidRPr="00F55F8E">
        <w:rPr>
          <w:rFonts w:ascii="Times New Roman" w:hAnsi="Times New Roman" w:cs="Times New Roman"/>
          <w:vertAlign w:val="superscript"/>
        </w:rPr>
        <w:t>o</w:t>
      </w:r>
      <w:r w:rsidR="001A7935" w:rsidRPr="00F55F8E">
        <w:rPr>
          <w:rFonts w:ascii="Times New Roman" w:hAnsi="Times New Roman" w:cs="Times New Roman"/>
        </w:rPr>
        <w:t>C for 10 minutes, followed by 62</w:t>
      </w:r>
      <w:r w:rsidR="001A7935" w:rsidRPr="00F55F8E">
        <w:rPr>
          <w:rFonts w:ascii="Times New Roman" w:hAnsi="Times New Roman" w:cs="Times New Roman"/>
          <w:vertAlign w:val="superscript"/>
        </w:rPr>
        <w:t>o</w:t>
      </w:r>
      <w:r w:rsidR="001A7935" w:rsidRPr="00F55F8E">
        <w:rPr>
          <w:rFonts w:ascii="Times New Roman" w:hAnsi="Times New Roman" w:cs="Times New Roman"/>
        </w:rPr>
        <w:t xml:space="preserve">C for 4 hours. </w:t>
      </w:r>
      <w:r w:rsidR="00844314">
        <w:rPr>
          <w:rFonts w:ascii="Times New Roman" w:hAnsi="Times New Roman" w:cs="Times New Roman"/>
        </w:rPr>
        <w:t xml:space="preserve"> </w:t>
      </w:r>
      <w:r w:rsidR="001A7935" w:rsidRPr="00F55F8E">
        <w:rPr>
          <w:rFonts w:ascii="Times New Roman" w:hAnsi="Times New Roman" w:cs="Times New Roman"/>
        </w:rPr>
        <w:t>Washed Dynabeads M-270 Streptavidin (Thermo Fisher) resuspended in hybridization buffer and preheated to 62</w:t>
      </w:r>
      <w:r w:rsidR="001A7935" w:rsidRPr="00F55F8E">
        <w:rPr>
          <w:rFonts w:ascii="Times New Roman" w:hAnsi="Times New Roman" w:cs="Times New Roman"/>
          <w:vertAlign w:val="superscript"/>
        </w:rPr>
        <w:t>o</w:t>
      </w:r>
      <w:r w:rsidR="001A7935" w:rsidRPr="00F55F8E">
        <w:rPr>
          <w:rFonts w:ascii="Times New Roman" w:hAnsi="Times New Roman" w:cs="Times New Roman"/>
        </w:rPr>
        <w:t>C were then added and incubated at 62</w:t>
      </w:r>
      <w:r w:rsidR="001A7935" w:rsidRPr="00F55F8E">
        <w:rPr>
          <w:rFonts w:ascii="Times New Roman" w:hAnsi="Times New Roman" w:cs="Times New Roman"/>
          <w:vertAlign w:val="superscript"/>
        </w:rPr>
        <w:t>o</w:t>
      </w:r>
      <w:r w:rsidR="001A7935" w:rsidRPr="00F55F8E">
        <w:rPr>
          <w:rFonts w:ascii="Times New Roman" w:hAnsi="Times New Roman" w:cs="Times New Roman"/>
        </w:rPr>
        <w:t xml:space="preserve">C for 45 minutes with mixing every 12 minutes. </w:t>
      </w:r>
      <w:r w:rsidR="00844314">
        <w:rPr>
          <w:rFonts w:ascii="Times New Roman" w:hAnsi="Times New Roman" w:cs="Times New Roman"/>
        </w:rPr>
        <w:t xml:space="preserve"> </w:t>
      </w:r>
      <w:r w:rsidR="001A7935" w:rsidRPr="00F55F8E">
        <w:rPr>
          <w:rFonts w:ascii="Times New Roman" w:hAnsi="Times New Roman" w:cs="Times New Roman"/>
        </w:rPr>
        <w:t>The beads were then washed 3x at 62</w:t>
      </w:r>
      <w:r w:rsidR="001A7935" w:rsidRPr="00F55F8E">
        <w:rPr>
          <w:rFonts w:ascii="Times New Roman" w:hAnsi="Times New Roman" w:cs="Times New Roman"/>
          <w:vertAlign w:val="superscript"/>
        </w:rPr>
        <w:t>o</w:t>
      </w:r>
      <w:r w:rsidR="001A7935" w:rsidRPr="00F55F8E">
        <w:rPr>
          <w:rFonts w:ascii="Times New Roman" w:hAnsi="Times New Roman" w:cs="Times New Roman"/>
        </w:rPr>
        <w:t xml:space="preserve">C, and then 3x at room temperature. </w:t>
      </w:r>
      <w:r w:rsidR="00844314">
        <w:rPr>
          <w:rFonts w:ascii="Times New Roman" w:hAnsi="Times New Roman" w:cs="Times New Roman"/>
        </w:rPr>
        <w:t xml:space="preserve"> </w:t>
      </w:r>
      <w:r w:rsidR="001A7935" w:rsidRPr="00F55F8E">
        <w:rPr>
          <w:rFonts w:ascii="Times New Roman" w:hAnsi="Times New Roman" w:cs="Times New Roman"/>
        </w:rPr>
        <w:t xml:space="preserve">The bead captured DNA fragments were then eluted with 20µl water and underwent 10 cycles of PCR using the same cycling conditions described in the Hyper Kapa XT2 library construction process. </w:t>
      </w:r>
      <w:r w:rsidR="00844314">
        <w:rPr>
          <w:rFonts w:ascii="Times New Roman" w:hAnsi="Times New Roman" w:cs="Times New Roman"/>
        </w:rPr>
        <w:t xml:space="preserve"> </w:t>
      </w:r>
      <w:r w:rsidR="001A7935" w:rsidRPr="00F55F8E">
        <w:rPr>
          <w:rFonts w:ascii="Times New Roman" w:hAnsi="Times New Roman" w:cs="Times New Roman"/>
        </w:rPr>
        <w:t xml:space="preserve">A final Agencourt AMPure XP bead cleanup was performed and the pool was quantitated using a TapeStation E220 and then diluted to 2nM for sequencing. </w:t>
      </w:r>
      <w:r w:rsidR="00E27FD7">
        <w:rPr>
          <w:rFonts w:ascii="Times New Roman" w:hAnsi="Times New Roman" w:cs="Times New Roman"/>
        </w:rPr>
        <w:t xml:space="preserve"> </w:t>
      </w:r>
      <w:r w:rsidR="001A7935" w:rsidRPr="00F55F8E">
        <w:rPr>
          <w:rFonts w:ascii="Times New Roman" w:hAnsi="Times New Roman" w:cs="Times New Roman"/>
        </w:rPr>
        <w:t>Sequencing for both assay panels was performed on an Illumina HiSeq2500 using a 200 cycle HiSeq Rapid SBS Kit v2 and a</w:t>
      </w:r>
      <w:r w:rsidRPr="00F55F8E">
        <w:rPr>
          <w:rFonts w:ascii="Times New Roman" w:hAnsi="Times New Roman" w:cs="Times New Roman"/>
        </w:rPr>
        <w:t xml:space="preserve"> HiSeq Rapid PE Cluster Kit v2. </w:t>
      </w:r>
      <w:r w:rsidR="00E27FD7">
        <w:rPr>
          <w:rFonts w:ascii="Times New Roman" w:hAnsi="Times New Roman" w:cs="Times New Roman"/>
        </w:rPr>
        <w:t xml:space="preserve"> </w:t>
      </w:r>
      <w:r w:rsidR="001A7935" w:rsidRPr="00F55F8E">
        <w:rPr>
          <w:rFonts w:ascii="Times New Roman" w:hAnsi="Times New Roman" w:cs="Times New Roman"/>
        </w:rPr>
        <w:t xml:space="preserve">Average coverage after alignment to the target regions and removal of non-clonal reads was 476.2 reads per base for coverage of </w:t>
      </w:r>
      <w:r w:rsidR="001A7935" w:rsidRPr="00F55F8E">
        <w:rPr>
          <w:rFonts w:ascii="Times New Roman" w:hAnsi="Times New Roman" w:cs="Times New Roman"/>
          <w:i/>
        </w:rPr>
        <w:t>BRCA1/2</w:t>
      </w:r>
      <w:r w:rsidR="001A7935" w:rsidRPr="00F55F8E">
        <w:rPr>
          <w:rFonts w:ascii="Times New Roman" w:hAnsi="Times New Roman" w:cs="Times New Roman"/>
        </w:rPr>
        <w:t xml:space="preserve"> target regions and 317.4 reads per base for SNP coverage</w:t>
      </w:r>
      <w:r w:rsidRPr="00F55F8E">
        <w:rPr>
          <w:rFonts w:ascii="Times New Roman" w:hAnsi="Times New Roman" w:cs="Times New Roman"/>
        </w:rPr>
        <w:t>.</w:t>
      </w:r>
    </w:p>
    <w:p w14:paraId="0E60CBC0" w14:textId="24435F77" w:rsidR="001A7935" w:rsidRPr="00F55F8E" w:rsidRDefault="00555F0F" w:rsidP="00555F0F">
      <w:pPr>
        <w:spacing w:line="480" w:lineRule="auto"/>
        <w:ind w:firstLine="720"/>
        <w:jc w:val="both"/>
        <w:rPr>
          <w:rFonts w:ascii="Times New Roman" w:hAnsi="Times New Roman" w:cs="Times New Roman"/>
        </w:rPr>
      </w:pPr>
      <w:r w:rsidRPr="00F55F8E">
        <w:rPr>
          <w:rFonts w:ascii="Times New Roman" w:hAnsi="Times New Roman" w:cs="Times New Roman"/>
        </w:rPr>
        <w:t xml:space="preserve">Data analysis: </w:t>
      </w:r>
      <w:r w:rsidR="001A7935" w:rsidRPr="00F55F8E">
        <w:rPr>
          <w:rFonts w:ascii="Times New Roman" w:hAnsi="Times New Roman" w:cs="Times New Roman"/>
        </w:rPr>
        <w:t>The SNP analysis and methods used to calculate the 3 individual component scores (LOH, TAI, LST) and the final HRD score are described in detail in Timms et al., 2014</w:t>
      </w:r>
      <w:r w:rsidR="00E27FD7">
        <w:rPr>
          <w:rFonts w:ascii="Times New Roman" w:hAnsi="Times New Roman" w:cs="Times New Roman"/>
        </w:rPr>
        <w:t>.</w:t>
      </w:r>
      <w:r w:rsidR="00B15A7A">
        <w:rPr>
          <w:rFonts w:ascii="Times New Roman" w:hAnsi="Times New Roman" w:cs="Times New Roman"/>
          <w:vertAlign w:val="superscript"/>
        </w:rPr>
        <w:t>2</w:t>
      </w:r>
      <w:r w:rsidR="00E27FD7">
        <w:rPr>
          <w:rFonts w:ascii="Times New Roman" w:hAnsi="Times New Roman" w:cs="Times New Roman"/>
          <w:vertAlign w:val="superscript"/>
        </w:rPr>
        <w:t xml:space="preserve"> </w:t>
      </w:r>
      <w:r w:rsidR="001A7935" w:rsidRPr="00F55F8E">
        <w:rPr>
          <w:rFonts w:ascii="Times New Roman" w:hAnsi="Times New Roman" w:cs="Times New Roman"/>
        </w:rPr>
        <w:t xml:space="preserve"> </w:t>
      </w:r>
      <w:r w:rsidR="00E27FD7">
        <w:rPr>
          <w:rFonts w:ascii="Times New Roman" w:hAnsi="Times New Roman" w:cs="Times New Roman"/>
        </w:rPr>
        <w:t xml:space="preserve"> </w:t>
      </w:r>
      <w:r w:rsidR="001A7935" w:rsidRPr="00F55F8E">
        <w:rPr>
          <w:rFonts w:ascii="Times New Roman" w:hAnsi="Times New Roman" w:cs="Times New Roman"/>
        </w:rPr>
        <w:t xml:space="preserve">This publication also describes the quality metrics used to assess the quality of the ASCN reconstructions. </w:t>
      </w:r>
      <w:r w:rsidR="00E27FD7">
        <w:rPr>
          <w:rFonts w:ascii="Times New Roman" w:hAnsi="Times New Roman" w:cs="Times New Roman"/>
        </w:rPr>
        <w:t xml:space="preserve"> </w:t>
      </w:r>
      <w:r w:rsidR="001A7935" w:rsidRPr="00F55F8E">
        <w:rPr>
          <w:rFonts w:ascii="Times New Roman" w:hAnsi="Times New Roman" w:cs="Times New Roman"/>
        </w:rPr>
        <w:t xml:space="preserve">If a predefined threshold is exceeded then samples are failed for HRD analysis. </w:t>
      </w:r>
      <w:r w:rsidR="00E27FD7">
        <w:rPr>
          <w:rFonts w:ascii="Times New Roman" w:hAnsi="Times New Roman" w:cs="Times New Roman"/>
        </w:rPr>
        <w:t xml:space="preserve"> </w:t>
      </w:r>
      <w:r w:rsidR="001A7935" w:rsidRPr="00F55F8E">
        <w:rPr>
          <w:rFonts w:ascii="Times New Roman" w:hAnsi="Times New Roman" w:cs="Times New Roman"/>
        </w:rPr>
        <w:t xml:space="preserve">Typically, HRD analysis will fail at </w:t>
      </w:r>
      <w:r w:rsidR="000A7C86">
        <w:rPr>
          <w:rFonts w:ascii="Times New Roman" w:hAnsi="Times New Roman" w:cs="Times New Roman"/>
        </w:rPr>
        <w:t>70-80</w:t>
      </w:r>
      <w:r w:rsidR="001A7935" w:rsidRPr="00F55F8E">
        <w:rPr>
          <w:rFonts w:ascii="Times New Roman" w:hAnsi="Times New Roman" w:cs="Times New Roman"/>
        </w:rPr>
        <w:t>% non-tumor DNA content</w:t>
      </w:r>
      <w:r w:rsidR="000A7C86">
        <w:rPr>
          <w:rFonts w:ascii="Times New Roman" w:hAnsi="Times New Roman" w:cs="Times New Roman"/>
        </w:rPr>
        <w:t xml:space="preserve"> or higher</w:t>
      </w:r>
      <w:r w:rsidR="001A7935" w:rsidRPr="00F55F8E">
        <w:rPr>
          <w:rFonts w:ascii="Times New Roman" w:hAnsi="Times New Roman" w:cs="Times New Roman"/>
        </w:rPr>
        <w:t xml:space="preserve">, with the variation dependent on the DNA quality. </w:t>
      </w:r>
      <w:r w:rsidR="00E27FD7">
        <w:rPr>
          <w:rFonts w:ascii="Times New Roman" w:hAnsi="Times New Roman" w:cs="Times New Roman"/>
        </w:rPr>
        <w:t xml:space="preserve"> </w:t>
      </w:r>
      <w:r w:rsidR="001A7935" w:rsidRPr="00F55F8E">
        <w:rPr>
          <w:rFonts w:ascii="Times New Roman" w:hAnsi="Times New Roman" w:cs="Times New Roman"/>
        </w:rPr>
        <w:t xml:space="preserve">Identification </w:t>
      </w:r>
      <w:r w:rsidR="001A7935" w:rsidRPr="00F55F8E">
        <w:rPr>
          <w:rFonts w:ascii="Times New Roman" w:hAnsi="Times New Roman" w:cs="Times New Roman"/>
        </w:rPr>
        <w:lastRenderedPageBreak/>
        <w:t xml:space="preserve">of </w:t>
      </w:r>
      <w:r w:rsidR="001A7935" w:rsidRPr="00F55F8E">
        <w:rPr>
          <w:rFonts w:ascii="Times New Roman" w:hAnsi="Times New Roman" w:cs="Times New Roman"/>
          <w:i/>
        </w:rPr>
        <w:t>BRCA1</w:t>
      </w:r>
      <w:r w:rsidR="001A7935" w:rsidRPr="00F55F8E">
        <w:rPr>
          <w:rFonts w:ascii="Times New Roman" w:hAnsi="Times New Roman" w:cs="Times New Roman"/>
        </w:rPr>
        <w:t xml:space="preserve"> and </w:t>
      </w:r>
      <w:r w:rsidR="001A7935" w:rsidRPr="00F55F8E">
        <w:rPr>
          <w:rFonts w:ascii="Times New Roman" w:hAnsi="Times New Roman" w:cs="Times New Roman"/>
          <w:i/>
        </w:rPr>
        <w:t>BRCA2</w:t>
      </w:r>
      <w:r w:rsidR="001A7935" w:rsidRPr="00F55F8E">
        <w:rPr>
          <w:rFonts w:ascii="Times New Roman" w:hAnsi="Times New Roman" w:cs="Times New Roman"/>
        </w:rPr>
        <w:t xml:space="preserve"> deficient tumors has been described previously</w:t>
      </w:r>
      <w:r w:rsidR="001A7935" w:rsidRPr="00F55F8E">
        <w:rPr>
          <w:rFonts w:ascii="Times New Roman" w:hAnsi="Times New Roman" w:cs="Times New Roman"/>
          <w:vertAlign w:val="superscript"/>
        </w:rPr>
        <w:t>2</w:t>
      </w:r>
      <w:r w:rsidR="001A7935" w:rsidRPr="00F55F8E">
        <w:rPr>
          <w:rFonts w:ascii="Times New Roman" w:hAnsi="Times New Roman" w:cs="Times New Roman"/>
        </w:rPr>
        <w:t>,</w:t>
      </w:r>
      <w:r w:rsidR="001A7935" w:rsidRPr="00F55F8E">
        <w:rPr>
          <w:rFonts w:ascii="Times New Roman" w:hAnsi="Times New Roman" w:cs="Times New Roman"/>
          <w:vertAlign w:val="superscript"/>
        </w:rPr>
        <w:t xml:space="preserve"> </w:t>
      </w:r>
      <w:r w:rsidR="001A7935" w:rsidRPr="00F55F8E">
        <w:rPr>
          <w:rFonts w:ascii="Times New Roman" w:hAnsi="Times New Roman" w:cs="Times New Roman"/>
        </w:rPr>
        <w:t>only deleterious and suspected deleterious mutations were included in the analysis</w:t>
      </w:r>
      <w:r w:rsidR="00E27FD7">
        <w:rPr>
          <w:rFonts w:ascii="Times New Roman" w:hAnsi="Times New Roman" w:cs="Times New Roman"/>
        </w:rPr>
        <w:t>.</w:t>
      </w:r>
      <w:r w:rsidR="00B15A7A">
        <w:rPr>
          <w:rFonts w:ascii="Times New Roman" w:hAnsi="Times New Roman" w:cs="Times New Roman"/>
          <w:vertAlign w:val="superscript"/>
        </w:rPr>
        <w:t>3,</w:t>
      </w:r>
      <w:r w:rsidR="001A7935" w:rsidRPr="00F55F8E">
        <w:rPr>
          <w:rFonts w:ascii="Times New Roman" w:hAnsi="Times New Roman" w:cs="Times New Roman"/>
          <w:vertAlign w:val="superscript"/>
        </w:rPr>
        <w:t>4</w:t>
      </w:r>
      <w:r w:rsidR="009C7ED0">
        <w:rPr>
          <w:rFonts w:ascii="Times New Roman" w:hAnsi="Times New Roman" w:cs="Times New Roman"/>
        </w:rPr>
        <w:t xml:space="preserve"> </w:t>
      </w:r>
      <w:r w:rsidR="001A7935" w:rsidRPr="00F55F8E">
        <w:rPr>
          <w:rFonts w:ascii="Times New Roman" w:hAnsi="Times New Roman" w:cs="Times New Roman"/>
        </w:rPr>
        <w:t>Validation experiments (data not shown) have confirmed that</w:t>
      </w:r>
      <w:r w:rsidR="000E25BA">
        <w:rPr>
          <w:rFonts w:ascii="Times New Roman" w:hAnsi="Times New Roman" w:cs="Times New Roman"/>
        </w:rPr>
        <w:t xml:space="preserve"> somatic</w:t>
      </w:r>
      <w:r w:rsidR="001A7935" w:rsidRPr="00F55F8E">
        <w:rPr>
          <w:rFonts w:ascii="Times New Roman" w:hAnsi="Times New Roman" w:cs="Times New Roman"/>
        </w:rPr>
        <w:t xml:space="preserve"> </w:t>
      </w:r>
      <w:r w:rsidR="001A7935" w:rsidRPr="00F55F8E">
        <w:rPr>
          <w:rFonts w:ascii="Times New Roman" w:hAnsi="Times New Roman" w:cs="Times New Roman"/>
          <w:i/>
        </w:rPr>
        <w:t>BRCA1/2</w:t>
      </w:r>
      <w:r w:rsidR="001A7935" w:rsidRPr="00F55F8E">
        <w:rPr>
          <w:rFonts w:ascii="Times New Roman" w:hAnsi="Times New Roman" w:cs="Times New Roman"/>
        </w:rPr>
        <w:t xml:space="preserve"> variants can be reliably determined from this assay down to a </w:t>
      </w:r>
      <w:r w:rsidR="00F92E18">
        <w:rPr>
          <w:rFonts w:ascii="Times New Roman" w:hAnsi="Times New Roman" w:cs="Times New Roman"/>
        </w:rPr>
        <w:t>10% allele</w:t>
      </w:r>
      <w:r w:rsidR="001A7935" w:rsidRPr="00F55F8E">
        <w:rPr>
          <w:rFonts w:ascii="Times New Roman" w:hAnsi="Times New Roman" w:cs="Times New Roman"/>
        </w:rPr>
        <w:t xml:space="preserve"> frequency, enabling the detection of </w:t>
      </w:r>
      <w:r w:rsidR="001A7935" w:rsidRPr="00F55F8E">
        <w:rPr>
          <w:rFonts w:ascii="Times New Roman" w:hAnsi="Times New Roman" w:cs="Times New Roman"/>
          <w:i/>
        </w:rPr>
        <w:t>BRCA1/2</w:t>
      </w:r>
      <w:r w:rsidR="001A7935" w:rsidRPr="00F55F8E">
        <w:rPr>
          <w:rFonts w:ascii="Times New Roman" w:hAnsi="Times New Roman" w:cs="Times New Roman"/>
        </w:rPr>
        <w:t xml:space="preserve"> variants even in those samples which fail HRD analysis due to high non-tumor content.</w:t>
      </w:r>
      <w:r w:rsidR="000E25BA">
        <w:rPr>
          <w:rFonts w:ascii="Times New Roman" w:hAnsi="Times New Roman" w:cs="Times New Roman"/>
        </w:rPr>
        <w:t xml:space="preserve"> </w:t>
      </w:r>
      <w:r w:rsidR="00E27FD7">
        <w:rPr>
          <w:rFonts w:ascii="Times New Roman" w:hAnsi="Times New Roman" w:cs="Times New Roman"/>
        </w:rPr>
        <w:t xml:space="preserve"> </w:t>
      </w:r>
      <w:r w:rsidR="000E25BA">
        <w:rPr>
          <w:rFonts w:ascii="Times New Roman" w:hAnsi="Times New Roman" w:cs="Times New Roman"/>
        </w:rPr>
        <w:t>Detection of germline BRCA1/2 variants which are present in the tumor cells is not impacted by non-tumor content as these are present at an allele frequency of ≥50%.</w:t>
      </w:r>
    </w:p>
    <w:p w14:paraId="32752FC3" w14:textId="08C6F129" w:rsidR="001A7935" w:rsidRDefault="001A7935" w:rsidP="001A7935">
      <w:pPr>
        <w:spacing w:line="480" w:lineRule="auto"/>
        <w:ind w:firstLine="720"/>
        <w:jc w:val="both"/>
        <w:rPr>
          <w:rFonts w:ascii="Times New Roman" w:hAnsi="Times New Roman" w:cs="Times New Roman"/>
        </w:rPr>
      </w:pPr>
      <w:r w:rsidRPr="00F55F8E">
        <w:rPr>
          <w:rFonts w:ascii="Times New Roman" w:hAnsi="Times New Roman" w:cs="Times New Roman"/>
        </w:rPr>
        <w:t>To assess whether there was an association between time to first recurrence and the amount of genomic rearrangement that had occurred between the primary and recurrent tumor samples, correlation of allele dosage profiles was assessed at the individual single nucleotide polymorphism level.</w:t>
      </w:r>
      <w:r w:rsidR="00E27FD7">
        <w:rPr>
          <w:rFonts w:ascii="Times New Roman" w:hAnsi="Times New Roman" w:cs="Times New Roman"/>
        </w:rPr>
        <w:t xml:space="preserve">  </w:t>
      </w:r>
      <w:r w:rsidRPr="00F55F8E">
        <w:rPr>
          <w:rFonts w:ascii="Times New Roman" w:hAnsi="Times New Roman" w:cs="Times New Roman"/>
        </w:rPr>
        <w:t>Unlike HRD, comparing allele dosage profiles should give a quantitative measure of the degree of genomic rearrangement between the tumors in each of the primary-recurrent pairs.  Allelic imbalance profiles were generated and used for calculation of the individual biomarker components (LOH, TAI, LST), and the combined HRD score was derived</w:t>
      </w:r>
      <w:r w:rsidR="00E27FD7">
        <w:rPr>
          <w:rFonts w:ascii="Times New Roman" w:hAnsi="Times New Roman" w:cs="Times New Roman"/>
        </w:rPr>
        <w:t>.</w:t>
      </w:r>
      <w:r w:rsidR="00B15A7A">
        <w:rPr>
          <w:rFonts w:ascii="Times New Roman" w:hAnsi="Times New Roman" w:cs="Times New Roman"/>
          <w:vertAlign w:val="superscript"/>
        </w:rPr>
        <w:t xml:space="preserve">1, </w:t>
      </w:r>
      <w:r w:rsidRPr="00F55F8E">
        <w:rPr>
          <w:rFonts w:ascii="Times New Roman" w:hAnsi="Times New Roman" w:cs="Times New Roman"/>
          <w:vertAlign w:val="superscript"/>
        </w:rPr>
        <w:t>2</w:t>
      </w:r>
    </w:p>
    <w:p w14:paraId="009606A0" w14:textId="314C63FE" w:rsidR="001F2962" w:rsidRPr="001F2962" w:rsidRDefault="001F2962" w:rsidP="00337081">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rPr>
        <w:t xml:space="preserve">To generate allele dosage profiles </w:t>
      </w:r>
      <w:r w:rsidRPr="001F2962">
        <w:rPr>
          <w:rFonts w:ascii="Times New Roman" w:eastAsia="Times New Roman" w:hAnsi="Times New Roman" w:cs="Times New Roman"/>
          <w:color w:val="000000"/>
          <w:sz w:val="24"/>
          <w:szCs w:val="24"/>
        </w:rPr>
        <w:t xml:space="preserve">sequence reads </w:t>
      </w:r>
      <w:r w:rsidR="003765F9">
        <w:rPr>
          <w:rFonts w:ascii="Times New Roman" w:eastAsia="Times New Roman" w:hAnsi="Times New Roman" w:cs="Times New Roman"/>
          <w:color w:val="000000"/>
          <w:sz w:val="24"/>
          <w:szCs w:val="24"/>
        </w:rPr>
        <w:t>were</w:t>
      </w:r>
      <w:r w:rsidRPr="001F2962">
        <w:rPr>
          <w:rFonts w:ascii="Times New Roman" w:eastAsia="Times New Roman" w:hAnsi="Times New Roman" w:cs="Times New Roman"/>
          <w:color w:val="000000"/>
          <w:sz w:val="24"/>
          <w:szCs w:val="24"/>
        </w:rPr>
        <w:t xml:space="preserve"> mapped against a SNP sequence database. </w:t>
      </w:r>
      <w:r w:rsidR="00E27FD7">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This database was created by cutting fragments from the whole genome sequence (version Feb. 2009 GRCh37/hg19) that contain each SNP</w:t>
      </w:r>
      <w:r>
        <w:rPr>
          <w:rFonts w:ascii="Times New Roman" w:eastAsia="Times New Roman" w:hAnsi="Times New Roman" w:cs="Times New Roman"/>
          <w:color w:val="000000"/>
          <w:sz w:val="24"/>
          <w:szCs w:val="24"/>
        </w:rPr>
        <w:t xml:space="preserve"> targeted by the hybridization enrichment assay</w:t>
      </w:r>
      <w:r w:rsidRPr="001F2962">
        <w:rPr>
          <w:rFonts w:ascii="Times New Roman" w:eastAsia="Times New Roman" w:hAnsi="Times New Roman" w:cs="Times New Roman"/>
          <w:color w:val="000000"/>
          <w:sz w:val="24"/>
          <w:szCs w:val="24"/>
        </w:rPr>
        <w:t xml:space="preserve">. </w:t>
      </w:r>
      <w:r w:rsidR="00E27FD7">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 xml:space="preserve">Each sequence fragment is 801 bp, with 400 bp flanks on each side of the SNP positions. </w:t>
      </w:r>
      <w:r w:rsidR="00E27FD7">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 xml:space="preserve">Mapping of the sequence reads to the SNP sequence database </w:t>
      </w:r>
      <w:r w:rsidR="003765F9">
        <w:rPr>
          <w:rFonts w:ascii="Times New Roman" w:eastAsia="Times New Roman" w:hAnsi="Times New Roman" w:cs="Times New Roman"/>
          <w:color w:val="000000"/>
          <w:sz w:val="24"/>
          <w:szCs w:val="24"/>
        </w:rPr>
        <w:t>was</w:t>
      </w:r>
      <w:r w:rsidRPr="001F2962">
        <w:rPr>
          <w:rFonts w:ascii="Times New Roman" w:eastAsia="Times New Roman" w:hAnsi="Times New Roman" w:cs="Times New Roman"/>
          <w:color w:val="000000"/>
          <w:sz w:val="24"/>
          <w:szCs w:val="24"/>
        </w:rPr>
        <w:t xml:space="preserve"> performed by a </w:t>
      </w:r>
      <w:r w:rsidR="000C1C04">
        <w:rPr>
          <w:rFonts w:ascii="Times New Roman" w:eastAsia="Times New Roman" w:hAnsi="Times New Roman" w:cs="Times New Roman"/>
          <w:color w:val="000000"/>
          <w:sz w:val="24"/>
          <w:szCs w:val="24"/>
        </w:rPr>
        <w:t>prog</w:t>
      </w:r>
      <w:r w:rsidR="00B41E91">
        <w:rPr>
          <w:rFonts w:ascii="Times New Roman" w:eastAsia="Times New Roman" w:hAnsi="Times New Roman" w:cs="Times New Roman"/>
          <w:color w:val="000000"/>
          <w:sz w:val="24"/>
          <w:szCs w:val="24"/>
        </w:rPr>
        <w:t>ram that implements the Burrows-</w:t>
      </w:r>
      <w:r w:rsidR="000C1C04">
        <w:rPr>
          <w:rFonts w:ascii="Times New Roman" w:eastAsia="Times New Roman" w:hAnsi="Times New Roman" w:cs="Times New Roman"/>
          <w:color w:val="000000"/>
          <w:sz w:val="24"/>
          <w:szCs w:val="24"/>
        </w:rPr>
        <w:t>Wheeler Transform</w:t>
      </w:r>
      <w:r w:rsidRPr="001F2962">
        <w:rPr>
          <w:rFonts w:ascii="Times New Roman" w:eastAsia="Times New Roman" w:hAnsi="Times New Roman" w:cs="Times New Roman"/>
          <w:color w:val="000000"/>
          <w:sz w:val="24"/>
          <w:szCs w:val="24"/>
        </w:rPr>
        <w:t xml:space="preserve"> </w:t>
      </w:r>
      <w:r w:rsidR="00337081">
        <w:rPr>
          <w:rFonts w:ascii="Times New Roman" w:eastAsia="Times New Roman" w:hAnsi="Times New Roman" w:cs="Times New Roman"/>
          <w:color w:val="000000"/>
          <w:sz w:val="24"/>
          <w:szCs w:val="24"/>
        </w:rPr>
        <w:t xml:space="preserve">(BWT) </w:t>
      </w:r>
      <w:r w:rsidRPr="001F2962">
        <w:rPr>
          <w:rFonts w:ascii="Times New Roman" w:eastAsia="Times New Roman" w:hAnsi="Times New Roman" w:cs="Times New Roman"/>
          <w:color w:val="000000"/>
          <w:sz w:val="24"/>
          <w:szCs w:val="24"/>
        </w:rPr>
        <w:t>algorithm</w:t>
      </w:r>
      <w:r w:rsidR="003765F9" w:rsidRPr="003765F9">
        <w:rPr>
          <w:rFonts w:ascii="Times New Roman" w:eastAsia="Times New Roman" w:hAnsi="Times New Roman" w:cs="Times New Roman"/>
          <w:color w:val="000000"/>
          <w:sz w:val="24"/>
          <w:szCs w:val="24"/>
          <w:vertAlign w:val="superscript"/>
        </w:rPr>
        <w:t>6,7</w:t>
      </w:r>
      <w:r w:rsidR="00337081">
        <w:rPr>
          <w:rFonts w:ascii="Times New Roman" w:eastAsia="Times New Roman" w:hAnsi="Times New Roman" w:cs="Times New Roman"/>
          <w:color w:val="000000"/>
          <w:sz w:val="24"/>
          <w:szCs w:val="24"/>
        </w:rPr>
        <w:t xml:space="preserve"> using a pairwise alignment performed by JAligner (</w:t>
      </w:r>
      <w:hyperlink r:id="rId5" w:history="1">
        <w:r w:rsidR="003765F9" w:rsidRPr="00DF38F4">
          <w:rPr>
            <w:rStyle w:val="Hyperlink"/>
            <w:rFonts w:ascii="Times New Roman" w:eastAsia="Times New Roman" w:hAnsi="Times New Roman" w:cs="Times New Roman"/>
            <w:sz w:val="24"/>
            <w:szCs w:val="24"/>
          </w:rPr>
          <w:t>http://jaligner.sourceforge.net/</w:t>
        </w:r>
      </w:hyperlink>
      <w:r w:rsidR="000A7C86">
        <w:rPr>
          <w:rFonts w:ascii="Times New Roman" w:eastAsia="Times New Roman" w:hAnsi="Times New Roman" w:cs="Times New Roman"/>
          <w:color w:val="000000"/>
          <w:sz w:val="24"/>
          <w:szCs w:val="24"/>
        </w:rPr>
        <w:t>)</w:t>
      </w:r>
      <w:r w:rsidR="003765F9">
        <w:rPr>
          <w:rFonts w:ascii="Times New Roman" w:eastAsia="Times New Roman" w:hAnsi="Times New Roman" w:cs="Times New Roman"/>
          <w:color w:val="000000"/>
          <w:sz w:val="24"/>
          <w:szCs w:val="24"/>
        </w:rPr>
        <w:t xml:space="preserve">. </w:t>
      </w:r>
      <w:r w:rsidR="00E27FD7">
        <w:rPr>
          <w:rFonts w:ascii="Times New Roman" w:eastAsia="Times New Roman" w:hAnsi="Times New Roman" w:cs="Times New Roman"/>
          <w:color w:val="000000"/>
          <w:sz w:val="24"/>
          <w:szCs w:val="24"/>
        </w:rPr>
        <w:t xml:space="preserve"> </w:t>
      </w:r>
      <w:r w:rsidR="003765F9">
        <w:rPr>
          <w:rFonts w:ascii="Times New Roman" w:eastAsia="Times New Roman" w:hAnsi="Times New Roman" w:cs="Times New Roman"/>
          <w:color w:val="000000"/>
          <w:sz w:val="24"/>
          <w:szCs w:val="24"/>
        </w:rPr>
        <w:t>Sequence quality trimming was performed according to the BWT algorithm</w:t>
      </w:r>
      <w:r w:rsidR="00E27FD7">
        <w:rPr>
          <w:rFonts w:ascii="Times New Roman" w:eastAsia="Times New Roman" w:hAnsi="Times New Roman" w:cs="Times New Roman"/>
          <w:color w:val="000000"/>
          <w:sz w:val="24"/>
          <w:szCs w:val="24"/>
        </w:rPr>
        <w:t>.</w:t>
      </w:r>
      <w:r w:rsidR="00C71F9C">
        <w:rPr>
          <w:rFonts w:ascii="Times New Roman" w:eastAsia="Times New Roman" w:hAnsi="Times New Roman" w:cs="Times New Roman"/>
          <w:color w:val="000000"/>
          <w:sz w:val="24"/>
          <w:szCs w:val="24"/>
          <w:vertAlign w:val="superscript"/>
        </w:rPr>
        <w:t>5,6</w:t>
      </w:r>
      <w:r w:rsidR="009C7ED0">
        <w:rPr>
          <w:rFonts w:ascii="Times New Roman" w:eastAsia="Times New Roman" w:hAnsi="Times New Roman" w:cs="Times New Roman"/>
          <w:color w:val="000000"/>
          <w:sz w:val="24"/>
          <w:szCs w:val="24"/>
          <w:vertAlign w:val="superscript"/>
        </w:rPr>
        <w:t xml:space="preserve"> </w:t>
      </w:r>
      <w:r w:rsidR="00E27FD7">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 xml:space="preserve">Each sequence read </w:t>
      </w:r>
      <w:r w:rsidR="002D3B0F">
        <w:rPr>
          <w:rFonts w:ascii="Times New Roman" w:eastAsia="Times New Roman" w:hAnsi="Times New Roman" w:cs="Times New Roman"/>
          <w:color w:val="000000"/>
          <w:sz w:val="24"/>
          <w:szCs w:val="24"/>
        </w:rPr>
        <w:t>was</w:t>
      </w:r>
      <w:r w:rsidRPr="001F2962">
        <w:rPr>
          <w:rFonts w:ascii="Times New Roman" w:eastAsia="Times New Roman" w:hAnsi="Times New Roman" w:cs="Times New Roman"/>
          <w:color w:val="000000"/>
          <w:sz w:val="24"/>
          <w:szCs w:val="24"/>
        </w:rPr>
        <w:t xml:space="preserve"> considered mapped if it matche</w:t>
      </w:r>
      <w:r w:rsidR="002D3B0F">
        <w:rPr>
          <w:rFonts w:ascii="Times New Roman" w:eastAsia="Times New Roman" w:hAnsi="Times New Roman" w:cs="Times New Roman"/>
          <w:color w:val="000000"/>
          <w:sz w:val="24"/>
          <w:szCs w:val="24"/>
        </w:rPr>
        <w:t>d</w:t>
      </w:r>
      <w:r w:rsidRPr="001F2962">
        <w:rPr>
          <w:rFonts w:ascii="Times New Roman" w:eastAsia="Times New Roman" w:hAnsi="Times New Roman" w:cs="Times New Roman"/>
          <w:color w:val="000000"/>
          <w:sz w:val="24"/>
          <w:szCs w:val="24"/>
        </w:rPr>
        <w:t xml:space="preserve"> the SNP database sequence with seven or less mismatches.</w:t>
      </w:r>
      <w:r w:rsidRPr="001F2962">
        <w:rPr>
          <w:color w:val="000000"/>
        </w:rPr>
        <w:t xml:space="preserve"> </w:t>
      </w:r>
      <w:r w:rsidR="009C7ED0">
        <w:rPr>
          <w:color w:val="000000"/>
        </w:rPr>
        <w:t xml:space="preserve"> </w:t>
      </w:r>
      <w:r w:rsidRPr="001F2962">
        <w:rPr>
          <w:rFonts w:ascii="Times New Roman" w:eastAsia="Times New Roman" w:hAnsi="Times New Roman" w:cs="Times New Roman"/>
          <w:color w:val="000000"/>
          <w:sz w:val="24"/>
          <w:szCs w:val="24"/>
        </w:rPr>
        <w:t xml:space="preserve">Sequence reads overlapping a SNP position </w:t>
      </w:r>
      <w:r w:rsidR="005C3004">
        <w:rPr>
          <w:rFonts w:ascii="Times New Roman" w:eastAsia="Times New Roman" w:hAnsi="Times New Roman" w:cs="Times New Roman"/>
          <w:color w:val="000000"/>
          <w:sz w:val="24"/>
          <w:szCs w:val="24"/>
        </w:rPr>
        <w:t>were</w:t>
      </w:r>
      <w:r w:rsidRPr="001F2962">
        <w:rPr>
          <w:rFonts w:ascii="Times New Roman" w:eastAsia="Times New Roman" w:hAnsi="Times New Roman" w:cs="Times New Roman"/>
          <w:color w:val="000000"/>
          <w:sz w:val="24"/>
          <w:szCs w:val="24"/>
        </w:rPr>
        <w:t xml:space="preserve"> used to count the SNP alleles. </w:t>
      </w:r>
      <w:r w:rsidR="009C7ED0">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 xml:space="preserve">If both forward and reverse reads of the same clone overlap the SNP position and produce the same allele, only one count </w:t>
      </w:r>
      <w:r w:rsidR="005C3004">
        <w:rPr>
          <w:rFonts w:ascii="Times New Roman" w:eastAsia="Times New Roman" w:hAnsi="Times New Roman" w:cs="Times New Roman"/>
          <w:color w:val="000000"/>
          <w:sz w:val="24"/>
          <w:szCs w:val="24"/>
        </w:rPr>
        <w:lastRenderedPageBreak/>
        <w:t>was</w:t>
      </w:r>
      <w:r w:rsidRPr="001F2962">
        <w:rPr>
          <w:rFonts w:ascii="Times New Roman" w:eastAsia="Times New Roman" w:hAnsi="Times New Roman" w:cs="Times New Roman"/>
          <w:color w:val="000000"/>
          <w:sz w:val="24"/>
          <w:szCs w:val="24"/>
        </w:rPr>
        <w:t xml:space="preserve"> applied for this clone. </w:t>
      </w:r>
      <w:r w:rsidR="009C7ED0">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 xml:space="preserve">Clones where the forward and reverse reads produce different alleles </w:t>
      </w:r>
      <w:r w:rsidR="005C3004">
        <w:rPr>
          <w:rFonts w:ascii="Times New Roman" w:eastAsia="Times New Roman" w:hAnsi="Times New Roman" w:cs="Times New Roman"/>
          <w:color w:val="000000"/>
          <w:sz w:val="24"/>
          <w:szCs w:val="24"/>
        </w:rPr>
        <w:t>were</w:t>
      </w:r>
      <w:r w:rsidRPr="001F2962">
        <w:rPr>
          <w:rFonts w:ascii="Times New Roman" w:eastAsia="Times New Roman" w:hAnsi="Times New Roman" w:cs="Times New Roman"/>
          <w:color w:val="000000"/>
          <w:sz w:val="24"/>
          <w:szCs w:val="24"/>
        </w:rPr>
        <w:t xml:space="preserve"> considered a sequencing error and not coun</w:t>
      </w:r>
      <w:r>
        <w:rPr>
          <w:rFonts w:ascii="Times New Roman" w:eastAsia="Times New Roman" w:hAnsi="Times New Roman" w:cs="Times New Roman"/>
          <w:color w:val="000000"/>
          <w:sz w:val="24"/>
          <w:szCs w:val="24"/>
        </w:rPr>
        <w:t xml:space="preserve">ted. </w:t>
      </w:r>
      <w:r w:rsidR="009C7E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 read-counts file containing</w:t>
      </w:r>
      <w:r w:rsidRPr="001F2962">
        <w:rPr>
          <w:rFonts w:ascii="Times New Roman" w:eastAsia="Times New Roman" w:hAnsi="Times New Roman" w:cs="Times New Roman"/>
          <w:color w:val="000000"/>
          <w:sz w:val="24"/>
          <w:szCs w:val="24"/>
        </w:rPr>
        <w:t xml:space="preserve"> one row for each of the 54,091 SNPs in the assay </w:t>
      </w:r>
      <w:r w:rsidR="005C3004">
        <w:rPr>
          <w:rFonts w:ascii="Times New Roman" w:eastAsia="Times New Roman" w:hAnsi="Times New Roman" w:cs="Times New Roman"/>
          <w:color w:val="000000"/>
          <w:sz w:val="24"/>
          <w:szCs w:val="24"/>
        </w:rPr>
        <w:t>was</w:t>
      </w:r>
      <w:r w:rsidRPr="001F2962">
        <w:rPr>
          <w:rFonts w:ascii="Times New Roman" w:eastAsia="Times New Roman" w:hAnsi="Times New Roman" w:cs="Times New Roman"/>
          <w:color w:val="000000"/>
          <w:sz w:val="24"/>
          <w:szCs w:val="24"/>
        </w:rPr>
        <w:t xml:space="preserve"> generated. </w:t>
      </w:r>
      <w:r w:rsidR="009C7ED0">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The columns are: the numbers of reads with the wildtype allele, the number of reads with the most common variant allele, the number of reads mapped to the flanking sequences, the chromosome and SNP position.</w:t>
      </w:r>
      <w:r w:rsidRPr="001F2962">
        <w:rPr>
          <w:color w:val="000000"/>
        </w:rPr>
        <w:t xml:space="preserve"> </w:t>
      </w:r>
      <w:r w:rsidR="009C7ED0">
        <w:rPr>
          <w:color w:val="000000"/>
        </w:rPr>
        <w:t xml:space="preserve"> </w:t>
      </w:r>
      <w:r>
        <w:rPr>
          <w:rFonts w:ascii="Times New Roman" w:eastAsia="Times New Roman" w:hAnsi="Times New Roman" w:cs="Times New Roman"/>
          <w:color w:val="000000"/>
          <w:sz w:val="24"/>
          <w:szCs w:val="24"/>
        </w:rPr>
        <w:t>Allele d</w:t>
      </w:r>
      <w:r w:rsidRPr="001F2962">
        <w:rPr>
          <w:rFonts w:ascii="Times New Roman" w:eastAsia="Times New Roman" w:hAnsi="Times New Roman" w:cs="Times New Roman"/>
          <w:color w:val="000000"/>
          <w:sz w:val="24"/>
          <w:szCs w:val="24"/>
        </w:rPr>
        <w:t xml:space="preserve">osage </w:t>
      </w:r>
      <w:r w:rsidR="005C3004">
        <w:rPr>
          <w:rFonts w:ascii="Times New Roman" w:eastAsia="Times New Roman" w:hAnsi="Times New Roman" w:cs="Times New Roman"/>
          <w:color w:val="000000"/>
          <w:sz w:val="24"/>
          <w:szCs w:val="24"/>
        </w:rPr>
        <w:t>was</w:t>
      </w:r>
      <w:r w:rsidRPr="001F2962">
        <w:rPr>
          <w:rFonts w:ascii="Times New Roman" w:eastAsia="Times New Roman" w:hAnsi="Times New Roman" w:cs="Times New Roman"/>
          <w:color w:val="000000"/>
          <w:sz w:val="24"/>
          <w:szCs w:val="24"/>
        </w:rPr>
        <w:t xml:space="preserve"> calculated for each SNP by dividing the wildtype-allele-count by the total (wildtype plus</w:t>
      </w:r>
      <w:r>
        <w:rPr>
          <w:rFonts w:ascii="Times New Roman" w:eastAsia="Times New Roman" w:hAnsi="Times New Roman" w:cs="Times New Roman"/>
          <w:color w:val="000000"/>
          <w:sz w:val="24"/>
          <w:szCs w:val="24"/>
        </w:rPr>
        <w:t xml:space="preserve"> variant)-allele-count. </w:t>
      </w:r>
      <w:r w:rsidR="009C7E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Allele d</w:t>
      </w:r>
      <w:r w:rsidRPr="001F2962">
        <w:rPr>
          <w:rFonts w:ascii="Times New Roman" w:eastAsia="Times New Roman" w:hAnsi="Times New Roman" w:cs="Times New Roman"/>
          <w:color w:val="000000"/>
          <w:sz w:val="24"/>
          <w:szCs w:val="24"/>
        </w:rPr>
        <w:t xml:space="preserve">osage for each SNP </w:t>
      </w:r>
      <w:r w:rsidR="005C3004">
        <w:rPr>
          <w:rFonts w:ascii="Times New Roman" w:eastAsia="Times New Roman" w:hAnsi="Times New Roman" w:cs="Times New Roman"/>
          <w:color w:val="000000"/>
          <w:sz w:val="24"/>
          <w:szCs w:val="24"/>
        </w:rPr>
        <w:t>was</w:t>
      </w:r>
      <w:r w:rsidRPr="001F2962">
        <w:rPr>
          <w:rFonts w:ascii="Times New Roman" w:eastAsia="Times New Roman" w:hAnsi="Times New Roman" w:cs="Times New Roman"/>
          <w:color w:val="000000"/>
          <w:sz w:val="24"/>
          <w:szCs w:val="24"/>
        </w:rPr>
        <w:t xml:space="preserve"> then adjusted for the frequency bias against the variant allele inherent in the </w:t>
      </w:r>
      <w:r>
        <w:rPr>
          <w:rFonts w:ascii="Times New Roman" w:eastAsia="Times New Roman" w:hAnsi="Times New Roman" w:cs="Times New Roman"/>
          <w:color w:val="000000"/>
          <w:sz w:val="24"/>
          <w:szCs w:val="24"/>
        </w:rPr>
        <w:t>hybridization probe</w:t>
      </w:r>
      <w:r w:rsidRPr="001F2962">
        <w:rPr>
          <w:rFonts w:ascii="Times New Roman" w:eastAsia="Times New Roman" w:hAnsi="Times New Roman" w:cs="Times New Roman"/>
          <w:color w:val="000000"/>
          <w:sz w:val="24"/>
          <w:szCs w:val="24"/>
        </w:rPr>
        <w:t xml:space="preserve"> library. </w:t>
      </w:r>
      <w:r w:rsidR="009C7ED0">
        <w:rPr>
          <w:rFonts w:ascii="Times New Roman" w:eastAsia="Times New Roman" w:hAnsi="Times New Roman" w:cs="Times New Roman"/>
          <w:color w:val="000000"/>
          <w:sz w:val="24"/>
          <w:szCs w:val="24"/>
        </w:rPr>
        <w:t xml:space="preserve"> </w:t>
      </w:r>
      <w:r w:rsidRPr="001F2962">
        <w:rPr>
          <w:rFonts w:ascii="Times New Roman" w:eastAsia="Times New Roman" w:hAnsi="Times New Roman" w:cs="Times New Roman"/>
          <w:color w:val="000000"/>
          <w:sz w:val="24"/>
          <w:szCs w:val="24"/>
        </w:rPr>
        <w:t xml:space="preserve">Priors for this calculation </w:t>
      </w:r>
      <w:r w:rsidR="005C3004">
        <w:rPr>
          <w:rFonts w:ascii="Times New Roman" w:eastAsia="Times New Roman" w:hAnsi="Times New Roman" w:cs="Times New Roman"/>
          <w:color w:val="000000"/>
          <w:sz w:val="24"/>
          <w:szCs w:val="24"/>
        </w:rPr>
        <w:t>were</w:t>
      </w:r>
      <w:r w:rsidRPr="001F2962">
        <w:rPr>
          <w:rFonts w:ascii="Times New Roman" w:eastAsia="Times New Roman" w:hAnsi="Times New Roman" w:cs="Times New Roman"/>
          <w:color w:val="000000"/>
          <w:sz w:val="24"/>
          <w:szCs w:val="24"/>
        </w:rPr>
        <w:t xml:space="preserve"> generated for each capture library synthesis from CEPH (normal patient) cell-line DNA and stored in the file-system.</w:t>
      </w:r>
    </w:p>
    <w:p w14:paraId="2578AC95" w14:textId="1E745507" w:rsidR="00B15A7A" w:rsidRPr="00F11F97" w:rsidRDefault="00B15A7A">
      <w:pPr>
        <w:spacing w:after="0" w:line="240" w:lineRule="auto"/>
        <w:rPr>
          <w:rFonts w:ascii="Times New Roman" w:hAnsi="Times New Roman" w:cs="Times New Roman"/>
          <w:b/>
        </w:rPr>
      </w:pPr>
      <w:r w:rsidRPr="00F11F97">
        <w:rPr>
          <w:rFonts w:ascii="Times New Roman" w:hAnsi="Times New Roman" w:cs="Times New Roman"/>
          <w:b/>
        </w:rPr>
        <w:t>REFERENCES</w:t>
      </w:r>
    </w:p>
    <w:p w14:paraId="6046FD67" w14:textId="77777777" w:rsidR="00B15A7A" w:rsidRDefault="00B15A7A">
      <w:pPr>
        <w:spacing w:after="0" w:line="240" w:lineRule="auto"/>
        <w:rPr>
          <w:rFonts w:ascii="Times New Roman" w:hAnsi="Times New Roman" w:cs="Times New Roman"/>
        </w:rPr>
      </w:pPr>
    </w:p>
    <w:p w14:paraId="478AE638" w14:textId="0452ED91" w:rsidR="00B15A7A" w:rsidRPr="00133190" w:rsidRDefault="00B15A7A" w:rsidP="00B15A7A">
      <w:pPr>
        <w:pStyle w:val="ListParagraph"/>
        <w:numPr>
          <w:ilvl w:val="0"/>
          <w:numId w:val="2"/>
        </w:numPr>
        <w:spacing w:after="0" w:line="480" w:lineRule="auto"/>
        <w:rPr>
          <w:rFonts w:ascii="Times New Roman" w:hAnsi="Times New Roman" w:cs="Times New Roman"/>
        </w:rPr>
      </w:pPr>
      <w:r w:rsidRPr="00662875">
        <w:rPr>
          <w:rFonts w:ascii="Times New Roman" w:hAnsi="Times New Roman" w:cs="Times New Roman"/>
          <w:color w:val="000000"/>
        </w:rPr>
        <w:t xml:space="preserve">Telli ML, Timms KM, Reid J, Hennessy B, Mills GB, Jensen KC, et al Homologous Recombination Deficiency (HRD) Score Predicts Response to Platinum-Containing Neoadjuvant Chemotherapy in Patients with Triple-Negative Breast Cancer. </w:t>
      </w:r>
      <w:proofErr w:type="spellStart"/>
      <w:r w:rsidRPr="00D220B6">
        <w:rPr>
          <w:rFonts w:ascii="Times New Roman" w:hAnsi="Times New Roman" w:cs="Times New Roman"/>
          <w:i/>
          <w:color w:val="000000"/>
        </w:rPr>
        <w:t>Clin</w:t>
      </w:r>
      <w:proofErr w:type="spellEnd"/>
      <w:r w:rsidRPr="00D220B6">
        <w:rPr>
          <w:rFonts w:ascii="Times New Roman" w:hAnsi="Times New Roman" w:cs="Times New Roman"/>
          <w:i/>
          <w:color w:val="000000"/>
        </w:rPr>
        <w:t xml:space="preserve"> Cancer Res</w:t>
      </w:r>
      <w:r w:rsidRPr="00662875">
        <w:rPr>
          <w:rFonts w:ascii="Times New Roman" w:hAnsi="Times New Roman" w:cs="Times New Roman"/>
          <w:color w:val="000000"/>
        </w:rPr>
        <w:t xml:space="preserve"> 2016;</w:t>
      </w:r>
      <w:r w:rsidR="00D220B6">
        <w:rPr>
          <w:rFonts w:ascii="Times New Roman" w:hAnsi="Times New Roman" w:cs="Times New Roman"/>
          <w:color w:val="000000"/>
        </w:rPr>
        <w:t xml:space="preserve"> </w:t>
      </w:r>
      <w:r w:rsidRPr="00D220B6">
        <w:rPr>
          <w:rFonts w:ascii="Times New Roman" w:hAnsi="Times New Roman" w:cs="Times New Roman"/>
          <w:b/>
          <w:color w:val="000000"/>
        </w:rPr>
        <w:t>22</w:t>
      </w:r>
      <w:r w:rsidRPr="00662875">
        <w:rPr>
          <w:rFonts w:ascii="Times New Roman" w:hAnsi="Times New Roman" w:cs="Times New Roman"/>
          <w:color w:val="000000"/>
        </w:rPr>
        <w:t>:3764-3773</w:t>
      </w:r>
      <w:r w:rsidR="00D220B6">
        <w:rPr>
          <w:rFonts w:ascii="Times New Roman" w:hAnsi="Times New Roman" w:cs="Times New Roman"/>
          <w:color w:val="000000"/>
        </w:rPr>
        <w:t>.</w:t>
      </w:r>
      <w:bookmarkStart w:id="0" w:name="_GoBack"/>
      <w:bookmarkEnd w:id="0"/>
    </w:p>
    <w:p w14:paraId="32A23CA6" w14:textId="1472EB08" w:rsidR="00B15A7A" w:rsidRPr="00BF0B5A" w:rsidRDefault="00B15A7A" w:rsidP="00B15A7A">
      <w:pPr>
        <w:pStyle w:val="ListParagraph"/>
        <w:numPr>
          <w:ilvl w:val="0"/>
          <w:numId w:val="2"/>
        </w:numPr>
        <w:spacing w:after="0" w:line="480" w:lineRule="auto"/>
        <w:rPr>
          <w:rFonts w:ascii="Times New Roman" w:hAnsi="Times New Roman" w:cs="Times New Roman"/>
        </w:rPr>
      </w:pPr>
      <w:r w:rsidRPr="00BF0B5A">
        <w:rPr>
          <w:rFonts w:ascii="Times New Roman" w:hAnsi="Times New Roman" w:cs="Times New Roman"/>
        </w:rPr>
        <w:t xml:space="preserve">Timms KM, Abkevich V, Hughes E, Neff C, Reid J, Morris B, et al. Association of BRCA1/2 defects with genomic scores predictive of DNA damage repair deficiency among breast cancer subtypes. </w:t>
      </w:r>
      <w:r w:rsidRPr="00D220B6">
        <w:rPr>
          <w:rFonts w:ascii="Times New Roman" w:hAnsi="Times New Roman" w:cs="Times New Roman"/>
          <w:i/>
        </w:rPr>
        <w:t>Breast Cancer Res</w:t>
      </w:r>
      <w:r w:rsidRPr="00BF0B5A">
        <w:rPr>
          <w:rFonts w:ascii="Times New Roman" w:hAnsi="Times New Roman" w:cs="Times New Roman"/>
        </w:rPr>
        <w:t xml:space="preserve"> 2014;</w:t>
      </w:r>
      <w:r w:rsidR="00D220B6">
        <w:rPr>
          <w:rFonts w:ascii="Times New Roman" w:hAnsi="Times New Roman" w:cs="Times New Roman"/>
        </w:rPr>
        <w:t xml:space="preserve"> </w:t>
      </w:r>
      <w:r w:rsidRPr="00D220B6">
        <w:rPr>
          <w:rFonts w:ascii="Times New Roman" w:hAnsi="Times New Roman" w:cs="Times New Roman"/>
          <w:b/>
        </w:rPr>
        <w:t>16</w:t>
      </w:r>
      <w:r w:rsidRPr="00BF0B5A">
        <w:rPr>
          <w:rFonts w:ascii="Times New Roman" w:hAnsi="Times New Roman" w:cs="Times New Roman"/>
        </w:rPr>
        <w:t>:475</w:t>
      </w:r>
      <w:r w:rsidR="00D220B6">
        <w:rPr>
          <w:rFonts w:ascii="Times New Roman" w:hAnsi="Times New Roman" w:cs="Times New Roman"/>
        </w:rPr>
        <w:t>.</w:t>
      </w:r>
    </w:p>
    <w:p w14:paraId="14FD77E9" w14:textId="3EB7C0B6" w:rsidR="00B15A7A" w:rsidRPr="00BF0B5A" w:rsidRDefault="00B15A7A" w:rsidP="00B15A7A">
      <w:pPr>
        <w:pStyle w:val="ListParagraph"/>
        <w:numPr>
          <w:ilvl w:val="0"/>
          <w:numId w:val="2"/>
        </w:numPr>
        <w:spacing w:after="0" w:line="480" w:lineRule="auto"/>
        <w:rPr>
          <w:rFonts w:ascii="Times New Roman" w:hAnsi="Times New Roman" w:cs="Times New Roman"/>
        </w:rPr>
      </w:pPr>
      <w:r w:rsidRPr="00BF0B5A">
        <w:rPr>
          <w:rFonts w:ascii="Times New Roman" w:hAnsi="Times New Roman" w:cs="Times New Roman"/>
        </w:rPr>
        <w:t xml:space="preserve">Eggington JM, Bowles KR, Moyes K, Manley S, Esterling L, Sizemore S, et al. A comprehensive laboratory-based program for classification of variants of uncertain significance in hereditary cancer genes. </w:t>
      </w:r>
      <w:proofErr w:type="spellStart"/>
      <w:r w:rsidRPr="00D220B6">
        <w:rPr>
          <w:rFonts w:ascii="Times New Roman" w:hAnsi="Times New Roman" w:cs="Times New Roman"/>
          <w:i/>
        </w:rPr>
        <w:t>Clin</w:t>
      </w:r>
      <w:proofErr w:type="spellEnd"/>
      <w:r w:rsidRPr="00D220B6">
        <w:rPr>
          <w:rFonts w:ascii="Times New Roman" w:hAnsi="Times New Roman" w:cs="Times New Roman"/>
          <w:i/>
        </w:rPr>
        <w:t xml:space="preserve"> Genet</w:t>
      </w:r>
      <w:r w:rsidRPr="00BF0B5A">
        <w:rPr>
          <w:rFonts w:ascii="Times New Roman" w:hAnsi="Times New Roman" w:cs="Times New Roman"/>
        </w:rPr>
        <w:t xml:space="preserve"> 2014;</w:t>
      </w:r>
      <w:r w:rsidR="00D220B6">
        <w:rPr>
          <w:rFonts w:ascii="Times New Roman" w:hAnsi="Times New Roman" w:cs="Times New Roman"/>
        </w:rPr>
        <w:t xml:space="preserve"> </w:t>
      </w:r>
      <w:r w:rsidRPr="00D220B6">
        <w:rPr>
          <w:rFonts w:ascii="Times New Roman" w:hAnsi="Times New Roman" w:cs="Times New Roman"/>
          <w:b/>
        </w:rPr>
        <w:t>86</w:t>
      </w:r>
      <w:r w:rsidRPr="00BF0B5A">
        <w:rPr>
          <w:rFonts w:ascii="Times New Roman" w:hAnsi="Times New Roman" w:cs="Times New Roman"/>
        </w:rPr>
        <w:t>:229-237</w:t>
      </w:r>
      <w:r w:rsidR="00D220B6">
        <w:rPr>
          <w:rFonts w:ascii="Times New Roman" w:hAnsi="Times New Roman" w:cs="Times New Roman"/>
        </w:rPr>
        <w:t>.</w:t>
      </w:r>
    </w:p>
    <w:p w14:paraId="5AEDE3AF" w14:textId="6321320B" w:rsidR="00B15A7A" w:rsidRDefault="00B15A7A" w:rsidP="00B15A7A">
      <w:pPr>
        <w:pStyle w:val="ListParagraph"/>
        <w:numPr>
          <w:ilvl w:val="0"/>
          <w:numId w:val="2"/>
        </w:numPr>
        <w:spacing w:after="0" w:line="480" w:lineRule="auto"/>
        <w:rPr>
          <w:rFonts w:ascii="Times New Roman" w:hAnsi="Times New Roman" w:cs="Times New Roman"/>
        </w:rPr>
      </w:pPr>
      <w:r w:rsidRPr="00BF0B5A">
        <w:rPr>
          <w:rFonts w:ascii="Times New Roman" w:hAnsi="Times New Roman" w:cs="Times New Roman"/>
        </w:rPr>
        <w:t xml:space="preserve">Richards S, Aziz N, Bale S, Bick D, Das S, Gastier-Foster J, et al. Standards and guidelines for the interpretation of sequence variants: a joint consensus recommendation of the American College of Medical Genetics and Genomics and the Association for Molecular Pathology. </w:t>
      </w:r>
      <w:r w:rsidRPr="00D220B6">
        <w:rPr>
          <w:rFonts w:ascii="Times New Roman" w:hAnsi="Times New Roman" w:cs="Times New Roman"/>
          <w:i/>
        </w:rPr>
        <w:t>Genet Med</w:t>
      </w:r>
      <w:r w:rsidRPr="00BF0B5A">
        <w:rPr>
          <w:rFonts w:ascii="Times New Roman" w:hAnsi="Times New Roman" w:cs="Times New Roman"/>
        </w:rPr>
        <w:t xml:space="preserve"> 2015;</w:t>
      </w:r>
      <w:r w:rsidR="00D220B6">
        <w:rPr>
          <w:rFonts w:ascii="Times New Roman" w:hAnsi="Times New Roman" w:cs="Times New Roman"/>
        </w:rPr>
        <w:t xml:space="preserve"> </w:t>
      </w:r>
      <w:r w:rsidRPr="00D220B6">
        <w:rPr>
          <w:rFonts w:ascii="Times New Roman" w:hAnsi="Times New Roman" w:cs="Times New Roman"/>
          <w:b/>
        </w:rPr>
        <w:t>17</w:t>
      </w:r>
      <w:r w:rsidRPr="00BF0B5A">
        <w:rPr>
          <w:rFonts w:ascii="Times New Roman" w:hAnsi="Times New Roman" w:cs="Times New Roman"/>
        </w:rPr>
        <w:t>:405-424</w:t>
      </w:r>
      <w:r w:rsidR="00D220B6">
        <w:rPr>
          <w:rFonts w:ascii="Times New Roman" w:hAnsi="Times New Roman" w:cs="Times New Roman"/>
        </w:rPr>
        <w:t>.</w:t>
      </w:r>
    </w:p>
    <w:p w14:paraId="2A38DF33" w14:textId="288500B4" w:rsidR="003765F9" w:rsidRDefault="003765F9" w:rsidP="00B15A7A">
      <w:pPr>
        <w:pStyle w:val="HTMLPreformatted"/>
        <w:numPr>
          <w:ilvl w:val="0"/>
          <w:numId w:val="2"/>
        </w:numPr>
        <w:spacing w:line="480" w:lineRule="auto"/>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Burrows M, Wheeler DJ. A block sorting lossless data compression algorithm. Technical Report 124, Digital Equipment Corporation</w:t>
      </w:r>
      <w:r w:rsidR="00D220B6">
        <w:rPr>
          <w:rFonts w:ascii="Times New Roman" w:hAnsi="Times New Roman" w:cs="Times New Roman"/>
          <w:color w:val="000000"/>
          <w:sz w:val="22"/>
          <w:szCs w:val="22"/>
        </w:rPr>
        <w:t>.</w:t>
      </w:r>
    </w:p>
    <w:p w14:paraId="7DECE759" w14:textId="562D7241" w:rsidR="003765F9" w:rsidRDefault="003765F9" w:rsidP="00B15A7A">
      <w:pPr>
        <w:pStyle w:val="HTMLPreformatted"/>
        <w:numPr>
          <w:ilvl w:val="0"/>
          <w:numId w:val="2"/>
        </w:numPr>
        <w:spacing w:line="48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Li H, Durbin R. Fast and accurate short read alignment with Burrows-Wheeler Transform. </w:t>
      </w:r>
      <w:r w:rsidRPr="00D220B6">
        <w:rPr>
          <w:rFonts w:ascii="Times New Roman" w:hAnsi="Times New Roman" w:cs="Times New Roman"/>
          <w:i/>
          <w:color w:val="000000"/>
          <w:sz w:val="22"/>
          <w:szCs w:val="22"/>
        </w:rPr>
        <w:t>Bioinformatics</w:t>
      </w:r>
      <w:r>
        <w:rPr>
          <w:rFonts w:ascii="Times New Roman" w:hAnsi="Times New Roman" w:cs="Times New Roman"/>
          <w:color w:val="000000"/>
          <w:sz w:val="22"/>
          <w:szCs w:val="22"/>
        </w:rPr>
        <w:t xml:space="preserve"> 2009;</w:t>
      </w:r>
      <w:r w:rsidR="00D220B6">
        <w:rPr>
          <w:rFonts w:ascii="Times New Roman" w:hAnsi="Times New Roman" w:cs="Times New Roman"/>
          <w:color w:val="000000"/>
          <w:sz w:val="22"/>
          <w:szCs w:val="22"/>
        </w:rPr>
        <w:t xml:space="preserve"> </w:t>
      </w:r>
      <w:r w:rsidRPr="00D220B6">
        <w:rPr>
          <w:rFonts w:ascii="Times New Roman" w:hAnsi="Times New Roman" w:cs="Times New Roman"/>
          <w:b/>
          <w:color w:val="000000"/>
          <w:sz w:val="22"/>
          <w:szCs w:val="22"/>
        </w:rPr>
        <w:t>25</w:t>
      </w:r>
      <w:r>
        <w:rPr>
          <w:rFonts w:ascii="Times New Roman" w:hAnsi="Times New Roman" w:cs="Times New Roman"/>
          <w:color w:val="000000"/>
          <w:sz w:val="22"/>
          <w:szCs w:val="22"/>
        </w:rPr>
        <w:t>:1754-1760</w:t>
      </w:r>
      <w:r w:rsidR="00D220B6">
        <w:rPr>
          <w:rFonts w:ascii="Times New Roman" w:hAnsi="Times New Roman" w:cs="Times New Roman"/>
          <w:color w:val="000000"/>
          <w:sz w:val="22"/>
          <w:szCs w:val="22"/>
        </w:rPr>
        <w:t>.</w:t>
      </w:r>
    </w:p>
    <w:p w14:paraId="1480423D" w14:textId="1779CDD1" w:rsidR="00747A3B" w:rsidRDefault="00747A3B">
      <w:pPr>
        <w:spacing w:after="0" w:line="240" w:lineRule="auto"/>
        <w:rPr>
          <w:rFonts w:ascii="Times New Roman" w:eastAsia="Times New Roman" w:hAnsi="Times New Roman" w:cs="Times New Roman"/>
          <w:color w:val="000000"/>
        </w:rPr>
      </w:pPr>
      <w:r>
        <w:rPr>
          <w:rFonts w:ascii="Times New Roman" w:hAnsi="Times New Roman" w:cs="Times New Roman"/>
          <w:color w:val="000000"/>
        </w:rPr>
        <w:br w:type="page"/>
      </w:r>
    </w:p>
    <w:p w14:paraId="49F621F4" w14:textId="77777777" w:rsidR="00747A3B" w:rsidRPr="00AF71DD" w:rsidRDefault="00747A3B" w:rsidP="00747A3B">
      <w:pPr>
        <w:spacing w:after="0" w:line="480" w:lineRule="auto"/>
        <w:rPr>
          <w:rFonts w:ascii="Times New Roman" w:hAnsi="Times New Roman" w:cs="Times New Roman"/>
          <w:b/>
        </w:rPr>
      </w:pPr>
      <w:r w:rsidRPr="00F231A8">
        <w:rPr>
          <w:rFonts w:ascii="Times New Roman" w:hAnsi="Times New Roman" w:cs="Times New Roman"/>
          <w:b/>
        </w:rPr>
        <w:lastRenderedPageBreak/>
        <w:t>Figure Legends</w:t>
      </w:r>
    </w:p>
    <w:p w14:paraId="36D9927C" w14:textId="694536D6" w:rsidR="00747A3B" w:rsidRDefault="00747A3B" w:rsidP="00747A3B">
      <w:pPr>
        <w:pStyle w:val="HTMLPreformatted"/>
        <w:spacing w:line="480" w:lineRule="auto"/>
        <w:rPr>
          <w:rFonts w:ascii="Times New Roman" w:hAnsi="Times New Roman" w:cs="Times New Roman"/>
          <w:color w:val="000000"/>
          <w:sz w:val="22"/>
          <w:szCs w:val="22"/>
        </w:rPr>
      </w:pPr>
      <w:r w:rsidRPr="00747A3B">
        <w:rPr>
          <w:rFonts w:ascii="Times New Roman" w:hAnsi="Times New Roman" w:cs="Times New Roman"/>
          <w:b/>
          <w:color w:val="000000"/>
          <w:sz w:val="22"/>
          <w:szCs w:val="22"/>
        </w:rPr>
        <w:t>Supplementary Figure 1:</w:t>
      </w:r>
      <w:r>
        <w:rPr>
          <w:rFonts w:ascii="Times New Roman" w:hAnsi="Times New Roman" w:cs="Times New Roman"/>
          <w:color w:val="000000"/>
          <w:sz w:val="22"/>
          <w:szCs w:val="22"/>
        </w:rPr>
        <w:t xml:space="preserve"> Boxplot showing the distribution of HRD scores in primary and recurrent tumor samples. The lower line of the box indicates the 25</w:t>
      </w:r>
      <w:r w:rsidRPr="00747A3B">
        <w:rPr>
          <w:rFonts w:ascii="Times New Roman" w:hAnsi="Times New Roman" w:cs="Times New Roman"/>
          <w:color w:val="000000"/>
          <w:sz w:val="22"/>
          <w:szCs w:val="22"/>
          <w:vertAlign w:val="superscript"/>
        </w:rPr>
        <w:t>th</w:t>
      </w:r>
      <w:r>
        <w:rPr>
          <w:rFonts w:ascii="Times New Roman" w:hAnsi="Times New Roman" w:cs="Times New Roman"/>
          <w:color w:val="000000"/>
          <w:sz w:val="22"/>
          <w:szCs w:val="22"/>
        </w:rPr>
        <w:t xml:space="preserve"> percentile of HRD scores, the upper line the 75</w:t>
      </w:r>
      <w:r w:rsidRPr="00747A3B">
        <w:rPr>
          <w:rFonts w:ascii="Times New Roman" w:hAnsi="Times New Roman" w:cs="Times New Roman"/>
          <w:color w:val="000000"/>
          <w:sz w:val="22"/>
          <w:szCs w:val="22"/>
          <w:vertAlign w:val="superscript"/>
        </w:rPr>
        <w:t>th</w:t>
      </w:r>
      <w:r>
        <w:rPr>
          <w:rFonts w:ascii="Times New Roman" w:hAnsi="Times New Roman" w:cs="Times New Roman"/>
          <w:color w:val="000000"/>
          <w:sz w:val="22"/>
          <w:szCs w:val="22"/>
        </w:rPr>
        <w:t xml:space="preserve"> percentile, and the middle line the median HRD score.</w:t>
      </w:r>
    </w:p>
    <w:p w14:paraId="0526A7B4" w14:textId="405D7874" w:rsidR="000A5D8D" w:rsidRPr="00F55F8E" w:rsidRDefault="00747A3B" w:rsidP="009C7ED0">
      <w:pPr>
        <w:pStyle w:val="HTMLPreformatted"/>
        <w:spacing w:line="480" w:lineRule="auto"/>
        <w:rPr>
          <w:rFonts w:ascii="Times New Roman" w:hAnsi="Times New Roman" w:cs="Times New Roman"/>
        </w:rPr>
      </w:pPr>
      <w:r w:rsidRPr="00747A3B">
        <w:rPr>
          <w:rFonts w:ascii="Times New Roman" w:hAnsi="Times New Roman" w:cs="Times New Roman"/>
          <w:b/>
          <w:color w:val="000000"/>
          <w:sz w:val="22"/>
          <w:szCs w:val="22"/>
        </w:rPr>
        <w:t>Supplementary Figure 2:</w:t>
      </w:r>
      <w:r w:rsidRPr="00747A3B">
        <w:rPr>
          <w:rFonts w:ascii="Times New Roman" w:hAnsi="Times New Roman" w:cs="Times New Roman"/>
          <w:color w:val="000000"/>
          <w:sz w:val="22"/>
          <w:szCs w:val="22"/>
        </w:rPr>
        <w:t xml:space="preserve"> </w:t>
      </w:r>
      <w:r w:rsidRPr="00747A3B">
        <w:rPr>
          <w:rFonts w:ascii="Times New Roman" w:hAnsi="Times New Roman" w:cs="Times New Roman"/>
          <w:sz w:val="22"/>
          <w:szCs w:val="22"/>
        </w:rPr>
        <w:t>Sequence read alignments from the primary (upper panel) and recurrent (lower panel) tumor specimens</w:t>
      </w:r>
      <w:r>
        <w:rPr>
          <w:rFonts w:ascii="Times New Roman" w:hAnsi="Times New Roman" w:cs="Times New Roman"/>
          <w:sz w:val="22"/>
          <w:szCs w:val="22"/>
        </w:rPr>
        <w:t xml:space="preserve"> showing the deleterious mutation observed in both the primary and recurrent tumor sample, and the reversion mutation detected in the recurrent tumor sample only</w:t>
      </w:r>
      <w:r w:rsidRPr="00747A3B">
        <w:rPr>
          <w:rFonts w:ascii="Times New Roman" w:hAnsi="Times New Roman" w:cs="Times New Roman"/>
          <w:sz w:val="22"/>
          <w:szCs w:val="22"/>
        </w:rPr>
        <w:t>. The original mutation (c.5266dupC (p.Gln1756Profs*74) is indicated in both panels by the blue arrow. The reversion mutation (c.5276_5277+1delinsGGT) is indicated in the recurrent sample panel only by the red arrow.</w:t>
      </w:r>
    </w:p>
    <w:sectPr w:rsidR="000A5D8D" w:rsidRPr="00F55F8E" w:rsidSect="00383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D0B14"/>
    <w:multiLevelType w:val="hybridMultilevel"/>
    <w:tmpl w:val="5DF87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58501C"/>
    <w:multiLevelType w:val="hybridMultilevel"/>
    <w:tmpl w:val="06A08594"/>
    <w:lvl w:ilvl="0" w:tplc="A6104C78">
      <w:start w:val="1"/>
      <w:numFmt w:val="decimal"/>
      <w:lvlText w:val="%1."/>
      <w:lvlJc w:val="left"/>
      <w:pPr>
        <w:ind w:left="72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35"/>
    <w:rsid w:val="000A7C86"/>
    <w:rsid w:val="000C1C04"/>
    <w:rsid w:val="000E25BA"/>
    <w:rsid w:val="001A7935"/>
    <w:rsid w:val="001F2962"/>
    <w:rsid w:val="002D3B0F"/>
    <w:rsid w:val="00337081"/>
    <w:rsid w:val="003765F9"/>
    <w:rsid w:val="003801E1"/>
    <w:rsid w:val="00383536"/>
    <w:rsid w:val="00470F20"/>
    <w:rsid w:val="00555F0F"/>
    <w:rsid w:val="005C3004"/>
    <w:rsid w:val="00747A3B"/>
    <w:rsid w:val="00762EEB"/>
    <w:rsid w:val="0083786C"/>
    <w:rsid w:val="00844314"/>
    <w:rsid w:val="009C7ED0"/>
    <w:rsid w:val="009F2AEC"/>
    <w:rsid w:val="00A417ED"/>
    <w:rsid w:val="00B15A7A"/>
    <w:rsid w:val="00B41E91"/>
    <w:rsid w:val="00C71F9C"/>
    <w:rsid w:val="00CC6036"/>
    <w:rsid w:val="00D220B6"/>
    <w:rsid w:val="00E27FD7"/>
    <w:rsid w:val="00F11F97"/>
    <w:rsid w:val="00F16C2F"/>
    <w:rsid w:val="00F51513"/>
    <w:rsid w:val="00F55F8E"/>
    <w:rsid w:val="00F92E18"/>
    <w:rsid w:val="00FB49A4"/>
    <w:rsid w:val="00FE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6B79"/>
  <w14:defaultImageDpi w14:val="32767"/>
  <w15:chartTrackingRefBased/>
  <w15:docId w15:val="{CF9EDBB2-EB56-BD4D-8370-D1274ED4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A793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7935"/>
    <w:rPr>
      <w:color w:val="0563C1" w:themeColor="hyperlink"/>
      <w:u w:val="single"/>
    </w:rPr>
  </w:style>
  <w:style w:type="paragraph" w:styleId="ListParagraph">
    <w:name w:val="List Paragraph"/>
    <w:basedOn w:val="Normal"/>
    <w:uiPriority w:val="34"/>
    <w:qFormat/>
    <w:rsid w:val="00B15A7A"/>
    <w:pPr>
      <w:ind w:left="720"/>
      <w:contextualSpacing/>
    </w:pPr>
  </w:style>
  <w:style w:type="paragraph" w:styleId="HTMLPreformatted">
    <w:name w:val="HTML Preformatted"/>
    <w:basedOn w:val="Normal"/>
    <w:link w:val="HTMLPreformattedChar"/>
    <w:uiPriority w:val="99"/>
    <w:unhideWhenUsed/>
    <w:rsid w:val="00B15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5A7A"/>
    <w:rPr>
      <w:rFonts w:ascii="Courier New" w:eastAsia="Times New Roman" w:hAnsi="Courier New" w:cs="Courier New"/>
      <w:sz w:val="20"/>
      <w:szCs w:val="20"/>
    </w:rPr>
  </w:style>
  <w:style w:type="character" w:styleId="UnresolvedMention">
    <w:name w:val="Unresolved Mention"/>
    <w:basedOn w:val="DefaultParagraphFont"/>
    <w:uiPriority w:val="99"/>
    <w:rsid w:val="00376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15491">
      <w:bodyDiv w:val="1"/>
      <w:marLeft w:val="0"/>
      <w:marRight w:val="0"/>
      <w:marTop w:val="0"/>
      <w:marBottom w:val="0"/>
      <w:divBdr>
        <w:top w:val="none" w:sz="0" w:space="0" w:color="auto"/>
        <w:left w:val="none" w:sz="0" w:space="0" w:color="auto"/>
        <w:bottom w:val="none" w:sz="0" w:space="0" w:color="auto"/>
        <w:right w:val="none" w:sz="0" w:space="0" w:color="auto"/>
      </w:divBdr>
    </w:div>
    <w:div w:id="1122772191">
      <w:bodyDiv w:val="1"/>
      <w:marLeft w:val="0"/>
      <w:marRight w:val="0"/>
      <w:marTop w:val="0"/>
      <w:marBottom w:val="0"/>
      <w:divBdr>
        <w:top w:val="none" w:sz="0" w:space="0" w:color="auto"/>
        <w:left w:val="none" w:sz="0" w:space="0" w:color="auto"/>
        <w:bottom w:val="none" w:sz="0" w:space="0" w:color="auto"/>
        <w:right w:val="none" w:sz="0" w:space="0" w:color="auto"/>
      </w:divBdr>
    </w:div>
    <w:div w:id="1612859056">
      <w:bodyDiv w:val="1"/>
      <w:marLeft w:val="0"/>
      <w:marRight w:val="0"/>
      <w:marTop w:val="0"/>
      <w:marBottom w:val="0"/>
      <w:divBdr>
        <w:top w:val="none" w:sz="0" w:space="0" w:color="auto"/>
        <w:left w:val="none" w:sz="0" w:space="0" w:color="auto"/>
        <w:bottom w:val="none" w:sz="0" w:space="0" w:color="auto"/>
        <w:right w:val="none" w:sz="0" w:space="0" w:color="auto"/>
      </w:divBdr>
    </w:div>
    <w:div w:id="176799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aligner.sourceforg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2025</Words>
  <Characters>11545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Ganapathi, Ram</cp:lastModifiedBy>
  <cp:revision>2</cp:revision>
  <dcterms:created xsi:type="dcterms:W3CDTF">2018-07-02T18:21:00Z</dcterms:created>
  <dcterms:modified xsi:type="dcterms:W3CDTF">2018-07-02T18:21:00Z</dcterms:modified>
</cp:coreProperties>
</file>