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3B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20"/>
          <w:szCs w:val="16"/>
          <w:lang w:val="it-IT"/>
        </w:rPr>
      </w:pPr>
      <w:r w:rsidRPr="00604505">
        <w:rPr>
          <w:rStyle w:val="None"/>
          <w:rFonts w:ascii="Verdana" w:hAnsi="Verdana"/>
          <w:b/>
          <w:sz w:val="20"/>
          <w:szCs w:val="16"/>
          <w:lang w:val="it-IT"/>
        </w:rPr>
        <w:t>Supplementary Table 1:</w:t>
      </w:r>
      <w:r w:rsidRPr="00604505">
        <w:rPr>
          <w:rStyle w:val="None"/>
          <w:rFonts w:ascii="Verdana" w:hAnsi="Verdana"/>
          <w:sz w:val="20"/>
          <w:szCs w:val="16"/>
          <w:lang w:val="it-IT"/>
        </w:rPr>
        <w:t xml:space="preserve"> Clinicopathological parameters of the pure DCIS cohort*. The whole primary cohort including 776 cases and the final cohort including 481 cases after P4HA2 scoring are shown.  </w:t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20"/>
          <w:szCs w:val="16"/>
          <w:lang w:val="it-IT"/>
        </w:rPr>
      </w:pPr>
    </w:p>
    <w:tbl>
      <w:tblPr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981"/>
        <w:gridCol w:w="2410"/>
        <w:gridCol w:w="2676"/>
      </w:tblGrid>
      <w:tr w:rsidR="00BC013B" w:rsidRPr="00604505" w:rsidTr="009853B1">
        <w:trPr>
          <w:trHeight w:val="89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Parameters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Whole cohort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N=776 cases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N (%)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Final cohort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N=481 cases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N (%)</w:t>
            </w:r>
          </w:p>
        </w:tc>
      </w:tr>
      <w:tr w:rsidR="00BC013B" w:rsidRPr="00604505" w:rsidTr="009853B1">
        <w:trPr>
          <w:trHeight w:val="23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Mean patient age (years ± SD)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57 ± 9 (range 28-86)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57 ± 10 (range 28-86)</w:t>
            </w:r>
          </w:p>
        </w:tc>
      </w:tr>
      <w:tr w:rsidR="00BC013B" w:rsidRPr="00604505" w:rsidTr="009853B1">
        <w:trPr>
          <w:trHeight w:val="23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Mean DCIS size (mm ± SD)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30 ± 26 (range 1-180)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35 ± 28 (range 1-180)</w:t>
            </w:r>
          </w:p>
        </w:tc>
      </w:tr>
      <w:tr w:rsidR="00BC013B" w:rsidRPr="00604505" w:rsidTr="009853B1">
        <w:trPr>
          <w:trHeight w:val="67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Patient age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≤45 years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&gt;45 years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78 (10)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698 (90)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58 (11)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423 (89)</w:t>
            </w:r>
          </w:p>
        </w:tc>
      </w:tr>
      <w:tr w:rsidR="00BC013B" w:rsidRPr="00604505" w:rsidTr="009853B1">
        <w:trPr>
          <w:trHeight w:val="628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DCIS Presentation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Screening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Symptomatic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421 (54)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355 (46)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238 (50)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243 (50)</w:t>
            </w:r>
          </w:p>
        </w:tc>
      </w:tr>
      <w:tr w:rsidR="00BC013B" w:rsidRPr="00604505" w:rsidTr="009853B1">
        <w:trPr>
          <w:trHeight w:val="796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DCIS Size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≤20mm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&gt;20mm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382 (49)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386 (50)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7 (1)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204 (42)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274 (57)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 (1)</w:t>
            </w:r>
          </w:p>
        </w:tc>
      </w:tr>
      <w:tr w:rsidR="00BC013B" w:rsidRPr="00604505" w:rsidTr="009853B1">
        <w:trPr>
          <w:trHeight w:val="74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DCIS Nuclear Grade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Low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Moderate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High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102 (13)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192 (25)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482 (62)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61 (13)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125 (26)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295 (61)</w:t>
            </w:r>
          </w:p>
        </w:tc>
      </w:tr>
      <w:tr w:rsidR="00BC013B" w:rsidRPr="00604505" w:rsidTr="009853B1">
        <w:trPr>
          <w:trHeight w:val="67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Comedo necrosis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Yes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497 (64)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279 (36)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321 (67)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160 (33)</w:t>
            </w:r>
          </w:p>
        </w:tc>
      </w:tr>
      <w:tr w:rsidR="00BC013B" w:rsidRPr="00604505" w:rsidTr="009853B1">
        <w:trPr>
          <w:trHeight w:val="67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Surgical Management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Breast conserving surgery (BCS)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Mastectomy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375 (48)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401 (52)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209 (44)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272 (56)</w:t>
            </w:r>
          </w:p>
        </w:tc>
      </w:tr>
      <w:tr w:rsidR="00BC013B" w:rsidRPr="00604505" w:rsidTr="009853B1">
        <w:trPr>
          <w:trHeight w:val="1006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Final Margin Status**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Positive (Tumour on ink)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&lt;2mm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≥2mm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Unknown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9 (2)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11 (3)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326 (87)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29 (8)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6 (3)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8 (4)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179 (86)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16 (7)</w:t>
            </w:r>
          </w:p>
        </w:tc>
      </w:tr>
      <w:tr w:rsidR="00BC013B" w:rsidRPr="00604505" w:rsidTr="009853B1">
        <w:trPr>
          <w:trHeight w:val="429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Radiotherapy (RT)**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No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Yes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265 (71)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110 (29)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138 (66)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71 (34)</w:t>
            </w:r>
          </w:p>
        </w:tc>
      </w:tr>
      <w:tr w:rsidR="00BC013B" w:rsidRPr="00604505" w:rsidTr="009853B1">
        <w:trPr>
          <w:trHeight w:val="84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 xml:space="preserve">Estrogen receptor (ER) status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Negative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Positive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148 (19)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439 (57)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189 (24)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117 (24)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322 (67)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42 (9)</w:t>
            </w:r>
          </w:p>
        </w:tc>
      </w:tr>
      <w:tr w:rsidR="00BC013B" w:rsidRPr="00604505" w:rsidTr="009853B1">
        <w:trPr>
          <w:trHeight w:val="89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Progesterone receptor (PR) status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Negative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Positive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248 (32)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336 (43)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192 (25)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186 (39)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252 (52)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43 (9)</w:t>
            </w:r>
          </w:p>
        </w:tc>
      </w:tr>
      <w:tr w:rsidR="00BC013B" w:rsidRPr="00604505" w:rsidTr="009853B1">
        <w:trPr>
          <w:trHeight w:val="89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 xml:space="preserve">HER2 status***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Negative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Positive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496 (64)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133 (17)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147 (19)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320 (67)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108 (22)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53 (11)</w:t>
            </w:r>
          </w:p>
        </w:tc>
      </w:tr>
      <w:tr w:rsidR="00BC013B" w:rsidRPr="00604505" w:rsidTr="009853B1">
        <w:trPr>
          <w:trHeight w:val="133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lastRenderedPageBreak/>
              <w:t>Molecular classes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Luminal/HER2–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Luminal/HER2+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ER-/HER2+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Triple negative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335 (43)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60 (8)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51 (7)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80 (10)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250 (32)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245 (51)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52 (11)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47 (10)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59 (12)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78 (16)</w:t>
            </w:r>
          </w:p>
        </w:tc>
      </w:tr>
      <w:tr w:rsidR="00BC013B" w:rsidRPr="00604505" w:rsidTr="009853B1">
        <w:trPr>
          <w:trHeight w:val="89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HIF1-α expression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High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Low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N/A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105 (14)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364 (47)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307 (39)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92 (19)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273 (57)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116 (24)</w:t>
            </w:r>
          </w:p>
        </w:tc>
      </w:tr>
      <w:tr w:rsidR="00BC013B" w:rsidRPr="00604505" w:rsidTr="009853B1">
        <w:trPr>
          <w:trHeight w:val="730"/>
          <w:jc w:val="center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b/>
                <w:sz w:val="18"/>
                <w:szCs w:val="16"/>
                <w:lang w:val="it-IT"/>
              </w:rPr>
              <w:t>Recurrence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DCIS recurrence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 xml:space="preserve">   Invasive recurrence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30 (36)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53 (64)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22 (39)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8"/>
                <w:szCs w:val="16"/>
                <w:lang w:val="it-IT"/>
              </w:rPr>
            </w:pPr>
            <w:r w:rsidRPr="00604505">
              <w:rPr>
                <w:rStyle w:val="None"/>
                <w:rFonts w:ascii="Verdana" w:hAnsi="Verdana"/>
                <w:sz w:val="18"/>
                <w:szCs w:val="16"/>
                <w:lang w:val="it-IT"/>
              </w:rPr>
              <w:t>34 (61)</w:t>
            </w:r>
          </w:p>
        </w:tc>
      </w:tr>
    </w:tbl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16"/>
          <w:szCs w:val="16"/>
          <w:lang w:val="it-IT"/>
        </w:rPr>
      </w:pPr>
      <w:r>
        <w:rPr>
          <w:rStyle w:val="None"/>
          <w:rFonts w:ascii="Verdana" w:hAnsi="Verdana"/>
          <w:sz w:val="16"/>
          <w:szCs w:val="16"/>
          <w:lang w:val="it-IT"/>
        </w:rPr>
        <w:t xml:space="preserve">P4HA2; prolyl-4-hydroxlase alpha subunit 2, DCIS; ductal carcinoma </w:t>
      </w:r>
      <w:r w:rsidRPr="00604505">
        <w:rPr>
          <w:rStyle w:val="None"/>
          <w:rFonts w:ascii="Verdana" w:hAnsi="Verdana"/>
          <w:sz w:val="16"/>
          <w:szCs w:val="16"/>
          <w:lang w:val="it-IT"/>
        </w:rPr>
        <w:t xml:space="preserve">in situ, HER2; Human epidermal growth factor receptor 2, BCS; breast conserving surgery, HIF1-a; hypoxia inducible factor 1 alpha.  </w:t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16"/>
          <w:szCs w:val="16"/>
          <w:lang w:val="it-IT"/>
        </w:rPr>
      </w:pPr>
      <w:r w:rsidRPr="00604505">
        <w:rPr>
          <w:rStyle w:val="None"/>
          <w:rFonts w:ascii="Verdana" w:hAnsi="Verdana"/>
          <w:sz w:val="16"/>
          <w:szCs w:val="16"/>
          <w:lang w:val="it-IT"/>
        </w:rPr>
        <w:t>*Mixed DCIS-IBC cohort included 239 patients with mean age 53±9 years, 155 cases (64%) had extensive DCIS, 167 cases (69%) were of high nuclear grade and comedo type necrosis was seen in 175 cases (73%).</w:t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16"/>
          <w:szCs w:val="16"/>
          <w:lang w:val="it-IT"/>
        </w:rPr>
      </w:pPr>
      <w:r w:rsidRPr="00604505">
        <w:rPr>
          <w:rStyle w:val="None"/>
          <w:rFonts w:ascii="Verdana" w:hAnsi="Verdana"/>
          <w:sz w:val="16"/>
          <w:szCs w:val="16"/>
          <w:lang w:val="it-IT"/>
        </w:rPr>
        <w:t xml:space="preserve">**For patients treated with breast conserving surgery </w:t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16"/>
          <w:szCs w:val="16"/>
          <w:lang w:val="it-IT"/>
        </w:rPr>
      </w:pPr>
      <w:r w:rsidRPr="00604505">
        <w:rPr>
          <w:rStyle w:val="None"/>
          <w:rFonts w:ascii="Verdana" w:hAnsi="Verdana"/>
          <w:sz w:val="16"/>
          <w:szCs w:val="16"/>
          <w:lang w:val="it-IT"/>
        </w:rPr>
        <w:t>***HER2 final status is achieved using combination of IHC and chromogenic in situ hybridisation (CISH).</w:t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hAnsi="Verdana"/>
          <w:sz w:val="16"/>
          <w:szCs w:val="16"/>
          <w:lang w:val="it-IT"/>
        </w:rPr>
      </w:pPr>
    </w:p>
    <w:p w:rsidR="00BC013B" w:rsidRDefault="00BC013B" w:rsidP="00BC013B">
      <w:pPr>
        <w:pStyle w:val="Body"/>
        <w:jc w:val="both"/>
      </w:pPr>
      <w:r>
        <w:rPr>
          <w:rStyle w:val="None"/>
          <w:rFonts w:ascii="Arial Unicode MS" w:eastAsia="Arial Unicode MS" w:hAnsi="Arial Unicode MS" w:cs="Arial Unicode MS"/>
          <w:sz w:val="20"/>
          <w:szCs w:val="20"/>
        </w:rPr>
        <w:br w:type="page"/>
      </w:r>
    </w:p>
    <w:p w:rsidR="00BC013B" w:rsidRDefault="00BC013B" w:rsidP="00BC013B">
      <w:pPr>
        <w:pStyle w:val="BodyA"/>
        <w:spacing w:after="0" w:line="240" w:lineRule="auto"/>
        <w:ind w:left="-170" w:right="-57"/>
        <w:jc w:val="both"/>
        <w:rPr>
          <w:rStyle w:val="Hyperlink0"/>
        </w:rPr>
      </w:pPr>
      <w:r>
        <w:rPr>
          <w:rStyle w:val="None"/>
          <w:rFonts w:ascii="Verdana" w:hAnsi="Verdana"/>
          <w:b/>
          <w:bCs/>
          <w:sz w:val="20"/>
          <w:szCs w:val="20"/>
        </w:rPr>
        <w:lastRenderedPageBreak/>
        <w:t>Supplementary Table 2</w:t>
      </w:r>
      <w:r>
        <w:rPr>
          <w:rStyle w:val="Hyperlink0"/>
        </w:rPr>
        <w:t xml:space="preserve">: Correlation between P4HA2 expression in DCIS malignant epithelial cells and stromal fibroblasts with different clinicopathological parameters in the pure DCIS cohort using continuous data. </w:t>
      </w:r>
    </w:p>
    <w:tbl>
      <w:tblPr>
        <w:tblW w:w="93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45"/>
        <w:gridCol w:w="961"/>
        <w:gridCol w:w="1276"/>
        <w:gridCol w:w="1417"/>
        <w:gridCol w:w="1276"/>
        <w:gridCol w:w="1276"/>
      </w:tblGrid>
      <w:tr w:rsidR="00BC013B" w:rsidTr="009853B1">
        <w:trPr>
          <w:trHeight w:val="500"/>
          <w:jc w:val="center"/>
        </w:trPr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Parameters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Number of cases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P4HA2 expression in tumour epithelial cells (H-score)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P4HA2 expression in stromal fibroblasts (%)</w:t>
            </w:r>
          </w:p>
        </w:tc>
      </w:tr>
      <w:tr w:rsidR="00BC013B" w:rsidTr="009853B1">
        <w:trPr>
          <w:trHeight w:val="253"/>
          <w:jc w:val="center"/>
        </w:trPr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13B" w:rsidRDefault="00BC013B" w:rsidP="009853B1">
            <w:pPr>
              <w:jc w:val="both"/>
            </w:pPr>
          </w:p>
        </w:tc>
        <w:tc>
          <w:tcPr>
            <w:tcW w:w="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13B" w:rsidRDefault="00BC013B" w:rsidP="009853B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Mean Rank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B"/>
              <w:jc w:val="both"/>
            </w:pPr>
            <w:r>
              <w:rPr>
                <w:rStyle w:val="None"/>
                <w:rFonts w:ascii="Verdana" w:hAnsi="Verdana"/>
                <w:i/>
                <w:iCs/>
                <w:sz w:val="16"/>
                <w:szCs w:val="16"/>
              </w:rPr>
              <w:t>p</w:t>
            </w:r>
            <w:r>
              <w:rPr>
                <w:rStyle w:val="None"/>
                <w:rFonts w:ascii="Verdana" w:hAnsi="Verdana"/>
                <w:sz w:val="16"/>
                <w:szCs w:val="16"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Mean Rank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B"/>
              <w:jc w:val="both"/>
            </w:pPr>
            <w:r>
              <w:rPr>
                <w:rStyle w:val="None"/>
                <w:rFonts w:ascii="Verdana" w:hAnsi="Verdana"/>
                <w:i/>
                <w:iCs/>
                <w:sz w:val="16"/>
                <w:szCs w:val="16"/>
              </w:rPr>
              <w:t>p</w:t>
            </w:r>
            <w:r>
              <w:rPr>
                <w:rStyle w:val="None"/>
                <w:rFonts w:ascii="Verdana" w:hAnsi="Verdana"/>
                <w:sz w:val="16"/>
                <w:szCs w:val="16"/>
              </w:rPr>
              <w:t>-value</w:t>
            </w:r>
          </w:p>
        </w:tc>
      </w:tr>
      <w:tr w:rsidR="00BC013B" w:rsidTr="009853B1">
        <w:trPr>
          <w:trHeight w:val="622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Patient Age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≤45 years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&gt;45 years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58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286.0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234.8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0.008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288.3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234.5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0.005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DCIS Presentation 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Screening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Symptomatic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238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227.8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253.9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222.1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259.5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0.003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DCIS Size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≤20mm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&gt;20mm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204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227.5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248.5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0.098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228.7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247.5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0.136</w:t>
            </w:r>
          </w:p>
        </w:tc>
      </w:tr>
      <w:tr w:rsidR="00BC013B" w:rsidTr="009853B1">
        <w:trPr>
          <w:trHeight w:val="8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DCIS Nuclear Grade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Low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Moderate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High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61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125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145.1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217.9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270.6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201.5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219.5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258.3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0.002</w:t>
            </w:r>
          </w:p>
        </w:tc>
      </w:tr>
      <w:tr w:rsidR="00BC013B" w:rsidTr="009853B1">
        <w:trPr>
          <w:trHeight w:val="622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Comedo necrosis 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Yes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No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321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263.1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196.7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258.3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206.2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Estrogen receptor (ER) 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Negative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Positive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117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322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290.2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194.5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263.3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204.3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Progesterone Receptor (PR)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Negative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Positive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186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258.2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190.9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248.8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197.8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&lt;0.0001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HER2 status*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Negative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Positive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320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200.9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254.6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205.7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240.5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0.011</w:t>
            </w:r>
          </w:p>
        </w:tc>
      </w:tr>
      <w:tr w:rsidR="00BC013B" w:rsidTr="009853B1">
        <w:trPr>
          <w:trHeight w:val="610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b/>
                <w:sz w:val="16"/>
                <w:szCs w:val="16"/>
              </w:rPr>
              <w:t xml:space="preserve">Radiotherapy (RT) **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 xml:space="preserve">   Yes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 xml:space="preserve">   NO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71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123.3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95.6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b/>
                <w:sz w:val="16"/>
                <w:szCs w:val="16"/>
              </w:rPr>
              <w:t>0.002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125.5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94.4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b/>
                <w:sz w:val="16"/>
                <w:szCs w:val="16"/>
              </w:rPr>
              <w:t>0.0003</w:t>
            </w:r>
          </w:p>
        </w:tc>
      </w:tr>
      <w:tr w:rsidR="00BC013B" w:rsidTr="009853B1">
        <w:trPr>
          <w:trHeight w:val="468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b/>
                <w:sz w:val="16"/>
                <w:szCs w:val="16"/>
              </w:rPr>
              <w:t xml:space="preserve">Treatment Group 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 xml:space="preserve">   Mastectomy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 xml:space="preserve">   BCS</w:t>
            </w: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ab/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272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249.3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230.2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0.134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242.9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238.2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sz w:val="16"/>
                <w:szCs w:val="16"/>
              </w:rPr>
            </w:pPr>
            <w:r w:rsidRPr="00604505">
              <w:rPr>
                <w:rStyle w:val="None"/>
                <w:rFonts w:ascii="Verdana" w:hAnsi="Verdana"/>
                <w:sz w:val="16"/>
                <w:szCs w:val="16"/>
              </w:rPr>
              <w:t>0.725</w:t>
            </w:r>
          </w:p>
        </w:tc>
      </w:tr>
      <w:tr w:rsidR="00BC013B" w:rsidTr="009853B1">
        <w:trPr>
          <w:trHeight w:val="792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Molecular classes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Luminal/HER2–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Luminal/HER2+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ER-/HER2+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Triple negative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245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52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47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170.8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219.2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268.9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263.2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183.7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209.6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243.8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238.4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</w:tr>
      <w:tr w:rsidR="00BC013B" w:rsidTr="009853B1">
        <w:trPr>
          <w:trHeight w:val="378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HIF1-a expression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High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Low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92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273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233.4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166.0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223.3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169.4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</w:tr>
      <w:tr w:rsidR="00BC013B" w:rsidTr="009853B1">
        <w:trPr>
          <w:trHeight w:val="375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DCIS Type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Pure DCIS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 xml:space="preserve">   DCIS with IBC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481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196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325.8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371.4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</w:rPr>
              <w:t>302.3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sz w:val="16"/>
                <w:szCs w:val="16"/>
              </w:rPr>
              <w:t>429.0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6"/>
                <w:szCs w:val="16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 &lt;0.0001</w:t>
            </w:r>
          </w:p>
        </w:tc>
      </w:tr>
    </w:tbl>
    <w:p w:rsidR="00BC013B" w:rsidRDefault="00BC013B" w:rsidP="00BC013B">
      <w:pPr>
        <w:pStyle w:val="BodyA"/>
        <w:spacing w:after="0" w:line="240" w:lineRule="auto"/>
        <w:ind w:left="-170" w:right="-170"/>
        <w:jc w:val="both"/>
        <w:rPr>
          <w:rStyle w:val="None"/>
          <w:rFonts w:ascii="Verdana" w:eastAsia="Verdana" w:hAnsi="Verdana" w:cs="Verdana"/>
          <w:b/>
          <w:bCs/>
          <w:sz w:val="16"/>
          <w:szCs w:val="16"/>
        </w:rPr>
      </w:pPr>
      <w:r>
        <w:rPr>
          <w:rStyle w:val="None"/>
          <w:rFonts w:ascii="Verdana" w:hAnsi="Verdana"/>
          <w:b/>
          <w:bCs/>
          <w:sz w:val="16"/>
          <w:szCs w:val="16"/>
          <w:lang w:val="it-IT"/>
        </w:rPr>
        <w:t>significant</w:t>
      </w:r>
      <w:r>
        <w:rPr>
          <w:rStyle w:val="None"/>
          <w:rFonts w:ascii="Verdana" w:hAnsi="Verdana"/>
          <w:b/>
          <w:bCs/>
          <w:i/>
          <w:iCs/>
          <w:sz w:val="16"/>
          <w:szCs w:val="16"/>
        </w:rPr>
        <w:t xml:space="preserve"> p</w:t>
      </w:r>
      <w:r>
        <w:rPr>
          <w:rStyle w:val="None"/>
          <w:rFonts w:ascii="Verdana" w:hAnsi="Verdana"/>
          <w:b/>
          <w:bCs/>
          <w:sz w:val="16"/>
          <w:szCs w:val="16"/>
        </w:rPr>
        <w:t xml:space="preserve"> values are in bold </w:t>
      </w:r>
    </w:p>
    <w:p w:rsidR="00BC013B" w:rsidRDefault="00BC013B" w:rsidP="00BC013B">
      <w:pPr>
        <w:pStyle w:val="BodyA"/>
        <w:spacing w:after="0" w:line="240" w:lineRule="auto"/>
        <w:ind w:left="-170" w:right="-170"/>
        <w:jc w:val="both"/>
        <w:rPr>
          <w:rStyle w:val="None"/>
          <w:rFonts w:ascii="Verdana" w:eastAsia="Verdana" w:hAnsi="Verdana" w:cs="Verdana"/>
          <w:sz w:val="16"/>
          <w:szCs w:val="16"/>
        </w:rPr>
      </w:pPr>
      <w:r>
        <w:rPr>
          <w:rStyle w:val="None"/>
          <w:rFonts w:ascii="Verdana" w:hAnsi="Verdana"/>
          <w:sz w:val="16"/>
          <w:szCs w:val="16"/>
          <w:lang w:val="it-IT"/>
        </w:rPr>
        <w:t xml:space="preserve">P4HA2; prolyl-4-hydroxlase alpha subunit 2, DCIS; ductal carcinoma </w:t>
      </w:r>
      <w:r>
        <w:rPr>
          <w:rStyle w:val="None"/>
          <w:rFonts w:ascii="Verdana" w:hAnsi="Verdana"/>
          <w:i/>
          <w:iCs/>
          <w:sz w:val="16"/>
          <w:szCs w:val="16"/>
        </w:rPr>
        <w:t>in situ</w:t>
      </w:r>
      <w:r>
        <w:rPr>
          <w:rStyle w:val="None"/>
          <w:rFonts w:ascii="Verdana" w:hAnsi="Verdana"/>
          <w:sz w:val="16"/>
          <w:szCs w:val="16"/>
          <w:lang w:val="de-DE"/>
        </w:rPr>
        <w:t>, HER2;</w:t>
      </w:r>
      <w:r>
        <w:rPr>
          <w:rStyle w:val="None"/>
          <w:rFonts w:ascii="Verdana" w:hAnsi="Verdana"/>
          <w:sz w:val="16"/>
          <w:szCs w:val="16"/>
        </w:rPr>
        <w:t xml:space="preserve"> Human epidermal growth factor receptor 2, BCS; breast conserving surgery, IBC; invasive breast cancer, HIF1-a; hypoxia inducible factor 1 alpha.  </w:t>
      </w:r>
    </w:p>
    <w:p w:rsidR="00BC013B" w:rsidRDefault="00BC013B" w:rsidP="00BC013B">
      <w:pPr>
        <w:pStyle w:val="BodyA"/>
        <w:spacing w:after="0" w:line="240" w:lineRule="auto"/>
        <w:ind w:left="-170" w:right="-170"/>
        <w:jc w:val="both"/>
        <w:rPr>
          <w:rStyle w:val="None"/>
          <w:rFonts w:ascii="Verdana" w:eastAsia="Verdana" w:hAnsi="Verdana" w:cs="Verdana"/>
          <w:sz w:val="16"/>
          <w:szCs w:val="16"/>
        </w:rPr>
      </w:pPr>
      <w:r>
        <w:rPr>
          <w:rStyle w:val="None"/>
          <w:rFonts w:ascii="Verdana" w:hAnsi="Verdana"/>
          <w:sz w:val="16"/>
          <w:szCs w:val="16"/>
        </w:rPr>
        <w:t xml:space="preserve">*HER2 final status is achieved using combination of IHC and chromogenic </w:t>
      </w:r>
      <w:r>
        <w:rPr>
          <w:rStyle w:val="None"/>
          <w:rFonts w:ascii="Verdana" w:hAnsi="Verdana"/>
          <w:i/>
          <w:iCs/>
          <w:sz w:val="16"/>
          <w:szCs w:val="16"/>
        </w:rPr>
        <w:t>in situ</w:t>
      </w:r>
      <w:r>
        <w:rPr>
          <w:rStyle w:val="None"/>
          <w:rFonts w:ascii="Verdana" w:hAnsi="Verdana"/>
          <w:sz w:val="16"/>
          <w:szCs w:val="16"/>
          <w:lang w:val="fr-FR"/>
        </w:rPr>
        <w:t xml:space="preserve"> hybridisation (</w:t>
      </w:r>
      <w:r>
        <w:rPr>
          <w:rStyle w:val="None"/>
          <w:rFonts w:ascii="Verdana" w:hAnsi="Verdana"/>
          <w:i/>
          <w:iCs/>
          <w:sz w:val="16"/>
          <w:szCs w:val="16"/>
          <w:lang w:val="fr-FR"/>
        </w:rPr>
        <w:t>CISH</w:t>
      </w:r>
      <w:r>
        <w:rPr>
          <w:rStyle w:val="None"/>
          <w:rFonts w:ascii="Verdana" w:hAnsi="Verdana"/>
          <w:sz w:val="16"/>
          <w:szCs w:val="16"/>
          <w:lang w:val="fr-FR"/>
        </w:rPr>
        <w:t>).</w:t>
      </w:r>
    </w:p>
    <w:p w:rsidR="00BC013B" w:rsidRDefault="00BC013B" w:rsidP="00BC013B">
      <w:pPr>
        <w:pStyle w:val="BodyB"/>
        <w:ind w:left="-170" w:right="-170"/>
        <w:jc w:val="both"/>
        <w:rPr>
          <w:rStyle w:val="None"/>
          <w:rFonts w:ascii="Verdana" w:eastAsia="Verdana" w:hAnsi="Verdana" w:cs="Verdana"/>
          <w:sz w:val="16"/>
          <w:szCs w:val="16"/>
        </w:rPr>
      </w:pPr>
      <w:r>
        <w:rPr>
          <w:rStyle w:val="None"/>
          <w:rFonts w:ascii="Verdana" w:hAnsi="Verdana"/>
          <w:sz w:val="16"/>
          <w:szCs w:val="16"/>
        </w:rPr>
        <w:t>**For patients treated with breast conserving surgery.</w:t>
      </w:r>
      <w:r>
        <w:rPr>
          <w:rStyle w:val="None"/>
          <w:rFonts w:ascii="Arial Unicode MS" w:hAnsi="Arial Unicode MS"/>
          <w:sz w:val="16"/>
          <w:szCs w:val="16"/>
        </w:rPr>
        <w:t xml:space="preserve"> </w:t>
      </w:r>
    </w:p>
    <w:p w:rsidR="00BC013B" w:rsidRDefault="00BC013B" w:rsidP="00BC013B">
      <w:pPr>
        <w:pStyle w:val="BodyB"/>
        <w:ind w:right="-567"/>
        <w:jc w:val="both"/>
        <w:rPr>
          <w:rStyle w:val="None"/>
          <w:rFonts w:ascii="Verdana" w:hAnsi="Verdana"/>
          <w:b/>
          <w:bCs/>
          <w:sz w:val="20"/>
          <w:szCs w:val="20"/>
        </w:rPr>
      </w:pPr>
    </w:p>
    <w:p w:rsidR="00BC013B" w:rsidRDefault="00BC013B" w:rsidP="00BC013B">
      <w:pPr>
        <w:pStyle w:val="BodyB"/>
        <w:ind w:left="-227" w:right="-284"/>
        <w:jc w:val="both"/>
        <w:rPr>
          <w:rStyle w:val="None"/>
          <w:rFonts w:ascii="Arial Unicode MS" w:hAnsi="Arial Unicode MS"/>
          <w:sz w:val="16"/>
          <w:szCs w:val="16"/>
        </w:rPr>
      </w:pPr>
      <w:r>
        <w:rPr>
          <w:rStyle w:val="None"/>
          <w:rFonts w:ascii="Verdana" w:hAnsi="Verdana"/>
          <w:b/>
          <w:bCs/>
          <w:sz w:val="20"/>
          <w:szCs w:val="20"/>
        </w:rPr>
        <w:lastRenderedPageBreak/>
        <w:t>Supplementary Table 3:</w:t>
      </w:r>
      <w:r>
        <w:rPr>
          <w:rStyle w:val="Hyperlink0"/>
        </w:rPr>
        <w:t xml:space="preserve"> Correlation between </w:t>
      </w:r>
      <w:r>
        <w:rPr>
          <w:rStyle w:val="None"/>
          <w:rFonts w:ascii="Verdana" w:hAnsi="Verdana"/>
          <w:i/>
          <w:iCs/>
          <w:sz w:val="20"/>
          <w:szCs w:val="20"/>
        </w:rPr>
        <w:t>P4HA2</w:t>
      </w:r>
      <w:r>
        <w:rPr>
          <w:rStyle w:val="Hyperlink0"/>
        </w:rPr>
        <w:t xml:space="preserve"> mRNA level and the clinicopathologic parameters in the METABRIC series of invasive breast cancers (n=1980).</w:t>
      </w:r>
    </w:p>
    <w:p w:rsidR="00BC013B" w:rsidRDefault="00BC013B" w:rsidP="00BC013B">
      <w:pPr>
        <w:pStyle w:val="BodyA"/>
        <w:spacing w:after="0" w:line="240" w:lineRule="auto"/>
        <w:ind w:left="-227"/>
        <w:jc w:val="both"/>
        <w:rPr>
          <w:rStyle w:val="None"/>
          <w:rFonts w:ascii="Verdana" w:eastAsia="Verdana" w:hAnsi="Verdana" w:cs="Verdana"/>
          <w:sz w:val="20"/>
          <w:szCs w:val="20"/>
        </w:rPr>
      </w:pPr>
    </w:p>
    <w:tbl>
      <w:tblPr>
        <w:tblW w:w="93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68"/>
        <w:gridCol w:w="1564"/>
        <w:gridCol w:w="1692"/>
        <w:gridCol w:w="1827"/>
      </w:tblGrid>
      <w:tr w:rsidR="00BC013B" w:rsidTr="009853B1">
        <w:trPr>
          <w:trHeight w:val="51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jc w:val="both"/>
            </w:pPr>
            <w:r>
              <w:rPr>
                <w:rStyle w:val="None"/>
                <w:rFonts w:ascii="Verdana" w:hAnsi="Verdana"/>
                <w:sz w:val="20"/>
                <w:szCs w:val="20"/>
              </w:rPr>
              <w:t>Parameter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20"/>
                <w:szCs w:val="20"/>
              </w:rPr>
              <w:t>Number of cases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20"/>
                <w:szCs w:val="20"/>
              </w:rPr>
              <w:t xml:space="preserve">Mean </w:t>
            </w:r>
            <w:r>
              <w:rPr>
                <w:rStyle w:val="None"/>
                <w:rFonts w:ascii="Verdana" w:hAnsi="Verdana"/>
                <w:i/>
                <w:iCs/>
                <w:sz w:val="20"/>
                <w:szCs w:val="20"/>
              </w:rPr>
              <w:t xml:space="preserve">P4HA2 </w:t>
            </w:r>
            <w:r>
              <w:rPr>
                <w:rStyle w:val="None"/>
                <w:rFonts w:ascii="Verdana" w:hAnsi="Verdana"/>
                <w:sz w:val="20"/>
                <w:szCs w:val="20"/>
              </w:rPr>
              <w:t>mRNA level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i/>
                <w:iCs/>
                <w:sz w:val="20"/>
                <w:szCs w:val="20"/>
              </w:rPr>
              <w:t>p</w:t>
            </w:r>
            <w:r>
              <w:rPr>
                <w:rStyle w:val="None"/>
                <w:rFonts w:ascii="Verdana" w:hAnsi="Verdana"/>
                <w:sz w:val="20"/>
                <w:szCs w:val="20"/>
              </w:rPr>
              <w:t>-value</w:t>
            </w:r>
          </w:p>
        </w:tc>
      </w:tr>
      <w:tr w:rsidR="00BC013B" w:rsidTr="009853B1">
        <w:trPr>
          <w:trHeight w:val="75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Patient Age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&lt;50 years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≥50 years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383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1556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0.336</w:t>
            </w:r>
          </w:p>
        </w:tc>
      </w:tr>
      <w:tr w:rsidR="00BC013B" w:rsidTr="009853B1">
        <w:trPr>
          <w:trHeight w:val="757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Tumour Size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≤20 mm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&gt;20 mm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622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1331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0.535</w:t>
            </w:r>
          </w:p>
        </w:tc>
      </w:tr>
      <w:tr w:rsidR="00BC013B" w:rsidTr="009853B1">
        <w:trPr>
          <w:trHeight w:val="89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Histologic Grade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1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2 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170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770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952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0.034</w:t>
            </w:r>
          </w:p>
        </w:tc>
      </w:tr>
      <w:tr w:rsidR="00BC013B" w:rsidTr="009853B1">
        <w:trPr>
          <w:trHeight w:val="67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 xml:space="preserve">Lymph node metastasis 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Negative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Positive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1035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938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0.028</w:t>
            </w:r>
          </w:p>
        </w:tc>
      </w:tr>
      <w:tr w:rsidR="00BC013B" w:rsidTr="009853B1">
        <w:trPr>
          <w:trHeight w:val="67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Oestrogen Receptor (ER) Status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Positive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Negative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1506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474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0.0001</w:t>
            </w:r>
          </w:p>
        </w:tc>
      </w:tr>
      <w:tr w:rsidR="00BC013B" w:rsidTr="009853B1">
        <w:trPr>
          <w:trHeight w:val="67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HER2 Status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Negative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Positive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1733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247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&lt;0.0001</w:t>
            </w:r>
          </w:p>
        </w:tc>
      </w:tr>
      <w:tr w:rsidR="00BC013B" w:rsidTr="009853B1">
        <w:trPr>
          <w:trHeight w:val="1470"/>
          <w:jc w:val="center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PAM50 molecular classes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 xml:space="preserve">   </w:t>
            </w:r>
            <w:r>
              <w:rPr>
                <w:rStyle w:val="None"/>
                <w:rFonts w:ascii="Verdana" w:hAnsi="Verdana"/>
                <w:sz w:val="18"/>
                <w:szCs w:val="18"/>
              </w:rPr>
              <w:t>Luminal A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Luminal B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Basal-like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HER2 enriched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   Normal like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718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488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329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240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199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8.3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sz w:val="18"/>
                <w:szCs w:val="18"/>
              </w:rPr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8.4</w:t>
            </w: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>8.2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BC013B" w:rsidRDefault="00BC013B" w:rsidP="009853B1">
            <w:pPr>
              <w:pStyle w:val="BodyA"/>
              <w:spacing w:after="0" w:line="240" w:lineRule="auto"/>
              <w:jc w:val="both"/>
            </w:pPr>
            <w:r>
              <w:rPr>
                <w:rStyle w:val="None"/>
                <w:rFonts w:ascii="Verdana" w:hAnsi="Verdana"/>
                <w:b/>
                <w:bCs/>
                <w:sz w:val="18"/>
                <w:szCs w:val="18"/>
              </w:rPr>
              <w:t>0.005</w:t>
            </w:r>
          </w:p>
        </w:tc>
      </w:tr>
    </w:tbl>
    <w:p w:rsidR="00BC013B" w:rsidRDefault="00BC013B" w:rsidP="00BC013B">
      <w:pPr>
        <w:pStyle w:val="BodyA"/>
        <w:spacing w:after="0" w:line="240" w:lineRule="auto"/>
        <w:ind w:left="-170"/>
        <w:jc w:val="both"/>
        <w:rPr>
          <w:rStyle w:val="None"/>
          <w:rFonts w:ascii="Verdana" w:eastAsia="Verdana" w:hAnsi="Verdana" w:cs="Verdana"/>
          <w:b/>
          <w:bCs/>
          <w:sz w:val="18"/>
          <w:szCs w:val="18"/>
        </w:rPr>
      </w:pPr>
      <w:r>
        <w:rPr>
          <w:rStyle w:val="None"/>
          <w:rFonts w:ascii="Verdana" w:hAnsi="Verdana"/>
          <w:b/>
          <w:bCs/>
          <w:sz w:val="18"/>
          <w:szCs w:val="18"/>
          <w:lang w:val="it-IT"/>
        </w:rPr>
        <w:t>significant</w:t>
      </w:r>
      <w:r>
        <w:rPr>
          <w:rStyle w:val="None"/>
          <w:rFonts w:ascii="Verdana" w:hAnsi="Verdana"/>
          <w:b/>
          <w:bCs/>
          <w:i/>
          <w:iCs/>
          <w:sz w:val="18"/>
          <w:szCs w:val="18"/>
        </w:rPr>
        <w:t xml:space="preserve"> p</w:t>
      </w:r>
      <w:r>
        <w:rPr>
          <w:rStyle w:val="None"/>
          <w:rFonts w:ascii="Verdana" w:hAnsi="Verdana"/>
          <w:b/>
          <w:bCs/>
          <w:sz w:val="18"/>
          <w:szCs w:val="18"/>
        </w:rPr>
        <w:t xml:space="preserve"> values are in bold </w:t>
      </w:r>
    </w:p>
    <w:p w:rsidR="00BC013B" w:rsidRDefault="00BC013B" w:rsidP="00BC013B">
      <w:pPr>
        <w:pStyle w:val="BodyA"/>
        <w:spacing w:after="0" w:line="240" w:lineRule="auto"/>
        <w:ind w:left="-227"/>
        <w:jc w:val="both"/>
        <w:rPr>
          <w:rStyle w:val="Hyperlink0"/>
        </w:rPr>
      </w:pPr>
      <w:r>
        <w:rPr>
          <w:rStyle w:val="Hyperlink0"/>
        </w:rPr>
        <w:t xml:space="preserve"> METABRIC:   Molecular Taxonomy of Breast Cancer International Consortium</w:t>
      </w:r>
    </w:p>
    <w:p w:rsidR="00BC013B" w:rsidRDefault="00BC013B" w:rsidP="00BC013B">
      <w:pPr>
        <w:pStyle w:val="Body"/>
        <w:ind w:left="-227"/>
        <w:jc w:val="both"/>
      </w:pPr>
      <w:r>
        <w:rPr>
          <w:rFonts w:ascii="Arial Unicode MS" w:eastAsia="Arial Unicode MS" w:hAnsi="Arial Unicode MS" w:cs="Arial Unicode MS"/>
        </w:rPr>
        <w:br w:type="page"/>
      </w:r>
    </w:p>
    <w:p w:rsidR="00BC013B" w:rsidRPr="00604505" w:rsidRDefault="00BC013B" w:rsidP="00BC013B">
      <w:pPr>
        <w:pStyle w:val="BodyA"/>
        <w:spacing w:after="0" w:line="240" w:lineRule="auto"/>
        <w:jc w:val="both"/>
        <w:rPr>
          <w:rStyle w:val="None"/>
          <w:bCs/>
          <w:szCs w:val="18"/>
        </w:rPr>
      </w:pPr>
      <w:r w:rsidRPr="00604505">
        <w:rPr>
          <w:rStyle w:val="None"/>
          <w:rFonts w:ascii="Verdana" w:hAnsi="Verdana"/>
          <w:b/>
          <w:bCs/>
          <w:sz w:val="20"/>
          <w:szCs w:val="18"/>
        </w:rPr>
        <w:lastRenderedPageBreak/>
        <w:t>Supplementary Table 4</w:t>
      </w:r>
      <w:r>
        <w:rPr>
          <w:rStyle w:val="None"/>
          <w:rFonts w:ascii="Verdana" w:hAnsi="Verdana"/>
          <w:b/>
          <w:bCs/>
          <w:sz w:val="20"/>
          <w:szCs w:val="18"/>
        </w:rPr>
        <w:t>:</w:t>
      </w:r>
      <w:r w:rsidRPr="00604505">
        <w:rPr>
          <w:rStyle w:val="None"/>
          <w:bCs/>
          <w:szCs w:val="18"/>
        </w:rPr>
        <w:t xml:space="preserve"> Multivariate survival analysis (Cox regression model) of variables predicting breast cancer specific survival in METABRIC data. </w:t>
      </w:r>
    </w:p>
    <w:tbl>
      <w:tblPr>
        <w:tblW w:w="90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15"/>
        <w:gridCol w:w="1542"/>
        <w:gridCol w:w="1248"/>
        <w:gridCol w:w="1440"/>
        <w:gridCol w:w="1445"/>
      </w:tblGrid>
      <w:tr w:rsidR="00BC013B" w:rsidTr="009853B1">
        <w:trPr>
          <w:trHeight w:val="510"/>
          <w:jc w:val="center"/>
        </w:trPr>
        <w:tc>
          <w:tcPr>
            <w:tcW w:w="3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Parameters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Hazard ratio (HR)</w:t>
            </w: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95.0% confidence interval (CI)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Significance</w:t>
            </w:r>
          </w:p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p-value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13B" w:rsidRDefault="00BC013B" w:rsidP="009853B1">
            <w:pPr>
              <w:jc w:val="both"/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13B" w:rsidRDefault="00BC013B" w:rsidP="009853B1">
            <w:pPr>
              <w:jc w:val="both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Lower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Upper</w:t>
            </w: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13B" w:rsidRDefault="00BC013B" w:rsidP="009853B1">
            <w:pPr>
              <w:jc w:val="both"/>
            </w:pP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 xml:space="preserve">High P4HA2 mRNA expression 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  <w:t>0.007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Patient Age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0.8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0.994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 xml:space="preserve">Tumour Grade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  <w:t>0.004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 xml:space="preserve">Tumour Stage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2.1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 xml:space="preserve">     1.7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2.6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  <w:t>0.0001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 xml:space="preserve">Lymph node metastasis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1.9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  <w:t>0.010</w:t>
            </w:r>
          </w:p>
        </w:tc>
      </w:tr>
      <w:tr w:rsidR="00BC013B" w:rsidTr="009853B1">
        <w:trPr>
          <w:trHeight w:val="270"/>
          <w:jc w:val="center"/>
        </w:trPr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Molecular classes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center"/>
              <w:rPr>
                <w:rStyle w:val="None"/>
                <w:rFonts w:ascii="Verdana" w:hAnsi="Verdana"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Cs/>
                <w:sz w:val="20"/>
                <w:szCs w:val="18"/>
              </w:rPr>
              <w:t>1.2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C013B" w:rsidRPr="00604505" w:rsidRDefault="00BC013B" w:rsidP="009853B1">
            <w:pPr>
              <w:pStyle w:val="BodyA"/>
              <w:spacing w:after="0" w:line="240" w:lineRule="auto"/>
              <w:jc w:val="both"/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</w:pPr>
            <w:r w:rsidRPr="00604505">
              <w:rPr>
                <w:rStyle w:val="None"/>
                <w:rFonts w:ascii="Verdana" w:hAnsi="Verdana"/>
                <w:b/>
                <w:bCs/>
                <w:sz w:val="20"/>
                <w:szCs w:val="18"/>
              </w:rPr>
              <w:t>0.028</w:t>
            </w:r>
          </w:p>
        </w:tc>
      </w:tr>
    </w:tbl>
    <w:p w:rsidR="00BC013B" w:rsidRDefault="00BC013B" w:rsidP="00BC013B">
      <w:pPr>
        <w:pStyle w:val="BodyA"/>
        <w:widowControl w:val="0"/>
        <w:spacing w:after="0" w:line="240" w:lineRule="auto"/>
        <w:jc w:val="both"/>
        <w:rPr>
          <w:rStyle w:val="Hyperlink5"/>
        </w:rPr>
      </w:pPr>
    </w:p>
    <w:p w:rsidR="00BC013B" w:rsidRDefault="00BC013B" w:rsidP="00BC013B">
      <w:pPr>
        <w:pStyle w:val="BodyA"/>
        <w:spacing w:after="0" w:line="240" w:lineRule="auto"/>
        <w:jc w:val="both"/>
        <w:rPr>
          <w:rStyle w:val="None"/>
          <w:rFonts w:ascii="Verdana" w:eastAsia="Verdana" w:hAnsi="Verdana" w:cs="Verdana"/>
          <w:b/>
          <w:bCs/>
          <w:sz w:val="18"/>
          <w:szCs w:val="18"/>
        </w:rPr>
      </w:pPr>
      <w:r>
        <w:rPr>
          <w:rStyle w:val="None"/>
          <w:rFonts w:ascii="Verdana" w:hAnsi="Verdana"/>
          <w:b/>
          <w:bCs/>
          <w:sz w:val="18"/>
          <w:szCs w:val="18"/>
          <w:lang w:val="it-IT"/>
        </w:rPr>
        <w:t>significant</w:t>
      </w:r>
      <w:r>
        <w:rPr>
          <w:rStyle w:val="None"/>
          <w:rFonts w:ascii="Verdana" w:hAnsi="Verdana"/>
          <w:b/>
          <w:bCs/>
          <w:i/>
          <w:iCs/>
          <w:sz w:val="18"/>
          <w:szCs w:val="18"/>
        </w:rPr>
        <w:t xml:space="preserve"> p</w:t>
      </w:r>
      <w:r>
        <w:rPr>
          <w:rStyle w:val="None"/>
          <w:rFonts w:ascii="Verdana" w:hAnsi="Verdana"/>
          <w:b/>
          <w:bCs/>
          <w:sz w:val="18"/>
          <w:szCs w:val="18"/>
        </w:rPr>
        <w:t xml:space="preserve"> values are in bold </w:t>
      </w: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  <w:r>
        <w:rPr>
          <w:rStyle w:val="Hyperlink00"/>
          <w:rFonts w:eastAsia="Arial Unicode MS" w:cs="Arial Unicode MS"/>
        </w:rPr>
        <w:t>METABRIC:   Molecular Taxonomy of Breast Cancer International Consortiu</w:t>
      </w:r>
      <w:r>
        <w:rPr>
          <w:rStyle w:val="Hyperlink00"/>
          <w:rFonts w:eastAsia="Arial Unicode MS" w:cs="Arial Unicode MS"/>
        </w:rPr>
        <w:t>m</w:t>
      </w: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</w:p>
    <w:p w:rsidR="00BC013B" w:rsidRDefault="00BC013B" w:rsidP="00BC013B">
      <w:pPr>
        <w:pStyle w:val="Body"/>
        <w:jc w:val="both"/>
        <w:rPr>
          <w:rStyle w:val="Hyperlink00"/>
          <w:rFonts w:eastAsia="Arial Unicode MS" w:cs="Arial Unicode MS"/>
        </w:rPr>
      </w:pPr>
      <w:bookmarkStart w:id="0" w:name="_GoBack"/>
      <w:bookmarkEnd w:id="0"/>
    </w:p>
    <w:sectPr w:rsidR="00BC013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Footer"/>
      <w:tabs>
        <w:tab w:val="clear" w:pos="9026"/>
        <w:tab w:val="right" w:pos="900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HeaderFoo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05" w:rsidRDefault="00BC0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3B"/>
    <w:rsid w:val="00305390"/>
    <w:rsid w:val="00B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492B3-A28B-4EEF-9928-E33A72F2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BC01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link w:val="FooterChar"/>
    <w:rsid w:val="00BC013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BC013B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link w:val="BodyAChar"/>
    <w:rsid w:val="00BC01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0">
    <w:name w:val="Hyperlink.0"/>
    <w:rsid w:val="00BC013B"/>
    <w:rPr>
      <w:rFonts w:ascii="Verdana" w:hAnsi="Verdana"/>
      <w:sz w:val="20"/>
      <w:szCs w:val="20"/>
      <w:lang w:val="en-US"/>
    </w:rPr>
  </w:style>
  <w:style w:type="paragraph" w:customStyle="1" w:styleId="BodyB">
    <w:name w:val="Body B"/>
    <w:rsid w:val="00BC01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Hyperlink00">
    <w:name w:val="Hyperlink.0.0"/>
    <w:rsid w:val="00BC013B"/>
    <w:rPr>
      <w:rFonts w:ascii="Verdana" w:hAnsi="Verdana"/>
      <w:sz w:val="20"/>
      <w:szCs w:val="20"/>
      <w:lang w:val="en-US"/>
    </w:rPr>
  </w:style>
  <w:style w:type="character" w:customStyle="1" w:styleId="None">
    <w:name w:val="None"/>
    <w:rsid w:val="00BC013B"/>
  </w:style>
  <w:style w:type="character" w:customStyle="1" w:styleId="Hyperlink5">
    <w:name w:val="Hyperlink.5"/>
    <w:basedOn w:val="None"/>
    <w:rsid w:val="00BC013B"/>
    <w:rPr>
      <w:rFonts w:ascii="Verdana" w:eastAsia="Verdana" w:hAnsi="Verdana" w:cs="Verdana"/>
      <w:sz w:val="20"/>
      <w:szCs w:val="20"/>
      <w:shd w:val="clear" w:color="auto" w:fill="FFFF00"/>
    </w:rPr>
  </w:style>
  <w:style w:type="paragraph" w:customStyle="1" w:styleId="Body">
    <w:name w:val="Body"/>
    <w:rsid w:val="00BC01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C013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C013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BodyAChar">
    <w:name w:val="Body A Char"/>
    <w:basedOn w:val="DefaultParagraphFont"/>
    <w:link w:val="BodyA"/>
    <w:rsid w:val="00BC013B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5092</Characters>
  <Application>Microsoft Office Word</Application>
  <DocSecurity>0</DocSecurity>
  <Lines>42</Lines>
  <Paragraphs>11</Paragraphs>
  <ScaleCrop>false</ScaleCrop>
  <Company>University of Nottingham</Company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Shawky Toss Michael</dc:creator>
  <cp:keywords/>
  <dc:description/>
  <cp:lastModifiedBy>Shawky Toss Michael</cp:lastModifiedBy>
  <cp:revision>1</cp:revision>
  <dcterms:created xsi:type="dcterms:W3CDTF">2018-08-17T12:06:00Z</dcterms:created>
  <dcterms:modified xsi:type="dcterms:W3CDTF">2018-08-17T12:07:00Z</dcterms:modified>
</cp:coreProperties>
</file>